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82F35" w14:textId="77777777" w:rsidR="00C47BF7" w:rsidRP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b/>
          <w:color w:val="4E4E4E"/>
        </w:rPr>
      </w:pPr>
      <w:r w:rsidRPr="00C47BF7">
        <w:rPr>
          <w:rFonts w:ascii="Open Sans" w:eastAsiaTheme="minorHAnsi" w:hAnsi="Open Sans" w:cs="OpenSans"/>
          <w:b/>
          <w:color w:val="4E4E4E"/>
        </w:rPr>
        <w:t xml:space="preserve">Memo: voorstel alternatieve toekenningsregel </w:t>
      </w:r>
      <w:proofErr w:type="gramStart"/>
      <w:r w:rsidRPr="00C47BF7">
        <w:rPr>
          <w:rFonts w:ascii="Open Sans" w:eastAsiaTheme="minorHAnsi" w:hAnsi="Open Sans" w:cs="OpenSans"/>
          <w:b/>
          <w:color w:val="4E4E4E"/>
        </w:rPr>
        <w:t>VIPP programma</w:t>
      </w:r>
      <w:proofErr w:type="gramEnd"/>
    </w:p>
    <w:p w14:paraId="7267F4DE" w14:textId="77777777" w:rsid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1929E927" w14:textId="77777777" w:rsid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77E2446C" w14:textId="77777777" w:rsid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Overwegende dat:</w:t>
      </w:r>
    </w:p>
    <w:p w14:paraId="3E67D979" w14:textId="77777777" w:rsid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310EC2B6" w14:textId="77777777" w:rsidR="00C47BF7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Het ministerie van Volksgezondheid, Welzijn en Sport (VWS) en de NVZ</w:t>
      </w:r>
      <w:r w:rsidRPr="000925F3">
        <w:rPr>
          <w:rFonts w:ascii="Open Sans" w:eastAsiaTheme="minorHAnsi" w:hAnsi="Open Sans" w:cs="OpenSans"/>
          <w:color w:val="4E4E4E"/>
        </w:rPr>
        <w:t xml:space="preserve"> </w:t>
      </w:r>
      <w:r>
        <w:rPr>
          <w:rFonts w:ascii="Open Sans" w:eastAsiaTheme="minorHAnsi" w:hAnsi="Open Sans" w:cs="OpenSans"/>
          <w:color w:val="4E4E4E"/>
        </w:rPr>
        <w:t>e</w:t>
      </w:r>
      <w:r w:rsidRPr="000925F3">
        <w:rPr>
          <w:rFonts w:ascii="Open Sans" w:eastAsiaTheme="minorHAnsi" w:hAnsi="Open Sans" w:cs="OpenSans"/>
          <w:color w:val="4E4E4E"/>
        </w:rPr>
        <w:t>en doelmatige</w:t>
      </w:r>
      <w:r>
        <w:rPr>
          <w:rFonts w:ascii="Open Sans" w:eastAsiaTheme="minorHAnsi" w:hAnsi="Open Sans" w:cs="OpenSans"/>
          <w:color w:val="4E4E4E"/>
        </w:rPr>
        <w:t>,</w:t>
      </w:r>
      <w:r w:rsidRPr="000925F3">
        <w:rPr>
          <w:rFonts w:ascii="Open Sans" w:eastAsiaTheme="minorHAnsi" w:hAnsi="Open Sans" w:cs="OpenSans"/>
          <w:color w:val="4E4E4E"/>
        </w:rPr>
        <w:t xml:space="preserve"> transparant</w:t>
      </w:r>
      <w:r>
        <w:rPr>
          <w:rFonts w:ascii="Open Sans" w:eastAsiaTheme="minorHAnsi" w:hAnsi="Open Sans" w:cs="OpenSans"/>
          <w:color w:val="4E4E4E"/>
        </w:rPr>
        <w:t>e en juridisch verdedigba</w:t>
      </w:r>
      <w:r w:rsidRPr="000925F3">
        <w:rPr>
          <w:rFonts w:ascii="Open Sans" w:eastAsiaTheme="minorHAnsi" w:hAnsi="Open Sans" w:cs="OpenSans"/>
          <w:color w:val="4E4E4E"/>
        </w:rPr>
        <w:t>r</w:t>
      </w:r>
      <w:r>
        <w:rPr>
          <w:rFonts w:ascii="Open Sans" w:eastAsiaTheme="minorHAnsi" w:hAnsi="Open Sans" w:cs="OpenSans"/>
          <w:color w:val="4E4E4E"/>
        </w:rPr>
        <w:t>e</w:t>
      </w:r>
      <w:r w:rsidRPr="000925F3">
        <w:rPr>
          <w:rFonts w:ascii="Open Sans" w:eastAsiaTheme="minorHAnsi" w:hAnsi="Open Sans" w:cs="OpenSans"/>
          <w:color w:val="4E4E4E"/>
        </w:rPr>
        <w:t xml:space="preserve"> toekenningsregel willen formuleren</w:t>
      </w:r>
      <w:r>
        <w:rPr>
          <w:rFonts w:ascii="Open Sans" w:eastAsiaTheme="minorHAnsi" w:hAnsi="Open Sans" w:cs="OpenSans"/>
          <w:color w:val="4E4E4E"/>
        </w:rPr>
        <w:t xml:space="preserve"> voor het </w:t>
      </w:r>
      <w:proofErr w:type="gramStart"/>
      <w:r>
        <w:rPr>
          <w:rFonts w:ascii="Open Sans" w:eastAsiaTheme="minorHAnsi" w:hAnsi="Open Sans" w:cs="OpenSans"/>
          <w:color w:val="4E4E4E"/>
        </w:rPr>
        <w:t>VIPP programma</w:t>
      </w:r>
      <w:proofErr w:type="gramEnd"/>
      <w:r w:rsidRPr="000925F3">
        <w:rPr>
          <w:rFonts w:ascii="Open Sans" w:eastAsiaTheme="minorHAnsi" w:hAnsi="Open Sans" w:cs="OpenSans"/>
          <w:color w:val="4E4E4E"/>
        </w:rPr>
        <w:t xml:space="preserve">, die voldoet aan </w:t>
      </w:r>
      <w:r>
        <w:rPr>
          <w:rFonts w:ascii="Open Sans" w:eastAsiaTheme="minorHAnsi" w:hAnsi="Open Sans" w:cs="OpenSans"/>
          <w:color w:val="4E4E4E"/>
        </w:rPr>
        <w:t>o.a. de</w:t>
      </w:r>
      <w:r w:rsidRPr="000925F3">
        <w:rPr>
          <w:rFonts w:ascii="Open Sans" w:eastAsiaTheme="minorHAnsi" w:hAnsi="Open Sans" w:cs="OpenSans"/>
          <w:color w:val="4E4E4E"/>
        </w:rPr>
        <w:t xml:space="preserve"> Kaderwet VWS-subsidies</w:t>
      </w:r>
      <w:r>
        <w:rPr>
          <w:rStyle w:val="FootnoteReference"/>
          <w:rFonts w:ascii="Open Sans" w:eastAsiaTheme="minorHAnsi" w:hAnsi="Open Sans" w:cs="OpenSans"/>
          <w:color w:val="4E4E4E"/>
        </w:rPr>
        <w:footnoteReference w:id="1"/>
      </w:r>
      <w:r w:rsidRPr="000925F3">
        <w:rPr>
          <w:rFonts w:ascii="Open Sans" w:eastAsiaTheme="minorHAnsi" w:hAnsi="Open Sans" w:cs="OpenSans"/>
          <w:color w:val="4E4E4E"/>
        </w:rPr>
        <w:t xml:space="preserve"> e</w:t>
      </w:r>
      <w:r>
        <w:rPr>
          <w:rFonts w:ascii="Open Sans" w:eastAsiaTheme="minorHAnsi" w:hAnsi="Open Sans" w:cs="OpenSans"/>
          <w:color w:val="4E4E4E"/>
        </w:rPr>
        <w:t xml:space="preserve">n Algemene wet bestuursrecht titel 4.2 </w:t>
      </w:r>
      <w:r>
        <w:rPr>
          <w:rStyle w:val="FootnoteReference"/>
          <w:rFonts w:ascii="Open Sans" w:eastAsiaTheme="minorHAnsi" w:hAnsi="Open Sans" w:cs="OpenSans"/>
          <w:color w:val="4E4E4E"/>
        </w:rPr>
        <w:footnoteReference w:id="2"/>
      </w:r>
      <w:r>
        <w:rPr>
          <w:rFonts w:ascii="Open Sans" w:eastAsiaTheme="minorHAnsi" w:hAnsi="Open Sans" w:cs="OpenSans"/>
          <w:color w:val="4E4E4E"/>
        </w:rPr>
        <w:t>;</w:t>
      </w:r>
      <w:r>
        <w:rPr>
          <w:rFonts w:ascii="Open Sans" w:eastAsiaTheme="minorHAnsi" w:hAnsi="Open Sans" w:cs="OpenSans"/>
          <w:color w:val="4E4E4E"/>
        </w:rPr>
        <w:br/>
      </w:r>
    </w:p>
    <w:p w14:paraId="1E508C19" w14:textId="77777777" w:rsidR="00C47BF7" w:rsidRPr="000925F3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 xml:space="preserve">In Nederland </w:t>
      </w:r>
      <w:r>
        <w:rPr>
          <w:rFonts w:ascii="Open Sans" w:eastAsiaTheme="minorHAnsi" w:hAnsi="Open Sans" w:cs="OpenSans"/>
          <w:color w:val="4E4E4E"/>
        </w:rPr>
        <w:br/>
        <w:t xml:space="preserve">    - </w:t>
      </w:r>
      <w:r w:rsidRPr="00AB0764">
        <w:rPr>
          <w:rFonts w:ascii="Open Sans" w:eastAsiaTheme="minorHAnsi" w:hAnsi="Open Sans" w:cs="OpenSans"/>
          <w:color w:val="4E4E4E"/>
        </w:rPr>
        <w:t>73 algemene ziekenhuizen</w:t>
      </w:r>
      <w:r>
        <w:rPr>
          <w:rFonts w:ascii="Open Sans" w:eastAsiaTheme="minorHAnsi" w:hAnsi="Open Sans" w:cs="OpenSans"/>
          <w:color w:val="4E4E4E"/>
        </w:rPr>
        <w:br/>
        <w:t xml:space="preserve">    - 22 categorale ziekenhuizen</w:t>
      </w:r>
      <w:r>
        <w:rPr>
          <w:rFonts w:ascii="Open Sans" w:eastAsiaTheme="minorHAnsi" w:hAnsi="Open Sans" w:cs="OpenSans"/>
          <w:color w:val="4E4E4E"/>
        </w:rPr>
        <w:br/>
        <w:t xml:space="preserve">    - </w:t>
      </w:r>
      <w:r w:rsidRPr="00AB0764">
        <w:rPr>
          <w:rFonts w:ascii="Open Sans" w:eastAsiaTheme="minorHAnsi" w:hAnsi="Open Sans" w:cs="OpenSans"/>
          <w:color w:val="4E4E4E"/>
        </w:rPr>
        <w:t>106 dialysecentra</w:t>
      </w:r>
      <w:r>
        <w:rPr>
          <w:rFonts w:ascii="Open Sans" w:eastAsiaTheme="minorHAnsi" w:hAnsi="Open Sans" w:cs="OpenSans"/>
          <w:color w:val="4E4E4E"/>
        </w:rPr>
        <w:br/>
        <w:t xml:space="preserve">    - 30 revalidatiecentra</w:t>
      </w:r>
      <w:r>
        <w:rPr>
          <w:rFonts w:ascii="Open Sans" w:eastAsiaTheme="minorHAnsi" w:hAnsi="Open Sans" w:cs="OpenSans"/>
          <w:color w:val="4E4E4E"/>
        </w:rPr>
        <w:br/>
        <w:t xml:space="preserve">    - en</w:t>
      </w:r>
      <w:r w:rsidRPr="00AB0764">
        <w:rPr>
          <w:rFonts w:ascii="Open Sans" w:eastAsiaTheme="minorHAnsi" w:hAnsi="Open Sans" w:cs="OpenSans"/>
          <w:color w:val="4E4E4E"/>
        </w:rPr>
        <w:t xml:space="preserve"> </w:t>
      </w:r>
      <w:r>
        <w:rPr>
          <w:rFonts w:ascii="Open Sans" w:eastAsiaTheme="minorHAnsi" w:hAnsi="Open Sans" w:cs="OpenSans"/>
          <w:color w:val="4E4E4E"/>
        </w:rPr>
        <w:t xml:space="preserve">tussen de 200 en </w:t>
      </w:r>
      <w:r w:rsidRPr="00AB0764">
        <w:rPr>
          <w:rFonts w:ascii="Open Sans" w:eastAsiaTheme="minorHAnsi" w:hAnsi="Open Sans" w:cs="OpenSans"/>
          <w:color w:val="4E4E4E"/>
        </w:rPr>
        <w:t xml:space="preserve">300 </w:t>
      </w:r>
      <w:proofErr w:type="spellStart"/>
      <w:r w:rsidRPr="00AB0764">
        <w:rPr>
          <w:rFonts w:ascii="Open Sans" w:eastAsiaTheme="minorHAnsi" w:hAnsi="Open Sans" w:cs="OpenSans"/>
          <w:color w:val="4E4E4E"/>
        </w:rPr>
        <w:t>ZBCs</w:t>
      </w:r>
      <w:proofErr w:type="spellEnd"/>
      <w:r>
        <w:rPr>
          <w:rStyle w:val="FootnoteReference"/>
          <w:rFonts w:ascii="Open Sans" w:eastAsiaTheme="minorHAnsi" w:hAnsi="Open Sans" w:cs="OpenSans"/>
          <w:color w:val="4E4E4E"/>
        </w:rPr>
        <w:footnoteReference w:id="3"/>
      </w:r>
      <w:r>
        <w:rPr>
          <w:rFonts w:ascii="Open Sans" w:eastAsiaTheme="minorHAnsi" w:hAnsi="Open Sans" w:cs="OpenSans"/>
          <w:color w:val="4E4E4E"/>
        </w:rPr>
        <w:br/>
        <w:t>bestaan, deze toekenningsregel zodanig moet zijn geformuleerd om fragmentatie van middelen over deze circa 500 instellingen te voorkomen;</w:t>
      </w:r>
      <w:r>
        <w:rPr>
          <w:rFonts w:ascii="Open Sans" w:eastAsiaTheme="minorHAnsi" w:hAnsi="Open Sans" w:cs="OpenSans"/>
          <w:color w:val="4E4E4E"/>
        </w:rPr>
        <w:br/>
      </w:r>
    </w:p>
    <w:p w14:paraId="131B559B" w14:textId="77777777" w:rsidR="00C47BF7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Inmiddels uitsluitsel is dat universitair medisch centra (</w:t>
      </w:r>
      <w:proofErr w:type="spellStart"/>
      <w:r>
        <w:rPr>
          <w:rFonts w:ascii="Open Sans" w:eastAsiaTheme="minorHAnsi" w:hAnsi="Open Sans" w:cs="OpenSans"/>
          <w:color w:val="4E4E4E"/>
        </w:rPr>
        <w:t>UMCs</w:t>
      </w:r>
      <w:proofErr w:type="spellEnd"/>
      <w:r>
        <w:rPr>
          <w:rFonts w:ascii="Open Sans" w:eastAsiaTheme="minorHAnsi" w:hAnsi="Open Sans" w:cs="OpenSans"/>
          <w:color w:val="4E4E4E"/>
        </w:rPr>
        <w:t>) niet in aanmerking komen voor het programma, op grond van bestaande financiering van de academische component;</w:t>
      </w:r>
      <w:r>
        <w:rPr>
          <w:rFonts w:ascii="Open Sans" w:eastAsiaTheme="minorHAnsi" w:hAnsi="Open Sans" w:cs="OpenSans"/>
          <w:color w:val="4E4E4E"/>
        </w:rPr>
        <w:br/>
      </w:r>
    </w:p>
    <w:p w14:paraId="1AAFC978" w14:textId="77777777" w:rsidR="00C47BF7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Het omzetcriterium (meer dan 15 miljoen euro omzet op jaarbasis) juridisch niet verdedigbaar blijkt te zijn en derhalve een andere (set van) toekenningscriteria geformuleerd moet worden;</w:t>
      </w:r>
      <w:r>
        <w:rPr>
          <w:rFonts w:ascii="Open Sans" w:eastAsiaTheme="minorHAnsi" w:hAnsi="Open Sans" w:cs="OpenSans"/>
          <w:color w:val="4E4E4E"/>
        </w:rPr>
        <w:br/>
      </w:r>
    </w:p>
    <w:p w14:paraId="64D0AFDF" w14:textId="77777777" w:rsidR="00C47BF7" w:rsidRPr="008D427E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 w:rsidRPr="00145167">
        <w:rPr>
          <w:rFonts w:ascii="Open Sans" w:eastAsiaTheme="minorHAnsi" w:hAnsi="Open Sans" w:cs="OpenSans"/>
          <w:color w:val="4E4E4E"/>
        </w:rPr>
        <w:t>Het ‘harde’ ond</w:t>
      </w:r>
      <w:r>
        <w:rPr>
          <w:rFonts w:ascii="Open Sans" w:eastAsiaTheme="minorHAnsi" w:hAnsi="Open Sans" w:cs="OpenSans"/>
          <w:color w:val="4E4E4E"/>
        </w:rPr>
        <w:t xml:space="preserve">erscheid tussen ziekenhuizen en </w:t>
      </w:r>
      <w:proofErr w:type="spellStart"/>
      <w:r w:rsidRPr="00145167">
        <w:rPr>
          <w:rFonts w:ascii="Open Sans" w:eastAsiaTheme="minorHAnsi" w:hAnsi="Open Sans" w:cs="OpenSans"/>
          <w:color w:val="4E4E4E"/>
        </w:rPr>
        <w:t>ZBC’s</w:t>
      </w:r>
      <w:proofErr w:type="spellEnd"/>
      <w:r w:rsidRPr="00145167">
        <w:rPr>
          <w:rFonts w:ascii="Open Sans" w:eastAsiaTheme="minorHAnsi" w:hAnsi="Open Sans" w:cs="OpenSans"/>
          <w:color w:val="4E4E4E"/>
        </w:rPr>
        <w:t xml:space="preserve"> is vervallen</w:t>
      </w:r>
      <w:r>
        <w:rPr>
          <w:rFonts w:ascii="Open Sans" w:eastAsiaTheme="minorHAnsi" w:hAnsi="Open Sans" w:cs="OpenSans"/>
          <w:color w:val="4E4E4E"/>
        </w:rPr>
        <w:t xml:space="preserve"> met de Wet Toelating</w:t>
      </w:r>
      <w:r w:rsidRPr="00145167">
        <w:t xml:space="preserve"> </w:t>
      </w:r>
      <w:r w:rsidRPr="00145167">
        <w:rPr>
          <w:rFonts w:ascii="Open Sans" w:eastAsiaTheme="minorHAnsi" w:hAnsi="Open Sans" w:cs="OpenSans"/>
          <w:color w:val="4E4E4E"/>
        </w:rPr>
        <w:t>Wet Toelating Zorginstellingen (</w:t>
      </w:r>
      <w:proofErr w:type="spellStart"/>
      <w:r w:rsidRPr="00145167">
        <w:rPr>
          <w:rFonts w:ascii="Open Sans" w:eastAsiaTheme="minorHAnsi" w:hAnsi="Open Sans" w:cs="OpenSans"/>
          <w:color w:val="4E4E4E"/>
        </w:rPr>
        <w:t>WTZi</w:t>
      </w:r>
      <w:proofErr w:type="spellEnd"/>
      <w:r w:rsidRPr="00145167">
        <w:rPr>
          <w:rFonts w:ascii="Open Sans" w:eastAsiaTheme="minorHAnsi" w:hAnsi="Open Sans" w:cs="OpenSans"/>
          <w:color w:val="4E4E4E"/>
        </w:rPr>
        <w:t xml:space="preserve">) </w:t>
      </w:r>
      <w:r>
        <w:rPr>
          <w:rFonts w:ascii="Open Sans" w:eastAsiaTheme="minorHAnsi" w:hAnsi="Open Sans" w:cs="OpenSans"/>
          <w:color w:val="4E4E4E"/>
        </w:rPr>
        <w:t xml:space="preserve">die per 1 januari 2006 is </w:t>
      </w:r>
      <w:r w:rsidRPr="00145167">
        <w:rPr>
          <w:rFonts w:ascii="Open Sans" w:eastAsiaTheme="minorHAnsi" w:hAnsi="Open Sans" w:cs="OpenSans"/>
          <w:color w:val="4E4E4E"/>
        </w:rPr>
        <w:t>ingevoerd.</w:t>
      </w:r>
      <w:r>
        <w:rPr>
          <w:rStyle w:val="FootnoteReference"/>
          <w:rFonts w:ascii="Open Sans" w:eastAsiaTheme="minorHAnsi" w:hAnsi="Open Sans" w:cs="OpenSans"/>
          <w:color w:val="4E4E4E"/>
        </w:rPr>
        <w:footnoteReference w:id="4"/>
      </w:r>
      <w:r w:rsidRPr="00145167">
        <w:rPr>
          <w:rFonts w:ascii="Open Sans" w:eastAsiaTheme="minorHAnsi" w:hAnsi="Open Sans" w:cs="OpenSans"/>
          <w:color w:val="4E4E4E"/>
        </w:rPr>
        <w:t xml:space="preserve"> Met het in werking treden van de </w:t>
      </w:r>
      <w:proofErr w:type="spellStart"/>
      <w:r w:rsidRPr="00145167">
        <w:rPr>
          <w:rFonts w:ascii="Open Sans" w:eastAsiaTheme="minorHAnsi" w:hAnsi="Open Sans" w:cs="OpenSans"/>
          <w:color w:val="4E4E4E"/>
        </w:rPr>
        <w:t>WTZi</w:t>
      </w:r>
      <w:proofErr w:type="spellEnd"/>
      <w:r w:rsidRPr="00145167">
        <w:rPr>
          <w:rFonts w:ascii="Open Sans" w:eastAsiaTheme="minorHAnsi" w:hAnsi="Open Sans" w:cs="OpenSans"/>
          <w:color w:val="4E4E4E"/>
        </w:rPr>
        <w:t xml:space="preserve"> is de Regeling zelfstandige behandelcentra komen te vervallen</w:t>
      </w:r>
      <w:r>
        <w:rPr>
          <w:rFonts w:ascii="Open Sans" w:eastAsiaTheme="minorHAnsi" w:hAnsi="Open Sans" w:cs="OpenSans"/>
          <w:color w:val="4E4E4E"/>
        </w:rPr>
        <w:t xml:space="preserve"> en</w:t>
      </w:r>
      <w:r w:rsidRPr="00145167">
        <w:rPr>
          <w:rFonts w:ascii="Open Sans" w:eastAsiaTheme="minorHAnsi" w:hAnsi="Open Sans" w:cs="OpenSans"/>
          <w:color w:val="4E4E4E"/>
        </w:rPr>
        <w:t xml:space="preserve"> bestaan alleen nog ‘instellingen voor medis</w:t>
      </w:r>
      <w:r>
        <w:rPr>
          <w:rFonts w:ascii="Open Sans" w:eastAsiaTheme="minorHAnsi" w:hAnsi="Open Sans" w:cs="OpenSans"/>
          <w:color w:val="4E4E4E"/>
        </w:rPr>
        <w:t>ch specialistische zorg´ (IMSZ);</w:t>
      </w:r>
      <w:r>
        <w:rPr>
          <w:rFonts w:ascii="Open Sans" w:eastAsiaTheme="minorHAnsi" w:hAnsi="Open Sans" w:cs="OpenSans"/>
          <w:color w:val="4E4E4E"/>
        </w:rPr>
        <w:br/>
      </w:r>
    </w:p>
    <w:p w14:paraId="34F7EF74" w14:textId="77777777" w:rsidR="00C47BF7" w:rsidRDefault="00C47BF7" w:rsidP="00C47BF7">
      <w:pPr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br w:type="page"/>
      </w:r>
    </w:p>
    <w:p w14:paraId="26AA0F22" w14:textId="77777777" w:rsidR="00C47BF7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65134498" w14:textId="77777777" w:rsidR="00C47BF7" w:rsidRPr="00D37D6E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2F3B72BB" w14:textId="6B8243DF" w:rsidR="00C47BF7" w:rsidRDefault="00C47BF7" w:rsidP="00C47BF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De toekennin</w:t>
      </w:r>
      <w:r w:rsidR="001615ED">
        <w:rPr>
          <w:rFonts w:ascii="Open Sans" w:eastAsiaTheme="minorHAnsi" w:hAnsi="Open Sans" w:cs="OpenSans"/>
          <w:color w:val="4E4E4E"/>
        </w:rPr>
        <w:t>g</w:t>
      </w:r>
      <w:r>
        <w:rPr>
          <w:rFonts w:ascii="Open Sans" w:eastAsiaTheme="minorHAnsi" w:hAnsi="Open Sans" w:cs="OpenSans"/>
          <w:color w:val="4E4E4E"/>
        </w:rPr>
        <w:t>sregel moet voldoen aan</w:t>
      </w:r>
    </w:p>
    <w:p w14:paraId="16AD3EE9" w14:textId="6F8ED55D" w:rsidR="00C47BF7" w:rsidRDefault="00C47BF7" w:rsidP="001615ED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 w:rsidRPr="001615ED">
        <w:rPr>
          <w:rFonts w:ascii="Open Sans" w:eastAsiaTheme="minorHAnsi" w:hAnsi="Open Sans" w:cs="OpenSans"/>
          <w:i/>
          <w:color w:val="4E4E4E"/>
        </w:rPr>
        <w:t>Evenredigheidsbeginsel:</w:t>
      </w:r>
      <w:r>
        <w:rPr>
          <w:rFonts w:ascii="Open Sans" w:eastAsiaTheme="minorHAnsi" w:hAnsi="Open Sans" w:cs="OpenSans"/>
          <w:color w:val="4E4E4E"/>
        </w:rPr>
        <w:t xml:space="preserve"> de nadelige gevolgen (lees: uitsluiting van instellingen die niet in aanmerking komen) wegen niet zwaarder dan het algemeen belang (lees: de digitale uitwisseling van informatie voor een zo groot mogelijke </w:t>
      </w:r>
      <w:r w:rsidR="001615ED">
        <w:rPr>
          <w:rFonts w:ascii="Open Sans" w:eastAsiaTheme="minorHAnsi" w:hAnsi="Open Sans" w:cs="OpenSans"/>
          <w:color w:val="4E4E4E"/>
        </w:rPr>
        <w:t>patiëntenpopulatie</w:t>
      </w:r>
      <w:r>
        <w:rPr>
          <w:rFonts w:ascii="Open Sans" w:eastAsiaTheme="minorHAnsi" w:hAnsi="Open Sans" w:cs="OpenSans"/>
          <w:color w:val="4E4E4E"/>
        </w:rPr>
        <w:t xml:space="preserve"> realiseren)</w:t>
      </w:r>
    </w:p>
    <w:p w14:paraId="0F53355B" w14:textId="77777777" w:rsidR="00C47BF7" w:rsidRDefault="00C47BF7" w:rsidP="001615ED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 w:rsidRPr="001615ED">
        <w:rPr>
          <w:rFonts w:ascii="Open Sans" w:eastAsiaTheme="minorHAnsi" w:hAnsi="Open Sans" w:cs="OpenSans"/>
          <w:i/>
          <w:color w:val="4E4E4E"/>
        </w:rPr>
        <w:t>Gelijkheidsbeginsel:</w:t>
      </w:r>
      <w:r>
        <w:rPr>
          <w:rFonts w:ascii="Open Sans" w:eastAsiaTheme="minorHAnsi" w:hAnsi="Open Sans" w:cs="OpenSans"/>
          <w:color w:val="4E4E4E"/>
        </w:rPr>
        <w:t xml:space="preserve"> gelijke instellingen hebben gelijke rechten (op het programma)</w:t>
      </w:r>
    </w:p>
    <w:p w14:paraId="0632AD31" w14:textId="77777777" w:rsidR="00C47BF7" w:rsidRPr="00CC2635" w:rsidRDefault="00C47BF7" w:rsidP="001615ED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 w:rsidRPr="001615ED">
        <w:rPr>
          <w:rFonts w:ascii="Open Sans" w:eastAsiaTheme="minorHAnsi" w:hAnsi="Open Sans" w:cs="OpenSans"/>
          <w:i/>
          <w:color w:val="4E4E4E"/>
        </w:rPr>
        <w:t>Fair-</w:t>
      </w:r>
      <w:proofErr w:type="spellStart"/>
      <w:r w:rsidRPr="001615ED">
        <w:rPr>
          <w:rFonts w:ascii="Open Sans" w:eastAsiaTheme="minorHAnsi" w:hAnsi="Open Sans" w:cs="OpenSans"/>
          <w:i/>
          <w:color w:val="4E4E4E"/>
        </w:rPr>
        <w:t>play</w:t>
      </w:r>
      <w:proofErr w:type="spellEnd"/>
      <w:r w:rsidRPr="001615ED">
        <w:rPr>
          <w:rFonts w:ascii="Open Sans" w:eastAsiaTheme="minorHAnsi" w:hAnsi="Open Sans" w:cs="OpenSans"/>
          <w:i/>
          <w:color w:val="4E4E4E"/>
        </w:rPr>
        <w:t>-beginsel:</w:t>
      </w:r>
      <w:r>
        <w:rPr>
          <w:rFonts w:ascii="Open Sans" w:eastAsiaTheme="minorHAnsi" w:hAnsi="Open Sans" w:cs="OpenSans"/>
          <w:color w:val="4E4E4E"/>
        </w:rPr>
        <w:t xml:space="preserve"> de overheid moet zich onpartijdig opstellen </w:t>
      </w:r>
      <w:r>
        <w:rPr>
          <w:rFonts w:ascii="Open Sans" w:eastAsiaTheme="minorHAnsi" w:hAnsi="Open Sans" w:cs="OpenSans"/>
          <w:color w:val="4E4E4E"/>
        </w:rPr>
        <w:br/>
      </w:r>
    </w:p>
    <w:p w14:paraId="612AEF11" w14:textId="77777777" w:rsidR="00C47BF7" w:rsidRDefault="00C47BF7" w:rsidP="00C47BF7">
      <w:pPr>
        <w:autoSpaceDE w:val="0"/>
        <w:autoSpaceDN w:val="0"/>
        <w:adjustRightInd w:val="0"/>
        <w:ind w:firstLine="426"/>
        <w:rPr>
          <w:rFonts w:ascii="Open Sans" w:eastAsiaTheme="minorHAnsi" w:hAnsi="Open Sans" w:cs="OpenSans"/>
          <w:color w:val="4E4E4E"/>
        </w:rPr>
      </w:pPr>
    </w:p>
    <w:p w14:paraId="6E8DA22A" w14:textId="2BAA31D6" w:rsidR="001615ED" w:rsidRDefault="00DF221F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  <w:sz w:val="22"/>
        </w:rPr>
      </w:pPr>
      <w:r>
        <w:rPr>
          <w:rFonts w:ascii="Open Sans" w:eastAsiaTheme="minorHAnsi" w:hAnsi="Open Sans" w:cs="OpenSans"/>
          <w:color w:val="4E4E4E"/>
          <w:sz w:val="22"/>
        </w:rPr>
        <w:t>Wordt</w:t>
      </w:r>
      <w:r w:rsidR="001615ED" w:rsidRPr="00DF221F">
        <w:rPr>
          <w:rFonts w:ascii="Open Sans" w:eastAsiaTheme="minorHAnsi" w:hAnsi="Open Sans" w:cs="OpenSans"/>
          <w:color w:val="4E4E4E"/>
          <w:sz w:val="22"/>
        </w:rPr>
        <w:t xml:space="preserve"> de volgende – alternatieve – toekenningsregel </w:t>
      </w:r>
      <w:r>
        <w:rPr>
          <w:rFonts w:ascii="Open Sans" w:eastAsiaTheme="minorHAnsi" w:hAnsi="Open Sans" w:cs="OpenSans"/>
          <w:color w:val="4E4E4E"/>
          <w:sz w:val="22"/>
        </w:rPr>
        <w:t>voorgesteld.</w:t>
      </w:r>
    </w:p>
    <w:p w14:paraId="2EDB3C6F" w14:textId="77777777" w:rsidR="00DF221F" w:rsidRDefault="00DF221F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  <w:sz w:val="22"/>
        </w:rPr>
      </w:pPr>
    </w:p>
    <w:p w14:paraId="3B46AB78" w14:textId="212CF46F" w:rsidR="00DF221F" w:rsidRPr="00DF221F" w:rsidRDefault="00DF221F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  <w:sz w:val="22"/>
        </w:rPr>
      </w:pPr>
      <w:r>
        <w:rPr>
          <w:rFonts w:ascii="Open Sans" w:eastAsiaTheme="minorHAnsi" w:hAnsi="Open Sans" w:cs="OpenSans"/>
          <w:color w:val="4E4E4E"/>
          <w:sz w:val="22"/>
        </w:rPr>
        <w:t xml:space="preserve">Een instelling voor medisch specialistische zorg komt in aanmerking voor het </w:t>
      </w:r>
      <w:proofErr w:type="gramStart"/>
      <w:r>
        <w:rPr>
          <w:rFonts w:ascii="Open Sans" w:eastAsiaTheme="minorHAnsi" w:hAnsi="Open Sans" w:cs="OpenSans"/>
          <w:color w:val="4E4E4E"/>
          <w:sz w:val="22"/>
        </w:rPr>
        <w:t>VIPP programma</w:t>
      </w:r>
      <w:proofErr w:type="gramEnd"/>
      <w:r>
        <w:rPr>
          <w:rFonts w:ascii="Open Sans" w:eastAsiaTheme="minorHAnsi" w:hAnsi="Open Sans" w:cs="OpenSans"/>
          <w:color w:val="4E4E4E"/>
          <w:sz w:val="22"/>
        </w:rPr>
        <w:t xml:space="preserve"> indien:</w:t>
      </w:r>
    </w:p>
    <w:p w14:paraId="069EC3E1" w14:textId="1C676B07" w:rsidR="00C47BF7" w:rsidRPr="00DF221F" w:rsidRDefault="00C47BF7" w:rsidP="00C47BF7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  <w:sz w:val="22"/>
        </w:rPr>
      </w:pPr>
    </w:p>
    <w:p w14:paraId="13CD4630" w14:textId="77777777" w:rsidR="00C47BF7" w:rsidRDefault="00C47BF7" w:rsidP="00C47BF7">
      <w:pPr>
        <w:autoSpaceDE w:val="0"/>
        <w:autoSpaceDN w:val="0"/>
        <w:adjustRightInd w:val="0"/>
        <w:ind w:firstLine="426"/>
        <w:rPr>
          <w:rFonts w:ascii="Open Sans" w:eastAsiaTheme="minorHAnsi" w:hAnsi="Open Sans" w:cs="OpenSans"/>
          <w:color w:val="4E4E4E"/>
        </w:rPr>
      </w:pPr>
    </w:p>
    <w:p w14:paraId="119F1C94" w14:textId="77777777" w:rsidR="009C33EF" w:rsidRDefault="00DF221F" w:rsidP="00C47B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0" w:hanging="425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De i</w:t>
      </w:r>
      <w:r w:rsidR="00C47BF7">
        <w:rPr>
          <w:rFonts w:ascii="Open Sans" w:eastAsiaTheme="minorHAnsi" w:hAnsi="Open Sans" w:cs="OpenSans"/>
          <w:color w:val="4E4E4E"/>
        </w:rPr>
        <w:t xml:space="preserve">nstelling meer dan EUR 15 miljoen omzet op jaarbasis </w:t>
      </w:r>
      <w:r w:rsidR="009C33EF">
        <w:rPr>
          <w:rFonts w:ascii="Open Sans" w:eastAsiaTheme="minorHAnsi" w:hAnsi="Open Sans" w:cs="OpenSans"/>
          <w:color w:val="4E4E4E"/>
        </w:rPr>
        <w:t>heeft;</w:t>
      </w:r>
    </w:p>
    <w:p w14:paraId="450A62CC" w14:textId="309B86F9" w:rsidR="00C47BF7" w:rsidRDefault="001615ED" w:rsidP="009C33EF">
      <w:pPr>
        <w:pStyle w:val="ListParagraph"/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i/>
          <w:color w:val="4E4E4E"/>
        </w:rPr>
        <w:t>(</w:t>
      </w:r>
      <w:proofErr w:type="gramStart"/>
      <w:r>
        <w:rPr>
          <w:rFonts w:ascii="Open Sans" w:eastAsiaTheme="minorHAnsi" w:hAnsi="Open Sans" w:cs="OpenSans"/>
          <w:i/>
          <w:color w:val="4E4E4E"/>
        </w:rPr>
        <w:t>rationale</w:t>
      </w:r>
      <w:proofErr w:type="gramEnd"/>
      <w:r>
        <w:rPr>
          <w:rFonts w:ascii="Open Sans" w:eastAsiaTheme="minorHAnsi" w:hAnsi="Open Sans" w:cs="OpenSans"/>
          <w:i/>
          <w:color w:val="4E4E4E"/>
        </w:rPr>
        <w:t>: oorspronkelijke toekenningsregel)</w:t>
      </w:r>
      <w:r w:rsidR="00C47BF7">
        <w:rPr>
          <w:rFonts w:ascii="Open Sans" w:eastAsiaTheme="minorHAnsi" w:hAnsi="Open Sans" w:cs="OpenSans"/>
          <w:color w:val="4E4E4E"/>
        </w:rPr>
        <w:br/>
      </w:r>
    </w:p>
    <w:p w14:paraId="4165D802" w14:textId="77777777" w:rsidR="001615ED" w:rsidRDefault="001615ED" w:rsidP="001615ED">
      <w:pPr>
        <w:pStyle w:val="ListParagraph"/>
        <w:autoSpaceDE w:val="0"/>
        <w:autoSpaceDN w:val="0"/>
        <w:adjustRightInd w:val="0"/>
        <w:ind w:left="0"/>
        <w:rPr>
          <w:rFonts w:ascii="Open Sans" w:eastAsiaTheme="minorHAnsi" w:hAnsi="Open Sans" w:cs="OpenSans"/>
          <w:color w:val="4E4E4E"/>
        </w:rPr>
      </w:pPr>
      <w:proofErr w:type="gramStart"/>
      <w:r>
        <w:rPr>
          <w:rFonts w:ascii="Open Sans" w:eastAsiaTheme="minorHAnsi" w:hAnsi="Open Sans" w:cs="OpenSans"/>
          <w:color w:val="4E4E4E"/>
        </w:rPr>
        <w:t>OF</w:t>
      </w:r>
      <w:proofErr w:type="gramEnd"/>
      <w:r>
        <w:rPr>
          <w:rFonts w:ascii="Open Sans" w:eastAsiaTheme="minorHAnsi" w:hAnsi="Open Sans" w:cs="OpenSans"/>
          <w:color w:val="4E4E4E"/>
        </w:rPr>
        <w:t xml:space="preserve"> </w:t>
      </w:r>
    </w:p>
    <w:p w14:paraId="3AA9CE6C" w14:textId="77777777" w:rsidR="001615ED" w:rsidRPr="001615ED" w:rsidRDefault="001615ED" w:rsidP="001615ED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p w14:paraId="3A7D1143" w14:textId="71B6AEC6" w:rsidR="00C47BF7" w:rsidRDefault="009C33EF" w:rsidP="00C47BF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0" w:hanging="425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 xml:space="preserve">De instelling aan minimaal </w:t>
      </w:r>
      <w:r w:rsidR="00DF221F">
        <w:rPr>
          <w:rFonts w:ascii="Open Sans" w:eastAsiaTheme="minorHAnsi" w:hAnsi="Open Sans" w:cs="OpenSans"/>
          <w:color w:val="4E4E4E"/>
        </w:rPr>
        <w:t xml:space="preserve">3 van de 5 voorwaarden </w:t>
      </w:r>
      <w:r>
        <w:rPr>
          <w:rFonts w:ascii="Open Sans" w:eastAsiaTheme="minorHAnsi" w:hAnsi="Open Sans" w:cs="OpenSans"/>
          <w:color w:val="4E4E4E"/>
        </w:rPr>
        <w:t>voldoet</w:t>
      </w:r>
      <w:r w:rsidR="00DF221F">
        <w:rPr>
          <w:rFonts w:ascii="Open Sans" w:eastAsiaTheme="minorHAnsi" w:hAnsi="Open Sans" w:cs="OpenSans"/>
          <w:color w:val="4E4E4E"/>
        </w:rPr>
        <w:t>:</w:t>
      </w:r>
      <w:r>
        <w:rPr>
          <w:rFonts w:ascii="Open Sans" w:eastAsiaTheme="minorHAnsi" w:hAnsi="Open Sans" w:cs="OpenSans"/>
          <w:color w:val="4E4E4E"/>
        </w:rPr>
        <w:br/>
      </w:r>
      <w:r>
        <w:rPr>
          <w:rFonts w:ascii="Open Sans" w:eastAsiaTheme="minorHAnsi" w:hAnsi="Open Sans" w:cs="OpenSans"/>
          <w:i/>
          <w:color w:val="4E4E4E"/>
        </w:rPr>
        <w:t>(rationale: aanvullende hardheidsclausule, om instellingen mogelijkheid te bieden zich alsnog te kwalificeren bij een jaaromzet van minder dan 15 miljoen euro</w:t>
      </w:r>
      <w:r w:rsidR="00272E99">
        <w:rPr>
          <w:rFonts w:ascii="Open Sans" w:eastAsiaTheme="minorHAnsi" w:hAnsi="Open Sans" w:cs="OpenSans"/>
          <w:i/>
          <w:color w:val="4E4E4E"/>
        </w:rPr>
        <w:t xml:space="preserve">. Elk van de voorwaarden is afgeleid van de doelen van het </w:t>
      </w:r>
      <w:proofErr w:type="gramStart"/>
      <w:r w:rsidR="00272E99">
        <w:rPr>
          <w:rFonts w:ascii="Open Sans" w:eastAsiaTheme="minorHAnsi" w:hAnsi="Open Sans" w:cs="OpenSans"/>
          <w:i/>
          <w:color w:val="4E4E4E"/>
        </w:rPr>
        <w:t>VIPP programma</w:t>
      </w:r>
      <w:proofErr w:type="gramEnd"/>
      <w:r>
        <w:rPr>
          <w:rFonts w:ascii="Open Sans" w:eastAsiaTheme="minorHAnsi" w:hAnsi="Open Sans" w:cs="OpenSans"/>
          <w:i/>
          <w:color w:val="4E4E4E"/>
        </w:rPr>
        <w:t>)</w:t>
      </w:r>
      <w:r>
        <w:rPr>
          <w:rFonts w:ascii="Open Sans" w:eastAsiaTheme="minorHAnsi" w:hAnsi="Open Sans" w:cs="OpenSans"/>
          <w:color w:val="4E4E4E"/>
        </w:rPr>
        <w:br/>
      </w:r>
      <w:r w:rsidR="00DF221F">
        <w:rPr>
          <w:rFonts w:ascii="Open Sans" w:eastAsiaTheme="minorHAnsi" w:hAnsi="Open Sans" w:cs="OpenSans"/>
          <w:color w:val="4E4E4E"/>
        </w:rPr>
        <w:br/>
      </w:r>
    </w:p>
    <w:p w14:paraId="098F6C96" w14:textId="2A608317" w:rsidR="00DF221F" w:rsidRPr="00DF221F" w:rsidRDefault="009C33EF" w:rsidP="00DF221F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Instelling behandelt</w:t>
      </w:r>
      <w:r w:rsidR="00DF221F">
        <w:rPr>
          <w:rFonts w:ascii="Open Sans" w:eastAsiaTheme="minorHAnsi" w:hAnsi="Open Sans" w:cs="OpenSans"/>
          <w:color w:val="4E4E4E"/>
        </w:rPr>
        <w:t xml:space="preserve"> minimaal 15</w:t>
      </w:r>
      <w:r w:rsidR="00C47BF7">
        <w:rPr>
          <w:rFonts w:ascii="Open Sans" w:eastAsiaTheme="minorHAnsi" w:hAnsi="Open Sans" w:cs="OpenSans"/>
          <w:color w:val="4E4E4E"/>
        </w:rPr>
        <w:t>.000</w:t>
      </w:r>
      <w:r w:rsidR="00DF221F">
        <w:rPr>
          <w:rFonts w:ascii="Open Sans" w:eastAsiaTheme="minorHAnsi" w:hAnsi="Open Sans" w:cs="OpenSans"/>
          <w:color w:val="4E4E4E"/>
        </w:rPr>
        <w:t xml:space="preserve"> unieke patiënten op jaarbasis;</w:t>
      </w:r>
      <w:r w:rsidR="00DF221F">
        <w:rPr>
          <w:rFonts w:ascii="Open Sans" w:eastAsiaTheme="minorHAnsi" w:hAnsi="Open Sans" w:cs="OpenSans"/>
          <w:color w:val="4E4E4E"/>
        </w:rPr>
        <w:br/>
      </w:r>
      <w:r w:rsidR="00DF221F">
        <w:rPr>
          <w:rFonts w:ascii="Open Sans" w:eastAsiaTheme="minorHAnsi" w:hAnsi="Open Sans" w:cs="OpenSans"/>
          <w:i/>
          <w:color w:val="4E4E4E"/>
        </w:rPr>
        <w:t xml:space="preserve">(rationale: instellingen die relatief </w:t>
      </w:r>
      <w:r w:rsidR="00A330D3">
        <w:rPr>
          <w:rFonts w:ascii="Open Sans" w:eastAsiaTheme="minorHAnsi" w:hAnsi="Open Sans" w:cs="OpenSans"/>
          <w:i/>
          <w:color w:val="4E4E4E"/>
        </w:rPr>
        <w:t xml:space="preserve">weinig </w:t>
      </w:r>
      <w:r w:rsidR="00DF221F">
        <w:rPr>
          <w:rFonts w:ascii="Open Sans" w:eastAsiaTheme="minorHAnsi" w:hAnsi="Open Sans" w:cs="OpenSans"/>
          <w:i/>
          <w:color w:val="4E4E4E"/>
        </w:rPr>
        <w:t xml:space="preserve">omzet genereren, maar significante </w:t>
      </w:r>
      <w:r>
        <w:rPr>
          <w:rFonts w:ascii="Open Sans" w:eastAsiaTheme="minorHAnsi" w:hAnsi="Open Sans" w:cs="OpenSans"/>
          <w:i/>
          <w:color w:val="4E4E4E"/>
        </w:rPr>
        <w:t>patiënt</w:t>
      </w:r>
      <w:r w:rsidR="00DF221F">
        <w:rPr>
          <w:rFonts w:ascii="Open Sans" w:eastAsiaTheme="minorHAnsi" w:hAnsi="Open Sans" w:cs="OpenSans"/>
          <w:i/>
          <w:color w:val="4E4E4E"/>
        </w:rPr>
        <w:t xml:space="preserve"> aantallen bedienen)</w:t>
      </w:r>
      <w:r w:rsidR="00DF221F">
        <w:rPr>
          <w:rFonts w:ascii="Open Sans" w:eastAsiaTheme="minorHAnsi" w:hAnsi="Open Sans" w:cs="OpenSans"/>
          <w:i/>
          <w:color w:val="4E4E4E"/>
        </w:rPr>
        <w:br/>
      </w:r>
    </w:p>
    <w:p w14:paraId="6B0C196B" w14:textId="3E06C6EA" w:rsidR="00C47BF7" w:rsidRDefault="00DF221F" w:rsidP="00DF221F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Instelling heeft zich verbonden aan de CAO Ziekenhuizen;</w:t>
      </w:r>
      <w:r>
        <w:rPr>
          <w:rFonts w:ascii="Open Sans" w:eastAsiaTheme="minorHAnsi" w:hAnsi="Open Sans" w:cs="OpenSans"/>
          <w:color w:val="4E4E4E"/>
        </w:rPr>
        <w:br/>
      </w:r>
    </w:p>
    <w:p w14:paraId="58EF2D83" w14:textId="22CFD0B7" w:rsidR="00DF221F" w:rsidRDefault="00DF221F" w:rsidP="00DF221F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Instelling genereert minimaal 80% van haar omzet uit verzekerde zorg;</w:t>
      </w:r>
      <w:r>
        <w:rPr>
          <w:rFonts w:ascii="Open Sans" w:eastAsiaTheme="minorHAnsi" w:hAnsi="Open Sans" w:cs="OpenSans"/>
          <w:color w:val="4E4E4E"/>
        </w:rPr>
        <w:br/>
      </w:r>
    </w:p>
    <w:p w14:paraId="64907FF6" w14:textId="54994607" w:rsidR="00C47BF7" w:rsidRDefault="009C33EF" w:rsidP="00DF221F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</w:t>
      </w:r>
      <w:r w:rsidR="005626DF">
        <w:rPr>
          <w:rFonts w:ascii="Open Sans" w:eastAsiaTheme="minorHAnsi" w:hAnsi="Open Sans" w:cs="OpenSans"/>
          <w:color w:val="4E4E4E"/>
        </w:rPr>
        <w:t>nstelling biedt zorg in minimaal 3 verschillende medisch specialismen, zoals gedefinieerd in COD016-VEKT;</w:t>
      </w:r>
      <w:r w:rsidR="005626DF">
        <w:rPr>
          <w:rFonts w:ascii="Open Sans" w:eastAsiaTheme="minorHAnsi" w:hAnsi="Open Sans" w:cs="OpenSans"/>
          <w:color w:val="4E4E4E"/>
        </w:rPr>
        <w:br/>
      </w:r>
      <w:bookmarkStart w:id="0" w:name="_GoBack"/>
      <w:bookmarkEnd w:id="0"/>
    </w:p>
    <w:p w14:paraId="1689F7CE" w14:textId="458F403D" w:rsidR="00C47BF7" w:rsidRDefault="005626DF" w:rsidP="00DF221F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6"/>
        <w:rPr>
          <w:rFonts w:ascii="Open Sans" w:eastAsiaTheme="minorHAnsi" w:hAnsi="Open Sans" w:cs="OpenSans"/>
          <w:color w:val="4E4E4E"/>
        </w:rPr>
      </w:pPr>
      <w:r>
        <w:rPr>
          <w:rFonts w:ascii="Open Sans" w:eastAsiaTheme="minorHAnsi" w:hAnsi="Open Sans" w:cs="OpenSans"/>
          <w:color w:val="4E4E4E"/>
        </w:rPr>
        <w:t>Instelling biedt zorg op minimaal 3 verschillende geografische locaties</w:t>
      </w:r>
      <w:r w:rsidR="00272E99">
        <w:rPr>
          <w:rFonts w:ascii="Open Sans" w:eastAsiaTheme="minorHAnsi" w:hAnsi="Open Sans" w:cs="OpenSans"/>
          <w:color w:val="4E4E4E"/>
        </w:rPr>
        <w:t>.</w:t>
      </w:r>
    </w:p>
    <w:p w14:paraId="4B5A644C" w14:textId="68588E24" w:rsidR="008102CB" w:rsidRPr="005626DF" w:rsidRDefault="008102CB" w:rsidP="005626DF">
      <w:pPr>
        <w:autoSpaceDE w:val="0"/>
        <w:autoSpaceDN w:val="0"/>
        <w:adjustRightInd w:val="0"/>
        <w:rPr>
          <w:rFonts w:ascii="Open Sans" w:eastAsiaTheme="minorHAnsi" w:hAnsi="Open Sans" w:cs="OpenSans"/>
          <w:color w:val="4E4E4E"/>
        </w:rPr>
      </w:pPr>
    </w:p>
    <w:sectPr w:rsidR="008102CB" w:rsidRPr="005626DF" w:rsidSect="00F60E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BBCD4" w14:textId="77777777" w:rsidR="00C21162" w:rsidRDefault="00C21162" w:rsidP="00C47BF7">
      <w:r>
        <w:separator/>
      </w:r>
    </w:p>
  </w:endnote>
  <w:endnote w:type="continuationSeparator" w:id="0">
    <w:p w14:paraId="55BD8402" w14:textId="77777777" w:rsidR="00C21162" w:rsidRDefault="00C21162" w:rsidP="00C4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E0ADF" w14:textId="77777777" w:rsidR="00C21162" w:rsidRDefault="00C21162" w:rsidP="00C47BF7">
      <w:r>
        <w:separator/>
      </w:r>
    </w:p>
  </w:footnote>
  <w:footnote w:type="continuationSeparator" w:id="0">
    <w:p w14:paraId="7DCE3E98" w14:textId="77777777" w:rsidR="00C21162" w:rsidRDefault="00C21162" w:rsidP="00C47BF7">
      <w:r>
        <w:continuationSeparator/>
      </w:r>
    </w:p>
  </w:footnote>
  <w:footnote w:id="1">
    <w:p w14:paraId="01473E0B" w14:textId="77777777" w:rsidR="00C47BF7" w:rsidRPr="00C47BF7" w:rsidRDefault="00C47BF7" w:rsidP="00C47BF7">
      <w:pPr>
        <w:pStyle w:val="FootnoteText"/>
        <w:rPr>
          <w:rFonts w:ascii="Open Sans" w:hAnsi="Open Sans"/>
          <w:color w:val="44546A" w:themeColor="text2"/>
          <w:sz w:val="20"/>
          <w:szCs w:val="22"/>
        </w:rPr>
      </w:pPr>
      <w:r w:rsidRPr="00C47BF7">
        <w:rPr>
          <w:rStyle w:val="FootnoteReference"/>
          <w:rFonts w:ascii="Open Sans" w:hAnsi="Open Sans"/>
          <w:color w:val="44546A" w:themeColor="text2"/>
          <w:sz w:val="20"/>
          <w:szCs w:val="22"/>
        </w:rPr>
        <w:footnoteRef/>
      </w:r>
      <w:r w:rsidRPr="00C47BF7">
        <w:rPr>
          <w:rFonts w:ascii="Open Sans" w:hAnsi="Open Sans"/>
          <w:color w:val="44546A" w:themeColor="text2"/>
          <w:sz w:val="20"/>
          <w:szCs w:val="22"/>
        </w:rPr>
        <w:t xml:space="preserve"> </w:t>
      </w:r>
      <w:proofErr w:type="gramStart"/>
      <w:r w:rsidRPr="00C47BF7">
        <w:rPr>
          <w:rFonts w:ascii="Open Sans" w:hAnsi="Open Sans"/>
          <w:color w:val="44546A" w:themeColor="text2"/>
          <w:sz w:val="20"/>
          <w:szCs w:val="22"/>
        </w:rPr>
        <w:t>http://wetten.overheid.nl/BWBR0009455/2016-08-01</w:t>
      </w:r>
      <w:proofErr w:type="gramEnd"/>
    </w:p>
  </w:footnote>
  <w:footnote w:id="2">
    <w:p w14:paraId="2523E47E" w14:textId="77777777" w:rsidR="00C47BF7" w:rsidRPr="00C47BF7" w:rsidRDefault="00C47BF7" w:rsidP="00C47BF7">
      <w:pPr>
        <w:pStyle w:val="FootnoteText"/>
        <w:rPr>
          <w:rFonts w:ascii="Open Sans" w:hAnsi="Open Sans"/>
          <w:color w:val="44546A" w:themeColor="text2"/>
          <w:sz w:val="20"/>
          <w:szCs w:val="22"/>
        </w:rPr>
      </w:pPr>
      <w:r w:rsidRPr="00C47BF7">
        <w:rPr>
          <w:rStyle w:val="FootnoteReference"/>
          <w:rFonts w:ascii="Open Sans" w:hAnsi="Open Sans"/>
          <w:color w:val="44546A" w:themeColor="text2"/>
          <w:sz w:val="20"/>
          <w:szCs w:val="22"/>
        </w:rPr>
        <w:footnoteRef/>
      </w:r>
      <w:r w:rsidRPr="00C47BF7">
        <w:rPr>
          <w:rFonts w:ascii="Open Sans" w:hAnsi="Open Sans"/>
          <w:color w:val="44546A" w:themeColor="text2"/>
          <w:sz w:val="20"/>
          <w:szCs w:val="22"/>
        </w:rPr>
        <w:t xml:space="preserve"> </w:t>
      </w:r>
      <w:proofErr w:type="gramStart"/>
      <w:r w:rsidRPr="00C47BF7">
        <w:rPr>
          <w:rFonts w:ascii="Open Sans" w:hAnsi="Open Sans"/>
          <w:color w:val="44546A" w:themeColor="text2"/>
          <w:sz w:val="20"/>
          <w:szCs w:val="22"/>
        </w:rPr>
        <w:t>http://wetten.overheid.nl/BWBR0005537/2016-11-03#Hoofdstuk4_Titeldeel4.2_Afdeling4.2.1_Artikel4:24</w:t>
      </w:r>
      <w:proofErr w:type="gramEnd"/>
    </w:p>
  </w:footnote>
  <w:footnote w:id="3">
    <w:p w14:paraId="6D018DF6" w14:textId="77777777" w:rsidR="00C47BF7" w:rsidRPr="00C47BF7" w:rsidRDefault="00C47BF7" w:rsidP="00C47BF7">
      <w:pPr>
        <w:pStyle w:val="FootnoteText"/>
        <w:rPr>
          <w:sz w:val="21"/>
        </w:rPr>
      </w:pPr>
      <w:r w:rsidRPr="00C47BF7">
        <w:rPr>
          <w:rStyle w:val="FootnoteReference"/>
          <w:rFonts w:ascii="Open Sans" w:hAnsi="Open Sans"/>
          <w:color w:val="44546A" w:themeColor="text2"/>
          <w:sz w:val="20"/>
          <w:szCs w:val="22"/>
        </w:rPr>
        <w:footnoteRef/>
      </w:r>
      <w:r w:rsidRPr="00C47BF7">
        <w:rPr>
          <w:rFonts w:ascii="Open Sans" w:hAnsi="Open Sans"/>
          <w:color w:val="44546A" w:themeColor="text2"/>
          <w:sz w:val="20"/>
          <w:szCs w:val="22"/>
        </w:rPr>
        <w:t xml:space="preserve"> </w:t>
      </w:r>
      <w:proofErr w:type="gramStart"/>
      <w:r w:rsidRPr="00C47BF7">
        <w:rPr>
          <w:rFonts w:ascii="Open Sans" w:hAnsi="Open Sans"/>
          <w:color w:val="44546A" w:themeColor="text2"/>
          <w:sz w:val="20"/>
          <w:szCs w:val="22"/>
        </w:rPr>
        <w:t>https://www.volksgezondheidenzorg.info/onderwerp/ziekenhuiszorg/regionaal-internationaal/locaties</w:t>
      </w:r>
      <w:proofErr w:type="gramEnd"/>
      <w:r w:rsidRPr="00C47BF7">
        <w:rPr>
          <w:rFonts w:ascii="Open Sans" w:hAnsi="Open Sans"/>
          <w:color w:val="44546A" w:themeColor="text2"/>
          <w:sz w:val="20"/>
          <w:szCs w:val="22"/>
        </w:rPr>
        <w:t xml:space="preserve"> en https://www.nvz-ziekenhuizen.nl/over-de-branche/ziekenhuizen/</w:t>
      </w:r>
    </w:p>
  </w:footnote>
  <w:footnote w:id="4">
    <w:p w14:paraId="6FB01A0D" w14:textId="77777777" w:rsidR="00C47BF7" w:rsidRPr="000F4130" w:rsidRDefault="00C47BF7" w:rsidP="00C47BF7">
      <w:pPr>
        <w:pStyle w:val="FootnoteText"/>
        <w:rPr>
          <w:rFonts w:ascii="Open Sans" w:hAnsi="Open Sans"/>
          <w:color w:val="44546A" w:themeColor="text2"/>
          <w:sz w:val="22"/>
          <w:szCs w:val="22"/>
        </w:rPr>
      </w:pPr>
      <w:r w:rsidRPr="00C47BF7">
        <w:rPr>
          <w:rStyle w:val="FootnoteReference"/>
          <w:rFonts w:ascii="Open Sans" w:hAnsi="Open Sans"/>
          <w:color w:val="44546A" w:themeColor="text2"/>
          <w:sz w:val="20"/>
          <w:szCs w:val="22"/>
        </w:rPr>
        <w:footnoteRef/>
      </w:r>
      <w:r w:rsidRPr="00C47BF7">
        <w:rPr>
          <w:rFonts w:ascii="Open Sans" w:hAnsi="Open Sans"/>
          <w:color w:val="44546A" w:themeColor="text2"/>
          <w:sz w:val="20"/>
          <w:szCs w:val="22"/>
        </w:rPr>
        <w:t xml:space="preserve"> </w:t>
      </w:r>
      <w:proofErr w:type="spellStart"/>
      <w:r w:rsidRPr="00C47BF7">
        <w:rPr>
          <w:rFonts w:ascii="Open Sans" w:hAnsi="Open Sans"/>
          <w:color w:val="44546A" w:themeColor="text2"/>
          <w:sz w:val="20"/>
          <w:szCs w:val="22"/>
        </w:rPr>
        <w:t>NZa</w:t>
      </w:r>
      <w:proofErr w:type="spellEnd"/>
      <w:r w:rsidRPr="00C47BF7">
        <w:rPr>
          <w:rFonts w:ascii="Open Sans" w:hAnsi="Open Sans"/>
          <w:color w:val="44546A" w:themeColor="text2"/>
          <w:sz w:val="20"/>
          <w:szCs w:val="22"/>
        </w:rPr>
        <w:t>, https://www.nza.nl/1048076/1048181/Monitor_Zelfstandige_behandelcentra.pdf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0209F"/>
    <w:multiLevelType w:val="hybridMultilevel"/>
    <w:tmpl w:val="33E0645C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7A350AF6"/>
    <w:multiLevelType w:val="hybridMultilevel"/>
    <w:tmpl w:val="794A84AE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>
      <w:start w:val="1"/>
      <w:numFmt w:val="lowerLetter"/>
      <w:lvlText w:val="%2."/>
      <w:lvlJc w:val="left"/>
      <w:pPr>
        <w:ind w:left="2629" w:hanging="360"/>
      </w:pPr>
    </w:lvl>
    <w:lvl w:ilvl="2" w:tplc="0409001B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F7"/>
    <w:rsid w:val="001615ED"/>
    <w:rsid w:val="00272E99"/>
    <w:rsid w:val="005626DF"/>
    <w:rsid w:val="00663D21"/>
    <w:rsid w:val="008102CB"/>
    <w:rsid w:val="009C33EF"/>
    <w:rsid w:val="00A330D3"/>
    <w:rsid w:val="00C21162"/>
    <w:rsid w:val="00C47BF7"/>
    <w:rsid w:val="00DF221F"/>
    <w:rsid w:val="00F6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2D5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BF7"/>
    <w:rPr>
      <w:rFonts w:ascii="Cambria" w:eastAsia="Cambria" w:hAnsi="Cambria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F7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47BF7"/>
  </w:style>
  <w:style w:type="character" w:customStyle="1" w:styleId="FootnoteTextChar">
    <w:name w:val="Footnote Text Char"/>
    <w:basedOn w:val="DefaultParagraphFont"/>
    <w:link w:val="FootnoteText"/>
    <w:uiPriority w:val="99"/>
    <w:rsid w:val="00C47BF7"/>
    <w:rPr>
      <w:rFonts w:ascii="Cambria" w:eastAsia="Cambria" w:hAnsi="Cambria" w:cs="Times New Roman"/>
      <w:lang w:val="nl-NL"/>
    </w:rPr>
  </w:style>
  <w:style w:type="character" w:styleId="FootnoteReference">
    <w:name w:val="footnote reference"/>
    <w:basedOn w:val="DefaultParagraphFont"/>
    <w:uiPriority w:val="99"/>
    <w:unhideWhenUsed/>
    <w:rsid w:val="00C47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 Healthcare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Kapitan</dc:creator>
  <cp:keywords/>
  <dc:description/>
  <cp:lastModifiedBy>Daniel Kapitan</cp:lastModifiedBy>
  <cp:revision>5</cp:revision>
  <dcterms:created xsi:type="dcterms:W3CDTF">2016-11-14T18:55:00Z</dcterms:created>
  <dcterms:modified xsi:type="dcterms:W3CDTF">2016-11-14T20:06:00Z</dcterms:modified>
</cp:coreProperties>
</file>