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DAFAD" w14:textId="77777777" w:rsidR="003F5E16" w:rsidRDefault="002817BE" w:rsidP="0022078A">
      <w:pPr>
        <w:pStyle w:val="ImageCaption"/>
      </w:pPr>
      <w:r>
        <w:t xml:space="preserve">1. </w:t>
      </w:r>
      <w:r w:rsidRPr="0022078A">
        <w:rPr>
          <w:rStyle w:val="HeaderChar"/>
        </w:rPr>
        <w:t xml:space="preserve">Seabirds in </w:t>
      </w:r>
      <w:proofErr w:type="spellStart"/>
      <w:r w:rsidRPr="0022078A">
        <w:rPr>
          <w:rStyle w:val="HeaderChar"/>
        </w:rPr>
        <w:t>upredictable</w:t>
      </w:r>
      <w:proofErr w:type="spellEnd"/>
      <w:r w:rsidRPr="0022078A">
        <w:rPr>
          <w:rStyle w:val="HeaderChar"/>
        </w:rPr>
        <w:t xml:space="preserve"> environments </w:t>
      </w:r>
      <w:proofErr w:type="spellStart"/>
      <w:r w:rsidRPr="0022078A">
        <w:rPr>
          <w:rStyle w:val="HeaderChar"/>
        </w:rPr>
        <w:t>favour</w:t>
      </w:r>
      <w:proofErr w:type="spellEnd"/>
      <w:r w:rsidRPr="0022078A">
        <w:rPr>
          <w:rStyle w:val="HeaderChar"/>
        </w:rPr>
        <w:t xml:space="preserve"> energy efficient movements OR 2. Scale, the missing link in predicting tropical seabird foraging strategy</w:t>
      </w:r>
    </w:p>
    <w:p w14:paraId="746DAFAE" w14:textId="77777777" w:rsidR="003F5E16" w:rsidRDefault="002817BE">
      <w:pPr>
        <w:pStyle w:val="Heading1"/>
      </w:pPr>
      <w:bookmarkStart w:id="0" w:name="abstract"/>
      <w:r>
        <w:t>Abstract</w:t>
      </w:r>
    </w:p>
    <w:p w14:paraId="746DAFAF" w14:textId="77777777" w:rsidR="003F5E16" w:rsidRDefault="002817BE">
      <w:pPr>
        <w:pStyle w:val="Heading1"/>
      </w:pPr>
      <w:bookmarkStart w:id="1" w:name="introduction"/>
      <w:bookmarkEnd w:id="0"/>
      <w:r>
        <w:t>Introduction</w:t>
      </w:r>
    </w:p>
    <w:p w14:paraId="746DAFB0" w14:textId="77777777" w:rsidR="003F5E16" w:rsidRDefault="002817BE" w:rsidP="002817BE">
      <w:pPr>
        <w:pStyle w:val="ListParagraph"/>
        <w:numPr>
          <w:ilvl w:val="0"/>
          <w:numId w:val="23"/>
        </w:numPr>
      </w:pPr>
      <w:r>
        <w:t>Widely accepted foraging theory expects forager distributions to be arranged in relation to prey density (patch richness), patch distribution (distances between) and predictability (periodicity of availability) in a way that facilitates efficient extraction of energy by reducing energy expenditure</w:t>
      </w:r>
    </w:p>
    <w:p w14:paraId="746DAFB1" w14:textId="77777777" w:rsidR="003F5E16" w:rsidRDefault="002817BE" w:rsidP="002817BE">
      <w:pPr>
        <w:pStyle w:val="ListParagraph"/>
        <w:numPr>
          <w:ilvl w:val="0"/>
          <w:numId w:val="23"/>
        </w:numPr>
      </w:pPr>
      <w:r>
        <w:t>The time component of resource distribution (predictability), can have drastic influences on a forager’s strategy</w:t>
      </w:r>
    </w:p>
    <w:p w14:paraId="746DAFB2" w14:textId="77777777" w:rsidR="003F5E16" w:rsidRDefault="002817BE" w:rsidP="002817BE">
      <w:pPr>
        <w:pStyle w:val="ListParagraph"/>
        <w:numPr>
          <w:ilvl w:val="0"/>
          <w:numId w:val="23"/>
        </w:numPr>
      </w:pPr>
      <w:r>
        <w:t>For example, highly predictable resources may result in a forager visiting the same location multiple times, while increased searching behaviour is expected where resources are less predictably available.</w:t>
      </w:r>
    </w:p>
    <w:p w14:paraId="746DAFB3" w14:textId="77777777" w:rsidR="003F5E16" w:rsidRDefault="002817BE" w:rsidP="002817BE">
      <w:pPr>
        <w:pStyle w:val="ListParagraph"/>
        <w:numPr>
          <w:ilvl w:val="0"/>
          <w:numId w:val="23"/>
        </w:numPr>
      </w:pPr>
      <w:r>
        <w:t>In marine environments, latitudinal distinctions in resource availability have been assigned</w:t>
      </w:r>
    </w:p>
    <w:p w14:paraId="746DAFB4" w14:textId="77777777" w:rsidR="003F5E16" w:rsidRDefault="002817BE" w:rsidP="002817BE">
      <w:pPr>
        <w:pStyle w:val="ListParagraph"/>
        <w:numPr>
          <w:ilvl w:val="0"/>
          <w:numId w:val="23"/>
        </w:numPr>
      </w:pPr>
      <w:r>
        <w:t>There is a need to understand how populations respond to the pacthiness of prey distributions and dynamic availabilities which is where tracking studies are irreplaceable</w:t>
      </w:r>
    </w:p>
    <w:p w14:paraId="746DAFB5" w14:textId="77777777" w:rsidR="003F5E16" w:rsidRDefault="002817BE" w:rsidP="002817BE">
      <w:pPr>
        <w:pStyle w:val="ListParagraph"/>
        <w:numPr>
          <w:ilvl w:val="0"/>
          <w:numId w:val="23"/>
        </w:numPr>
      </w:pPr>
      <w:r>
        <w:t>Hence, seabirds have been found to respond to these proxy parameters which are easier to gather data on that the prey themselves</w:t>
      </w:r>
    </w:p>
    <w:p w14:paraId="746DAFB6" w14:textId="77777777" w:rsidR="003F5E16" w:rsidRDefault="002817BE" w:rsidP="002817BE">
      <w:pPr>
        <w:pStyle w:val="ListParagraph"/>
        <w:numPr>
          <w:ilvl w:val="0"/>
          <w:numId w:val="23"/>
        </w:numPr>
      </w:pPr>
      <w:r>
        <w:t>There is great difficulty in studying most marine organisms, hindering characterisation of the true distribution of resource availability. Research into seabirds has been proposed as one such ‘sentinel’ to understand the patchiness and abundance of resources within such ecosystems.</w:t>
      </w:r>
    </w:p>
    <w:p w14:paraId="746DAFB7" w14:textId="77777777" w:rsidR="003F5E16" w:rsidRDefault="002817BE" w:rsidP="002817BE">
      <w:pPr>
        <w:pStyle w:val="ListParagraph"/>
        <w:numPr>
          <w:ilvl w:val="0"/>
          <w:numId w:val="23"/>
        </w:numPr>
      </w:pPr>
      <w:r>
        <w:t>Using the extent of foraging site fidelity in seabirds has been used as a proxy for establishing the predictability of marine resources has occurred for the last 2 decades (Weimerskirch (2007), Soanes et al. (2021))</w:t>
      </w:r>
    </w:p>
    <w:p w14:paraId="746DAFB8" w14:textId="77777777" w:rsidR="003F5E16" w:rsidRDefault="002817BE" w:rsidP="002817BE">
      <w:pPr>
        <w:pStyle w:val="ListParagraph"/>
        <w:numPr>
          <w:ilvl w:val="0"/>
          <w:numId w:val="23"/>
        </w:numPr>
      </w:pPr>
      <w:r>
        <w:t xml:space="preserve">Foraging style mostly fits the ‘looping’ style of foraging as describes by weimerskirch 2007 and Soanes.etal2021 but there are some examples of more commuting like trips. Looping foraging is considered more ‘typical’ in environments where prey </w:t>
      </w:r>
      <w:proofErr w:type="gramStart"/>
      <w:r>
        <w:t>are</w:t>
      </w:r>
      <w:proofErr w:type="gramEnd"/>
      <w:r>
        <w:t xml:space="preserve"> more sparsely distributed. “</w:t>
      </w:r>
      <w:proofErr w:type="gramStart"/>
      <w:r>
        <w:t>commuting</w:t>
      </w:r>
      <w:proofErr w:type="gramEnd"/>
      <w:r>
        <w:t xml:space="preserve"> strategy indicates that foragers ‘know’ where prey is, where looping indicates more searching behaviour”.</w:t>
      </w:r>
    </w:p>
    <w:p w14:paraId="746DAFB9" w14:textId="77777777" w:rsidR="003F5E16" w:rsidRDefault="002817BE" w:rsidP="002817BE">
      <w:pPr>
        <w:pStyle w:val="ListParagraph"/>
        <w:numPr>
          <w:ilvl w:val="0"/>
          <w:numId w:val="23"/>
        </w:numPr>
      </w:pPr>
      <w:r>
        <w:t>The use of resources and responses to their availability and density is also highly scale dependent</w:t>
      </w:r>
    </w:p>
    <w:p w14:paraId="746DAFBA" w14:textId="77777777" w:rsidR="003F5E16" w:rsidRDefault="002817BE" w:rsidP="002817BE">
      <w:pPr>
        <w:pStyle w:val="ListParagraph"/>
        <w:numPr>
          <w:ilvl w:val="0"/>
          <w:numId w:val="23"/>
        </w:numPr>
      </w:pPr>
      <w:r>
        <w:t>Forager distributions may vary further depending scale which reflects the restraints of movement at those scales (Weimerskirch, 2007)</w:t>
      </w:r>
    </w:p>
    <w:p w14:paraId="746DAFBB" w14:textId="77777777" w:rsidR="003F5E16" w:rsidRDefault="002817BE" w:rsidP="002817BE">
      <w:pPr>
        <w:pStyle w:val="ListParagraph"/>
        <w:numPr>
          <w:ilvl w:val="0"/>
          <w:numId w:val="23"/>
        </w:numPr>
      </w:pPr>
      <w:r>
        <w:t>Seabird home ranges are often thought of as representing the foraging mesoscale and is constituted of all the available foraging locations to a given individual</w:t>
      </w:r>
    </w:p>
    <w:p w14:paraId="746DAFBC" w14:textId="77777777" w:rsidR="003F5E16" w:rsidRDefault="002817BE" w:rsidP="002817BE">
      <w:pPr>
        <w:pStyle w:val="ListParagraph"/>
        <w:numPr>
          <w:ilvl w:val="0"/>
          <w:numId w:val="23"/>
        </w:numPr>
      </w:pPr>
      <w:r>
        <w:t>Coarse scale represents the distribution of resources within the mesoscale (home range)</w:t>
      </w:r>
    </w:p>
    <w:p w14:paraId="746DAFBD" w14:textId="77777777" w:rsidR="003F5E16" w:rsidRDefault="002817BE" w:rsidP="002817BE">
      <w:pPr>
        <w:pStyle w:val="ListParagraph"/>
        <w:numPr>
          <w:ilvl w:val="0"/>
          <w:numId w:val="23"/>
        </w:numPr>
      </w:pPr>
      <w:r>
        <w:t>Fine scale is the distribution of resources within a foraging patch</w:t>
      </w:r>
    </w:p>
    <w:p w14:paraId="746DAFBE" w14:textId="77777777" w:rsidR="003F5E16" w:rsidRDefault="002817BE" w:rsidP="002817BE">
      <w:pPr>
        <w:pStyle w:val="ListParagraph"/>
        <w:numPr>
          <w:ilvl w:val="0"/>
          <w:numId w:val="23"/>
        </w:numPr>
      </w:pPr>
      <w:r>
        <w:lastRenderedPageBreak/>
        <w:t>Much research has investigated the energy balances associated with environmental variations at each scale and which foraging strategy is most efficient in response to each change</w:t>
      </w:r>
    </w:p>
    <w:p w14:paraId="746DAFBF" w14:textId="77777777" w:rsidR="003F5E16" w:rsidRDefault="002817BE" w:rsidP="002817BE">
      <w:pPr>
        <w:pStyle w:val="ListParagraph"/>
        <w:numPr>
          <w:ilvl w:val="0"/>
          <w:numId w:val="23"/>
        </w:numPr>
      </w:pPr>
      <w:r>
        <w:t>At the mesoscale, commuting flight is often used to target features that increase the chances of productivity such as fronts, continental shelves etc.</w:t>
      </w:r>
    </w:p>
    <w:p w14:paraId="746DAFC0" w14:textId="77777777" w:rsidR="003F5E16" w:rsidRDefault="002817BE" w:rsidP="002817BE">
      <w:pPr>
        <w:pStyle w:val="ListParagraph"/>
        <w:numPr>
          <w:ilvl w:val="0"/>
          <w:numId w:val="23"/>
        </w:numPr>
      </w:pPr>
      <w:r>
        <w:t>The vast majority if seabird individuals return to the same mesoscale features (Weimerskirch, 2007)</w:t>
      </w:r>
    </w:p>
    <w:p w14:paraId="746DAFC1" w14:textId="77777777" w:rsidR="003F5E16" w:rsidRDefault="002817BE" w:rsidP="002817BE">
      <w:pPr>
        <w:pStyle w:val="ListParagraph"/>
        <w:numPr>
          <w:ilvl w:val="0"/>
          <w:numId w:val="23"/>
        </w:numPr>
      </w:pPr>
      <w:r>
        <w:t>These features either have a corralling effect or increase abundance through productivity (</w:t>
      </w:r>
      <w:proofErr w:type="gramStart"/>
      <w:r>
        <w:t>eg</w:t>
      </w:r>
      <w:proofErr w:type="gramEnd"/>
      <w:r>
        <w:t xml:space="preserve"> Hunt et al 1999)</w:t>
      </w:r>
    </w:p>
    <w:p w14:paraId="746DAFC2" w14:textId="77777777" w:rsidR="003F5E16" w:rsidRDefault="002817BE" w:rsidP="002817BE">
      <w:pPr>
        <w:pStyle w:val="ListParagraph"/>
        <w:numPr>
          <w:ilvl w:val="0"/>
          <w:numId w:val="23"/>
        </w:numPr>
      </w:pPr>
      <w:r>
        <w:t>The coarse scale within mesoscale refers to patches within the foraging area.</w:t>
      </w:r>
    </w:p>
    <w:p w14:paraId="746DAFC3" w14:textId="77777777" w:rsidR="003F5E16" w:rsidRDefault="002817BE" w:rsidP="002817BE">
      <w:pPr>
        <w:pStyle w:val="ListParagraph"/>
        <w:numPr>
          <w:ilvl w:val="0"/>
          <w:numId w:val="23"/>
        </w:numPr>
      </w:pPr>
      <w:r>
        <w:t>Return to the same foraging patch varies greatly depending on characteristics, especially distance from colony due to energetic budgets effects.</w:t>
      </w:r>
    </w:p>
    <w:p w14:paraId="746DAFC4" w14:textId="77777777" w:rsidR="003F5E16" w:rsidRDefault="002817BE" w:rsidP="002817BE">
      <w:pPr>
        <w:pStyle w:val="ListParagraph"/>
        <w:numPr>
          <w:ilvl w:val="0"/>
          <w:numId w:val="23"/>
        </w:numPr>
      </w:pPr>
      <w:r>
        <w:t>It may also be an indication of the density of prey at a location</w:t>
      </w:r>
    </w:p>
    <w:p w14:paraId="746DAFC5" w14:textId="77777777" w:rsidR="003F5E16" w:rsidRDefault="002817BE" w:rsidP="002817BE">
      <w:pPr>
        <w:pStyle w:val="ListParagraph"/>
        <w:numPr>
          <w:ilvl w:val="0"/>
          <w:numId w:val="23"/>
        </w:numPr>
      </w:pPr>
      <w:proofErr w:type="gramStart"/>
      <w:r>
        <w:t>So</w:t>
      </w:r>
      <w:proofErr w:type="gramEnd"/>
      <w:r>
        <w:t xml:space="preserve"> at the mesoscale they may target the same feature (shelf, reef edge) giving high site fidelity, but at the coarse scale they target different areas of that feature.</w:t>
      </w:r>
    </w:p>
    <w:p w14:paraId="746DAFC6" w14:textId="77777777" w:rsidR="003F5E16" w:rsidRDefault="002817BE" w:rsidP="002817BE">
      <w:pPr>
        <w:pStyle w:val="ListParagraph"/>
        <w:numPr>
          <w:ilvl w:val="0"/>
          <w:numId w:val="23"/>
        </w:numPr>
      </w:pPr>
      <w:r>
        <w:br/>
      </w:r>
    </w:p>
    <w:p w14:paraId="746DAFC7" w14:textId="77777777" w:rsidR="003F5E16" w:rsidRDefault="002817BE" w:rsidP="002817BE">
      <w:pPr>
        <w:pStyle w:val="ListParagraph"/>
        <w:numPr>
          <w:ilvl w:val="0"/>
          <w:numId w:val="23"/>
        </w:numPr>
      </w:pPr>
      <w:r>
        <w:t>Studies on tropical seabird foraging are rare and are not increasing as a proportion of the seabird literature in responses to climate change (James &amp; Cumming in press)</w:t>
      </w:r>
    </w:p>
    <w:p w14:paraId="746DAFC8" w14:textId="77777777" w:rsidR="003F5E16" w:rsidRDefault="002817BE" w:rsidP="002817BE">
      <w:pPr>
        <w:pStyle w:val="ListParagraph"/>
        <w:numPr>
          <w:ilvl w:val="0"/>
          <w:numId w:val="23"/>
        </w:numPr>
      </w:pPr>
      <w:r>
        <w:t xml:space="preserve">However, studies of tropical seabird foraging </w:t>
      </w:r>
      <w:proofErr w:type="gramStart"/>
      <w:r>
        <w:t>has</w:t>
      </w:r>
      <w:proofErr w:type="gramEnd"/>
      <w:r>
        <w:t xml:space="preserve"> indicated that there is greater variation amongst strategies than non-tropical species.</w:t>
      </w:r>
    </w:p>
    <w:p w14:paraId="746DAFC9" w14:textId="77777777" w:rsidR="003F5E16" w:rsidRDefault="002817BE" w:rsidP="002817BE">
      <w:pPr>
        <w:pStyle w:val="ListParagraph"/>
        <w:numPr>
          <w:ilvl w:val="0"/>
          <w:numId w:val="23"/>
        </w:numPr>
      </w:pPr>
      <w:r>
        <w:t xml:space="preserve">Typically, temperate regions have been thought of historically as more predictable than tropical systems due to less structure and lower preoductivity which has </w:t>
      </w:r>
      <w:proofErr w:type="gramStart"/>
      <w:r>
        <w:t>lead</w:t>
      </w:r>
      <w:proofErr w:type="gramEnd"/>
      <w:r>
        <w:t xml:space="preserve"> to the broad conclusion that extra variation among tropical foraging species is due to lower predicatablity in resource distribution/availability Soanes et al. (2021)</w:t>
      </w:r>
    </w:p>
    <w:p w14:paraId="746DAFCA" w14:textId="77777777" w:rsidR="003F5E16" w:rsidRDefault="002817BE" w:rsidP="002817BE">
      <w:pPr>
        <w:pStyle w:val="ListParagraph"/>
        <w:numPr>
          <w:ilvl w:val="0"/>
          <w:numId w:val="23"/>
        </w:numPr>
      </w:pPr>
      <w:r>
        <w:t>Such differences provide intriguing opportunity for comparison of strategies, systems, resource distributions etc. in order to provide greater insight into how seabirds forage and how resources are distributed within the habitats that they forage in, however investigation into this phenomenon has only just begun (Soanes et al., 2021)</w:t>
      </w:r>
    </w:p>
    <w:p w14:paraId="746DAFCB" w14:textId="77777777" w:rsidR="003F5E16" w:rsidRDefault="002817BE" w:rsidP="002817BE">
      <w:pPr>
        <w:pStyle w:val="ListParagraph"/>
        <w:numPr>
          <w:ilvl w:val="0"/>
          <w:numId w:val="23"/>
        </w:numPr>
      </w:pPr>
      <w:r>
        <w:t>Assessing foraging strtaegies requires the use of telemetry data</w:t>
      </w:r>
    </w:p>
    <w:p w14:paraId="746DAFCC" w14:textId="77777777" w:rsidR="003F5E16" w:rsidRDefault="002817BE" w:rsidP="002817BE">
      <w:pPr>
        <w:pStyle w:val="ListParagraph"/>
        <w:numPr>
          <w:ilvl w:val="0"/>
          <w:numId w:val="23"/>
        </w:numPr>
      </w:pPr>
      <w:r>
        <w:t>Weimerskirch2007: less productive, less structured tropics = more patchy resources distr, this should result in contrasting strategies</w:t>
      </w:r>
    </w:p>
    <w:p w14:paraId="746DAFCD" w14:textId="77777777" w:rsidR="003F5E16" w:rsidRDefault="002817BE" w:rsidP="002817BE">
      <w:pPr>
        <w:pStyle w:val="ListParagraph"/>
        <w:numPr>
          <w:ilvl w:val="0"/>
          <w:numId w:val="23"/>
        </w:numPr>
      </w:pPr>
      <w:r>
        <w:t>low predictability of prey abundance due to the dependence on pred fish (Ballance and Pitman 1999) is one POV</w:t>
      </w:r>
    </w:p>
    <w:p w14:paraId="746DAFCE" w14:textId="77777777" w:rsidR="003F5E16" w:rsidRDefault="002817BE" w:rsidP="002817BE">
      <w:pPr>
        <w:pStyle w:val="ListParagraph"/>
        <w:numPr>
          <w:ilvl w:val="0"/>
          <w:numId w:val="23"/>
        </w:numPr>
      </w:pPr>
      <w:r>
        <w:t>One key trait of tropical foragers is expected to be low foraging site fidelity (Weimerskirch2007)</w:t>
      </w:r>
    </w:p>
    <w:p w14:paraId="746DAFCF" w14:textId="77777777" w:rsidR="003F5E16" w:rsidRDefault="002817BE" w:rsidP="002817BE">
      <w:pPr>
        <w:pStyle w:val="ListParagraph"/>
        <w:numPr>
          <w:ilvl w:val="0"/>
          <w:numId w:val="23"/>
        </w:numPr>
      </w:pPr>
      <w:r>
        <w:t>Variation in breeding strategy is much more varied among tropical seabird spp. but</w:t>
      </w:r>
    </w:p>
    <w:p w14:paraId="746DAFD0" w14:textId="77777777" w:rsidR="003F5E16" w:rsidRDefault="002817BE" w:rsidP="002817BE">
      <w:pPr>
        <w:pStyle w:val="ListParagraph"/>
        <w:numPr>
          <w:ilvl w:val="0"/>
          <w:numId w:val="23"/>
        </w:numPr>
      </w:pPr>
      <w:r>
        <w:t>These differences have been suspected to relate to variation in resource availability among the regions, thus some suspect where tropical seasonal breeding occurs, resource predictability is relatively high compared to their asynchronous tropical counterparts</w:t>
      </w:r>
    </w:p>
    <w:p w14:paraId="746DAFD1" w14:textId="77777777" w:rsidR="003F5E16" w:rsidRDefault="002817BE" w:rsidP="002817BE">
      <w:pPr>
        <w:pStyle w:val="ListParagraph"/>
        <w:numPr>
          <w:ilvl w:val="0"/>
          <w:numId w:val="23"/>
        </w:numPr>
      </w:pPr>
      <w:r>
        <w:t>Seasonal and asynchronous breeding strategies can be observed in the same species whose colonies vary in latitude or may vary by species using proximal colony locations</w:t>
      </w:r>
    </w:p>
    <w:p w14:paraId="746DAFD2" w14:textId="77777777" w:rsidR="003F5E16" w:rsidRDefault="002817BE" w:rsidP="002817BE">
      <w:pPr>
        <w:pStyle w:val="ListParagraph"/>
        <w:numPr>
          <w:ilvl w:val="0"/>
          <w:numId w:val="23"/>
        </w:numPr>
      </w:pPr>
      <w:r>
        <w:t>There is also speculation that there are links between breeding and foraging strategy within tropical seabirds (Soanes et al., 2021)</w:t>
      </w:r>
    </w:p>
    <w:p w14:paraId="746DAFD3" w14:textId="77777777" w:rsidR="003F5E16" w:rsidRDefault="002817BE" w:rsidP="002817BE">
      <w:pPr>
        <w:pStyle w:val="ListParagraph"/>
        <w:numPr>
          <w:ilvl w:val="0"/>
          <w:numId w:val="23"/>
        </w:numPr>
      </w:pPr>
      <w:r>
        <w:lastRenderedPageBreak/>
        <w:t>In general, polar and temperate SBs forage with characteristic commuting flights that are directed and forage in the same areas. This allows them to access consistent high quality forage patches of which they have a high overlap of foraging effort. While tropic species are characterised as forming looped flights from the colony that facilitate access to numerous less dense foraging patches within the foraging range. Looping facilitates a more opportunistic style of foraging. By extension the less predictable aseasonal breeding habitats of most tropical species can also be explained by the lack of benefit of provisioning chicks during the increased oceanic productivity of the polar summers. This was largely established by Weimerskirch 2007 paper.</w:t>
      </w:r>
    </w:p>
    <w:p w14:paraId="746DAFD4" w14:textId="77777777" w:rsidR="003F5E16" w:rsidRDefault="002817BE" w:rsidP="002817BE">
      <w:pPr>
        <w:pStyle w:val="ListParagraph"/>
        <w:numPr>
          <w:ilvl w:val="0"/>
          <w:numId w:val="23"/>
        </w:numPr>
      </w:pPr>
      <w:r>
        <w:t>However, as stated by Soanes et al. (2021) foraging behaviour may be directly related to breeding strategy. Since not all tropical seabirds participate in asynchronous breeding, it is expected those that are synchronous in breeding should also be more predictable in theory foraging behaviour as it is expected that all pairs breed at that time of year to access a particular resource.</w:t>
      </w:r>
    </w:p>
    <w:p w14:paraId="746DAFD5" w14:textId="77777777" w:rsidR="003F5E16" w:rsidRDefault="002817BE" w:rsidP="002817BE">
      <w:pPr>
        <w:pStyle w:val="ListParagraph"/>
        <w:numPr>
          <w:ilvl w:val="0"/>
          <w:numId w:val="23"/>
        </w:numPr>
      </w:pPr>
      <w:r>
        <w:t>{Oppel et al. (2015)} supposes that the mode of foraging (shallow surface foraging dependent on pred fish to coral shoals to surface) is different from temperate spp. is this true…?</w:t>
      </w:r>
    </w:p>
    <w:p w14:paraId="746DAFD6" w14:textId="77777777" w:rsidR="003F5E16" w:rsidRDefault="002817BE" w:rsidP="002817BE">
      <w:pPr>
        <w:pStyle w:val="ListParagraph"/>
        <w:numPr>
          <w:ilvl w:val="0"/>
          <w:numId w:val="23"/>
        </w:numPr>
      </w:pPr>
      <w:r>
        <w:br/>
      </w:r>
    </w:p>
    <w:p w14:paraId="746DAFD7" w14:textId="77777777" w:rsidR="003F5E16" w:rsidRDefault="002817BE" w:rsidP="002817BE">
      <w:pPr>
        <w:pStyle w:val="ListParagraph"/>
        <w:numPr>
          <w:ilvl w:val="0"/>
          <w:numId w:val="23"/>
        </w:numPr>
      </w:pPr>
      <w:r>
        <w:t>To contribute much desired data for tropical seabird foraging behaviour and test outcomes from weimerskirch and Soanes et al. (2021), we studied the foraging movements of black noddies (</w:t>
      </w:r>
      <w:r w:rsidRPr="002817BE">
        <w:rPr>
          <w:i/>
          <w:iCs/>
        </w:rPr>
        <w:t>Anous minitus</w:t>
      </w:r>
      <w:r>
        <w:t>) during breeding season.</w:t>
      </w:r>
    </w:p>
    <w:p w14:paraId="746DAFD8" w14:textId="77777777" w:rsidR="003F5E16" w:rsidRDefault="002817BE" w:rsidP="002817BE">
      <w:pPr>
        <w:pStyle w:val="ListParagraph"/>
        <w:numPr>
          <w:ilvl w:val="0"/>
          <w:numId w:val="23"/>
        </w:numPr>
      </w:pPr>
      <w:r>
        <w:t>We assume that foraging strategy of black noddies represents the most efficient strategy given foraging limitations in resource availability and biological processes as stated in optimal foraging theory as a basis for interpreting results.</w:t>
      </w:r>
    </w:p>
    <w:p w14:paraId="746DAFD9" w14:textId="77777777" w:rsidR="003F5E16" w:rsidRDefault="002817BE" w:rsidP="002817BE">
      <w:pPr>
        <w:pStyle w:val="ListParagraph"/>
        <w:numPr>
          <w:ilvl w:val="0"/>
          <w:numId w:val="23"/>
        </w:numPr>
      </w:pPr>
      <w:r>
        <w:t>As a synchronous annual breeder in the southern summer, we posit black noddies should demonstrate predictable foraging patterns as per previous findings.</w:t>
      </w:r>
    </w:p>
    <w:p w14:paraId="746DAFDA" w14:textId="77777777" w:rsidR="003F5E16" w:rsidRDefault="002817BE" w:rsidP="002817BE">
      <w:pPr>
        <w:pStyle w:val="ListParagraph"/>
        <w:numPr>
          <w:ilvl w:val="0"/>
          <w:numId w:val="23"/>
        </w:numPr>
      </w:pPr>
      <w:r>
        <w:t>We predict based on previous studies that black noddies will exhibit characteristics of foragers utilising resources with predictable locations during the breeding season as per expectations for synchronous, tropical seabird species (Soanes et al., 2021).</w:t>
      </w:r>
    </w:p>
    <w:p w14:paraId="746DAFDB" w14:textId="77777777" w:rsidR="003F5E16" w:rsidRDefault="002817BE" w:rsidP="002817BE">
      <w:pPr>
        <w:pStyle w:val="ListParagraph"/>
        <w:numPr>
          <w:ilvl w:val="0"/>
          <w:numId w:val="23"/>
        </w:numPr>
      </w:pPr>
      <w:proofErr w:type="gramStart"/>
      <w:r>
        <w:t>Thus</w:t>
      </w:r>
      <w:proofErr w:type="gramEnd"/>
      <w:r>
        <w:t xml:space="preserve"> we expect to find black noddies demonstrate foraging patterns that facilitate repeated exploitation of relatively predictable resources, typically exhibted by direct commuting flights between the colony and known sites of dense predictable prey locations often associated with physical features in the system. In testing this </w:t>
      </w:r>
      <w:proofErr w:type="gramStart"/>
      <w:r>
        <w:t>hypothesis</w:t>
      </w:r>
      <w:proofErr w:type="gramEnd"/>
      <w:r>
        <w:t xml:space="preserve"> we expect high overlap of foraging locations at the individual and population level and also between breeding seasons. We also expect that the physical attributes of the environment and long term productivity should play a greater role than ephemeral environmental conditions in predicting the distribution of black noddies in the southern GBR.</w:t>
      </w:r>
    </w:p>
    <w:p w14:paraId="746DAFDC" w14:textId="77777777" w:rsidR="003F5E16" w:rsidRDefault="002817BE">
      <w:pPr>
        <w:pStyle w:val="Heading1"/>
      </w:pPr>
      <w:bookmarkStart w:id="2" w:name="materials-and-methods"/>
      <w:bookmarkEnd w:id="1"/>
      <w:r>
        <w:t>Materials and methods</w:t>
      </w:r>
    </w:p>
    <w:p w14:paraId="746DAFDD" w14:textId="77777777" w:rsidR="003F5E16" w:rsidRDefault="002817BE">
      <w:pPr>
        <w:pStyle w:val="Heading2"/>
      </w:pPr>
      <w:bookmarkStart w:id="3" w:name="study-area"/>
      <w:r>
        <w:t>Study area</w:t>
      </w:r>
    </w:p>
    <w:p w14:paraId="746DAFDE" w14:textId="77777777" w:rsidR="003F5E16" w:rsidRDefault="002817BE">
      <w:pPr>
        <w:pStyle w:val="FirstParagraph"/>
      </w:pPr>
      <w:r>
        <w:t>Heron Island (23°26′S, 151°51′E) is part of the Capricorn bunker reef group in the southern GBR. Approximately 2500 pairs of black noddies (</w:t>
      </w:r>
      <w:r>
        <w:rPr>
          <w:i/>
          <w:iCs/>
        </w:rPr>
        <w:t>Anous minitus</w:t>
      </w:r>
      <w:r>
        <w:t xml:space="preserve">) breed on the island each year </w:t>
      </w:r>
      <w:r>
        <w:lastRenderedPageBreak/>
        <w:t>which has dropped drastically from ca. 36000 breeding pairs (Barnes &amp; Hill, 1989; Dyer et al., 2005). Wedge-tailed shearwaters (</w:t>
      </w:r>
      <w:r>
        <w:rPr>
          <w:i/>
          <w:iCs/>
        </w:rPr>
        <w:t>Ardenna pacifica</w:t>
      </w:r>
      <w:r>
        <w:t>) ca.22000 breeding pairs (Dyer et al., 2005), and some bridled terns also breed concurrently. Pacific reef egrets (</w:t>
      </w:r>
      <w:r>
        <w:rPr>
          <w:i/>
          <w:iCs/>
        </w:rPr>
        <w:t>Egretta sacra</w:t>
      </w:r>
      <w:r>
        <w:t>) also breed asynchronously on the island and depredate black noddy eggs and chicks. Black noddies lay one egg per year and second attempts within the same year are considered extremely rare. Black noddy diet appears to be globally dynamic but locally specialised (Ashmole &amp; Ashmole, 1969; Naves et al., 2002; Villard et al., 2015).</w:t>
      </w:r>
    </w:p>
    <w:p w14:paraId="746DAFDF" w14:textId="77777777" w:rsidR="003F5E16" w:rsidRDefault="002817BE">
      <w:pPr>
        <w:pStyle w:val="Heading2"/>
      </w:pPr>
      <w:bookmarkStart w:id="4" w:name="data-collection"/>
      <w:bookmarkEnd w:id="3"/>
      <w:r>
        <w:t>Data collection</w:t>
      </w:r>
    </w:p>
    <w:p w14:paraId="746DAFE0" w14:textId="77777777" w:rsidR="003F5E16" w:rsidRDefault="002817BE">
      <w:pPr>
        <w:pStyle w:val="FirstParagraph"/>
      </w:pPr>
      <w:r>
        <w:t>Tracking data were collected from black noddies during the breeding season from early to mid December from 2019 to 2021 for one adult per nest where a chick had successfully hatched and was at least five days old (visual observation). Capture was done by hand and GPS trackers (3.5g, Lotek PinPoint50 GPS) were attached using a kevlar harness to one adult of a breeding pair. GPS trackers were programmed to record locations every 10 minutes with a mean deployment time of 62.27 +/- 11.89 hours. Handling the birds was again necessary to retrieve GPS loggers and access the data recorded. In total, 45 successful logger deployment and recaptures were obtained from 73 attempts. Each individual was fitted with a GPS logger only once. All data manipulation and analyses in this project were conducted using in Rv4.1.1 (R Core Team, 2022) unless stated otherwise.</w:t>
      </w:r>
    </w:p>
    <w:p w14:paraId="746DAFE1" w14:textId="77777777" w:rsidR="003F5E16" w:rsidRDefault="002817BE">
      <w:pPr>
        <w:pStyle w:val="Heading2"/>
      </w:pPr>
      <w:bookmarkStart w:id="5" w:name="foraging-trip-parameters"/>
      <w:bookmarkEnd w:id="4"/>
      <w:r>
        <w:t>Foraging trip parameters</w:t>
      </w:r>
    </w:p>
    <w:p w14:paraId="746DAFE2" w14:textId="77777777" w:rsidR="003F5E16" w:rsidRDefault="002817BE">
      <w:pPr>
        <w:pStyle w:val="FirstParagraph"/>
      </w:pPr>
      <w:r>
        <w:t xml:space="preserve">To classify foraging trips into behavioural states we used a hidden markov model (HMM) with three states representing resting, commuting and foraging (Weimerskirch, 2007). Using the </w:t>
      </w:r>
      <w:r>
        <w:rPr>
          <w:i/>
          <w:iCs/>
        </w:rPr>
        <w:t>momentuHMM</w:t>
      </w:r>
      <w:r>
        <w:t xml:space="preserve"> package (McClintock &amp; Michelot, 2018), each state was characterised with </w:t>
      </w:r>
      <w:r>
        <w:rPr>
          <w:i/>
          <w:iCs/>
        </w:rPr>
        <w:t>a priori</w:t>
      </w:r>
      <w:r>
        <w:t xml:space="preserve"> for step length and turning angle. Using classifications from the HMM we compared the ratio of foraging points to commuting points as a means of measuring directed versus area restricted movement. To improve HMM accuracy, all locations over the colony were removed, as were locations where an individual was suspected of sleeping on the water or vessel. Gaps in the regular 10 minute sampling interval were assigned no data.</w:t>
      </w:r>
    </w:p>
    <w:p w14:paraId="746DAFE3" w14:textId="77777777" w:rsidR="003F5E16" w:rsidRDefault="002817BE">
      <w:pPr>
        <w:pStyle w:val="Heading2"/>
      </w:pPr>
      <w:bookmarkStart w:id="6" w:name="habitat-preferences"/>
      <w:bookmarkEnd w:id="5"/>
      <w:r>
        <w:t>Habitat preferences</w:t>
      </w:r>
    </w:p>
    <w:p w14:paraId="746DAFE4" w14:textId="77777777" w:rsidR="003F5E16" w:rsidRDefault="002817BE">
      <w:pPr>
        <w:pStyle w:val="Heading3"/>
      </w:pPr>
      <w:bookmarkStart w:id="7" w:name="habitat-data"/>
      <w:r>
        <w:t>Habitat data</w:t>
      </w:r>
    </w:p>
    <w:p w14:paraId="746DAFE5" w14:textId="77777777" w:rsidR="003F5E16" w:rsidRDefault="002817BE">
      <w:pPr>
        <w:pStyle w:val="FirstParagraph"/>
      </w:pPr>
      <w:r>
        <w:t>In total three data sources were considered to influence the foraging distribution of black noddies in the southern GBR:</w:t>
      </w:r>
    </w:p>
    <w:p w14:paraId="746DAFE6" w14:textId="77777777" w:rsidR="003F5E16" w:rsidRDefault="002817BE">
      <w:pPr>
        <w:pStyle w:val="Compact"/>
        <w:numPr>
          <w:ilvl w:val="0"/>
          <w:numId w:val="6"/>
        </w:numPr>
      </w:pPr>
      <w:r>
        <w:t>chlorophyll-</w:t>
      </w:r>
      <w:r>
        <w:rPr>
          <w:i/>
          <w:iCs/>
        </w:rPr>
        <w:t>a</w:t>
      </w:r>
      <w:r>
        <w:t xml:space="preserve"> concentration (OC3 algorithm, units mg/m^3, 1km res, (IMOS, 2014a))</w:t>
      </w:r>
    </w:p>
    <w:p w14:paraId="746DAFE7" w14:textId="77777777" w:rsidR="003F5E16" w:rsidRDefault="002817BE">
      <w:pPr>
        <w:pStyle w:val="Compact"/>
        <w:numPr>
          <w:ilvl w:val="0"/>
          <w:numId w:val="6"/>
        </w:numPr>
      </w:pPr>
      <w:r>
        <w:t>nightly averaged sea surface skin temperature (SST; 0.02deg x 0.02deg; (IMOS, 2014b))</w:t>
      </w:r>
    </w:p>
    <w:p w14:paraId="746DAFE8" w14:textId="77777777" w:rsidR="003F5E16" w:rsidRDefault="002817BE">
      <w:pPr>
        <w:pStyle w:val="Compact"/>
        <w:numPr>
          <w:ilvl w:val="0"/>
          <w:numId w:val="6"/>
        </w:numPr>
      </w:pPr>
      <w:r>
        <w:t>wind direction and intensity [eReefs GBR1 hydro.v2; Steven et al. (2019)]</w:t>
      </w:r>
    </w:p>
    <w:p w14:paraId="746DAFE9" w14:textId="77777777" w:rsidR="003F5E16" w:rsidRDefault="002817BE">
      <w:pPr>
        <w:pStyle w:val="FirstParagraph"/>
      </w:pPr>
      <w:r>
        <w:t xml:space="preserve">Latent variables were also calculated for the distance of each GPS location relevant to banks, colony, reefs, rocks latent variables calculated using data from the </w:t>
      </w:r>
      <w:r>
        <w:rPr>
          <w:i/>
          <w:iCs/>
        </w:rPr>
        <w:t>Dataaimsr</w:t>
      </w:r>
      <w:r>
        <w:t xml:space="preserve"> data (Barneche et al., 2021). Variable averages were also calculated for 3, 5 and 7 day as well as 1, 2 and 3 month intervals for CHLa and SST since it was considered that longer term productivity might have greater influence of foraging preference than daily variance in these variables which is thought to influence the clustering of patches i.e. As spatial scale increases, high predictability is hypothesised to increase with greater time scales (Weimerskirch, 2007; Wiens, 1989). Only observations with values for all variables were used in models to avoid comparisons with different samples.</w:t>
      </w:r>
    </w:p>
    <w:p w14:paraId="746DAFEA" w14:textId="77777777" w:rsidR="003F5E16" w:rsidRDefault="002817BE">
      <w:pPr>
        <w:pStyle w:val="Heading3"/>
      </w:pPr>
      <w:bookmarkStart w:id="8" w:name="habitat-selection-analysis"/>
      <w:bookmarkEnd w:id="7"/>
      <w:r>
        <w:lastRenderedPageBreak/>
        <w:t>Habitat selection analysis</w:t>
      </w:r>
    </w:p>
    <w:p w14:paraId="746DAFEB" w14:textId="77777777" w:rsidR="003F5E16" w:rsidRDefault="002817BE">
      <w:pPr>
        <w:pStyle w:val="FirstParagraph"/>
      </w:pPr>
      <w:r>
        <w:t xml:space="preserve">The variables above were modelled against a binary response variable in a logistic regression in the </w:t>
      </w:r>
      <w:r>
        <w:rPr>
          <w:i/>
          <w:iCs/>
        </w:rPr>
        <w:t>glmmTMB</w:t>
      </w:r>
      <w:r>
        <w:t xml:space="preserve"> package (Brooks et al., 2017). We coded responses as ‘1’ for locations identified in the HMM as foraging. Psuedo absences were allocated ‘0’ which were derived from 10000 uniformly sampled locations throughout the know range of black noddies over all seasons, as is common practice (Northrup et al., 2013). We found model term multicollinearity variance inflation factor was low (&lt;5) using the </w:t>
      </w:r>
      <w:r>
        <w:rPr>
          <w:i/>
          <w:iCs/>
        </w:rPr>
        <w:t>performance</w:t>
      </w:r>
      <w:r>
        <w:t xml:space="preserve"> package (Lüdecke, 2018). We tested model accuracy using simulated residuals in the </w:t>
      </w:r>
      <w:r>
        <w:rPr>
          <w:i/>
          <w:iCs/>
        </w:rPr>
        <w:t>DHARMa</w:t>
      </w:r>
      <w:r>
        <w:t xml:space="preserve"> package (Hartig, 2020). To determine if spatial autocorrelation was influencing our outcomes we compared them to a null model. The null model used the same psuedo-absence points but presences (n=2900) were also sampled uniformly from within the study area.</w:t>
      </w:r>
    </w:p>
    <w:p w14:paraId="746DAFEC" w14:textId="77777777" w:rsidR="003F5E16" w:rsidRDefault="002817BE">
      <w:pPr>
        <w:pStyle w:val="Heading2"/>
      </w:pPr>
      <w:bookmarkStart w:id="9" w:name="X8ab93e01cbc4a2d1e54bfc861ed978d317df426"/>
      <w:bookmarkEnd w:id="8"/>
      <w:bookmarkEnd w:id="6"/>
      <w:r>
        <w:t>Comparison of foraging behaviour between seasons</w:t>
      </w:r>
    </w:p>
    <w:p w14:paraId="746DAFED" w14:textId="77777777" w:rsidR="003F5E16" w:rsidRDefault="002817BE">
      <w:pPr>
        <w:pStyle w:val="Heading3"/>
      </w:pPr>
      <w:bookmarkStart w:id="10" w:name="foraging-area-overlap"/>
      <w:r>
        <w:t>Foraging area overlap</w:t>
      </w:r>
    </w:p>
    <w:p w14:paraId="746DAFEE" w14:textId="77777777" w:rsidR="003F5E16" w:rsidRDefault="002817BE">
      <w:pPr>
        <w:pStyle w:val="FirstParagraph"/>
      </w:pPr>
      <w:r>
        <w:t xml:space="preserve">To compare the degree of overlap in foraging locations, we calculated the Bhattacharyya’s affinity index using a 95% UD from the foraging location points identified in the HMM with the </w:t>
      </w:r>
      <w:r>
        <w:rPr>
          <w:i/>
          <w:iCs/>
        </w:rPr>
        <w:t>amt</w:t>
      </w:r>
      <w:r>
        <w:t xml:space="preserve"> package (Signer et al., 2019). This was calculated between an individual’s foraging trips, between individuals of the same breeding season (Fieberg &amp; Kochanny, 2005). A Kruskal-Wallis test was used to test for differences in these estimates per breeding season. The total overlap of foraging locations between breeding seasons was also calculated.</w:t>
      </w:r>
    </w:p>
    <w:p w14:paraId="746DAFEF" w14:textId="77777777" w:rsidR="003F5E16" w:rsidRDefault="002817BE">
      <w:pPr>
        <w:pStyle w:val="Heading3"/>
      </w:pPr>
      <w:bookmarkStart w:id="11" w:name="wind"/>
      <w:bookmarkEnd w:id="10"/>
      <w:r>
        <w:t>Wind</w:t>
      </w:r>
    </w:p>
    <w:p w14:paraId="746DAFF0" w14:textId="77777777" w:rsidR="003F5E16" w:rsidRDefault="002817BE">
      <w:pPr>
        <w:pStyle w:val="FirstParagraph"/>
      </w:pPr>
      <w:r>
        <w:t xml:space="preserve">Wind in a northerly and easterly direction was extracted using the eReefs extraction tool for the Hydro 1km model at hourly intervals for all GPS point locations attained from trackers. These values we converted to wind intensity and direction using the  package (Fernández-López &amp; Schliep, 2019). Commutes were selected manually using QGIS and separated into in-coming and out-going flights relative to the colony. The angular direction of travel relative to the wind direction was calculated for each subset. Pearson’s moment correlation was applied to test for specific variable pairs based on ecological hypotheses. Relationships that had Pearson’s </w:t>
      </w:r>
      <w:r>
        <w:rPr>
          <w:i/>
          <w:iCs/>
        </w:rPr>
        <w:t>r</w:t>
      </w:r>
      <w:r>
        <w:t xml:space="preserve"> &gt;0.25 and p&lt;0.05 were considered correlated.</w:t>
      </w:r>
    </w:p>
    <w:p w14:paraId="746DAFF1" w14:textId="77777777" w:rsidR="003F5E16" w:rsidRDefault="002817BE">
      <w:pPr>
        <w:pStyle w:val="Heading3"/>
      </w:pPr>
      <w:bookmarkStart w:id="12" w:name="direction-of-foraging-trips"/>
      <w:bookmarkEnd w:id="11"/>
      <w:r>
        <w:t>Direction of foraging trips</w:t>
      </w:r>
    </w:p>
    <w:p w14:paraId="746DAFF2" w14:textId="77777777" w:rsidR="003F5E16" w:rsidRDefault="002817BE">
      <w:pPr>
        <w:pStyle w:val="FirstParagraph"/>
      </w:pPr>
      <w:r>
        <w:t>The direction of trips was measured as a bearing from the centre of Heron Island to the furthest location of each foraging trip. We used Rao’s spacing statistic to test whether foraging bearings were uniformly distributed in each year. We then used a Mardia-Watson wheeler multi-sample test to determine if mean bearing direction of foraging trips changed significantly between any two-year combination.</w:t>
      </w:r>
    </w:p>
    <w:p w14:paraId="746DAFF3" w14:textId="77777777" w:rsidR="003F5E16" w:rsidRDefault="002817BE">
      <w:pPr>
        <w:pStyle w:val="Heading1"/>
      </w:pPr>
      <w:bookmarkStart w:id="13" w:name="results"/>
      <w:bookmarkEnd w:id="12"/>
      <w:bookmarkEnd w:id="9"/>
      <w:bookmarkEnd w:id="2"/>
      <w:r>
        <w:t>Results</w:t>
      </w:r>
    </w:p>
    <w:p w14:paraId="746DAFF4" w14:textId="77777777" w:rsidR="003F5E16" w:rsidRDefault="002817BE">
      <w:pPr>
        <w:pStyle w:val="FirstParagraph"/>
      </w:pPr>
      <w:r>
        <w:t>Loggers with foraging data were collected from 44 individuals; four in 2019, 20 in 2020 and 20 in 2021. The mean step length when foraging was 1174.276 +/-997.7446 and 3705.989 +/-1440.956 when commuting.</w:t>
      </w:r>
    </w:p>
    <w:p w14:paraId="746DAFF5" w14:textId="77777777" w:rsidR="003F5E16" w:rsidRDefault="002817BE">
      <w:pPr>
        <w:pStyle w:val="Heading2"/>
      </w:pPr>
      <w:bookmarkStart w:id="14" w:name="foraging-trip-parameters-1"/>
      <w:r>
        <w:lastRenderedPageBreak/>
        <w:t>Foraging trip parameters</w:t>
      </w:r>
    </w:p>
    <w:p w14:paraId="746DAFF6" w14:textId="77777777" w:rsidR="003F5E16" w:rsidRDefault="002817BE">
      <w:pPr>
        <w:pStyle w:val="FirstParagraph"/>
      </w:pPr>
      <w:r>
        <w:t>Few individuals used other islands, rocks and reefs to rest during foraging trips although the vast majority of resting took place on Heron Island for most individuals. This included mostly NW island and Mast head Island and to a lesser extent, Wilson and One Tree Island. In rare cases, these individuals overnighted on neighbouring islands effectively creating multi-day foraging trips which was previously undocumented for black noddies. One individual appeared to rest on the water or a vessel over night on 2 occasions.</w:t>
      </w:r>
    </w:p>
    <w:p w14:paraId="746DAFF7" w14:textId="77777777" w:rsidR="003F5E16" w:rsidRDefault="002817BE">
      <w:pPr>
        <w:pStyle w:val="BodyText"/>
      </w:pPr>
      <w:r>
        <w:t>We found significant changes in foraging behaviour of the Heron Island black noddy colony between seasons. Foraging location directions around the colony were not uniformly distributed for 2020 (n=99, statistic = 181.3, Level = 0.05, critical value = 146.29) and 2021 (n=108, statistic = 185.3, Level = 0.05, critical value = 146.29) figure (XX). The direction of foraging location also changed significantly between 2020 and 2021 (W = 28.726, df = 2, p&lt;0.001) but not between 2019 and 2020 (W = 5.6625, df = 2, p-value = 0.05894) or 2019 and 2021 (W = 5.8394, df = 2, p-value = 0.05395) although insufficient data from 2019 may be the cause of this outcome.</w:t>
      </w:r>
    </w:p>
    <w:p w14:paraId="746DAFF8" w14:textId="77777777" w:rsidR="003F5E16" w:rsidRDefault="002817BE">
      <w:pPr>
        <w:pStyle w:val="BodyText"/>
      </w:pPr>
      <w:r>
        <w:rPr>
          <w:i/>
          <w:iCs/>
        </w:rPr>
        <w:t>Figure 1 here</w:t>
      </w:r>
    </w:p>
    <w:p w14:paraId="746DAFF9" w14:textId="77777777" w:rsidR="003F5E16" w:rsidRDefault="002817BE">
      <w:pPr>
        <w:pStyle w:val="Heading2"/>
      </w:pPr>
      <w:bookmarkStart w:id="15" w:name="foraging-habitat-selection"/>
      <w:bookmarkEnd w:id="14"/>
      <w:r>
        <w:t>Foraging habitat selection</w:t>
      </w:r>
    </w:p>
    <w:p w14:paraId="746DAFFA" w14:textId="77777777" w:rsidR="003F5E16" w:rsidRDefault="002817BE">
      <w:pPr>
        <w:pStyle w:val="FirstParagraph"/>
      </w:pPr>
      <w:r>
        <w:t>We found black noddies selected foraging habitat with lower SST values (seven-day average) and greater CHL-a concentrations (60 day average). Foraging locations were also found to be closer to the colony which varied significantly between breeding seasons (Figure 2). Generally, models with short-term average for SST and long term CHL-a explained greater variance (SuppTab) based on AIC values (Akaike, 1979).</w:t>
      </w:r>
    </w:p>
    <w:p w14:paraId="746DAFFB" w14:textId="77777777" w:rsidR="003F5E16" w:rsidRDefault="002817BE">
      <w:pPr>
        <w:pStyle w:val="BodyText"/>
      </w:pPr>
      <w:r>
        <w:rPr>
          <w:i/>
          <w:iCs/>
        </w:rPr>
        <w:t>Figure 2 here</w:t>
      </w:r>
    </w:p>
    <w:p w14:paraId="746DAFFC" w14:textId="77777777" w:rsidR="003F5E16" w:rsidRDefault="002817BE">
      <w:pPr>
        <w:pStyle w:val="Heading2"/>
      </w:pPr>
      <w:bookmarkStart w:id="16" w:name="Xb6fcd83501ae11852bc80d9d3ead533ba1b1efa"/>
      <w:bookmarkEnd w:id="15"/>
      <w:r>
        <w:t>Comparison of foraging behaviour between seasons</w:t>
      </w:r>
    </w:p>
    <w:p w14:paraId="746DAFFD" w14:textId="77777777" w:rsidR="003F5E16" w:rsidRDefault="002817BE">
      <w:pPr>
        <w:pStyle w:val="Heading3"/>
      </w:pPr>
      <w:bookmarkStart w:id="17" w:name="foraging-area-overlap-1"/>
      <w:r>
        <w:t>Foraging area overlap</w:t>
      </w:r>
    </w:p>
    <w:p w14:paraId="746DAFFE" w14:textId="77777777" w:rsidR="003F5E16" w:rsidRDefault="002817BE">
      <w:pPr>
        <w:pStyle w:val="FirstParagraph"/>
      </w:pPr>
      <w:r>
        <w:t>Foraging bout overlap of each individual increased marginally from 2020 to 2021 (Figure 3), as did overlap between individuals within a given breeding year. Foraging bout overlap between years increased from 0.6 in 2020 to 0.7 in 2021.</w:t>
      </w:r>
    </w:p>
    <w:p w14:paraId="746DAFFF" w14:textId="77777777" w:rsidR="003F5E16" w:rsidRDefault="002817BE">
      <w:pPr>
        <w:pStyle w:val="BodyText"/>
      </w:pPr>
      <w:r>
        <w:rPr>
          <w:i/>
          <w:iCs/>
        </w:rPr>
        <w:t>Figure 3 here</w:t>
      </w:r>
    </w:p>
    <w:p w14:paraId="746DB000" w14:textId="77777777" w:rsidR="003F5E16" w:rsidRDefault="002817BE">
      <w:pPr>
        <w:pStyle w:val="Heading3"/>
      </w:pPr>
      <w:bookmarkStart w:id="18" w:name="wind-1"/>
      <w:bookmarkEnd w:id="17"/>
      <w:r>
        <w:t>Wind</w:t>
      </w:r>
    </w:p>
    <w:p w14:paraId="746DB001" w14:textId="77777777" w:rsidR="003F5E16" w:rsidRDefault="002817BE">
      <w:pPr>
        <w:pStyle w:val="FirstParagraph"/>
      </w:pPr>
      <w:r>
        <w:t>Commuting flights were affected by both wind direction and intensity. At low wind intensities, commuting directions to and from the colony appeared normally distributed (Figure XX). With increasing wind intensity, especially beyond 5ms</w:t>
      </w:r>
      <w:r>
        <w:rPr>
          <w:vertAlign w:val="superscript"/>
        </w:rPr>
        <w:t>-1</w:t>
      </w:r>
      <w:r>
        <w:t>, noddies flew increasingly into the wind on out-going commutes (R=-0.44, P&lt;0.001) and with the wind on returning commutes (R=0.37, P&lt;0.001).</w:t>
      </w:r>
    </w:p>
    <w:p w14:paraId="746DB002" w14:textId="77777777" w:rsidR="003F5E16" w:rsidRDefault="002817BE">
      <w:pPr>
        <w:pStyle w:val="BodyText"/>
      </w:pPr>
      <w:r>
        <w:rPr>
          <w:i/>
          <w:iCs/>
        </w:rPr>
        <w:t>Figure 4 here</w:t>
      </w:r>
    </w:p>
    <w:p w14:paraId="746DB003" w14:textId="77777777" w:rsidR="003F5E16" w:rsidRDefault="002817BE">
      <w:pPr>
        <w:pStyle w:val="Heading3"/>
      </w:pPr>
      <w:bookmarkStart w:id="19" w:name="direction-of-foraging-trips-1"/>
      <w:bookmarkEnd w:id="18"/>
      <w:r>
        <w:t>Direction of foraging trips</w:t>
      </w:r>
    </w:p>
    <w:p w14:paraId="746DB004" w14:textId="77777777" w:rsidR="003F5E16" w:rsidRDefault="002817BE">
      <w:pPr>
        <w:pStyle w:val="FirstParagraph"/>
      </w:pPr>
      <w:r>
        <w:t xml:space="preserve">The mean direction of foraging trips changed significantly each year (Figure 1B) and was not uniform in any year (Table XX). In 2020 the mean foraging direction was predominantly in a </w:t>
      </w:r>
      <w:r>
        <w:lastRenderedPageBreak/>
        <w:t>south-westerly direction whilst mean foraging direction differed significantly in 2021 (Table 1 &amp; 2) and occurred closer to the colony (Figure 1). Note the small sample sizes may have prevented significant differences in the mean direction of foraging trips in 2019.</w:t>
      </w:r>
    </w:p>
    <w:p w14:paraId="746DB005" w14:textId="77777777" w:rsidR="003F5E16" w:rsidRDefault="002817BE">
      <w:pPr>
        <w:pStyle w:val="BodyText"/>
      </w:pPr>
      <w:r>
        <w:rPr>
          <w:i/>
          <w:iCs/>
        </w:rPr>
        <w:t>Table 1 here</w:t>
      </w:r>
      <w:r>
        <w:t xml:space="preserve"> </w:t>
      </w:r>
      <w:r>
        <w:rPr>
          <w:i/>
          <w:iCs/>
        </w:rPr>
        <w:t>Table 2 here</w:t>
      </w:r>
    </w:p>
    <w:p w14:paraId="746DB006" w14:textId="77777777" w:rsidR="003F5E16" w:rsidRDefault="002817BE">
      <w:pPr>
        <w:pStyle w:val="Heading1"/>
      </w:pPr>
      <w:bookmarkStart w:id="20" w:name="discussion"/>
      <w:bookmarkEnd w:id="19"/>
      <w:bookmarkEnd w:id="16"/>
      <w:bookmarkEnd w:id="13"/>
      <w:r>
        <w:t>Discussion</w:t>
      </w:r>
    </w:p>
    <w:p w14:paraId="746DB007" w14:textId="77777777" w:rsidR="003F5E16" w:rsidRDefault="002817BE">
      <w:pPr>
        <w:pStyle w:val="Compact"/>
        <w:numPr>
          <w:ilvl w:val="0"/>
          <w:numId w:val="7"/>
        </w:numPr>
      </w:pPr>
      <w:r>
        <w:t>In this study we present the first GPS tracking data for black noddies and characterise foraging habitat selection and behavioural responses to environmental cues. Surprisingly, we find that black noddies do not exhibit foraging strategies consistent with a population exploiting a predictable resource. Rather, the Heron Island colony forage with low site fidelity at all levels indicating prey is distributed sparsley with low predictability.</w:t>
      </w:r>
    </w:p>
    <w:p w14:paraId="746DB008" w14:textId="77777777" w:rsidR="003F5E16" w:rsidRDefault="002817BE">
      <w:pPr>
        <w:pStyle w:val="Compact"/>
        <w:numPr>
          <w:ilvl w:val="0"/>
          <w:numId w:val="7"/>
        </w:numPr>
      </w:pPr>
      <w:r>
        <w:t>We found noddy foraging strategy consistent with those prioritising foraging efficiency where resources are sparse across the home range exemplified by tendencies to forage closer to the colony and to use wind direction to their energetic advantage.</w:t>
      </w:r>
    </w:p>
    <w:p w14:paraId="746DB009" w14:textId="77777777" w:rsidR="003F5E16" w:rsidRDefault="002817BE">
      <w:pPr>
        <w:pStyle w:val="Compact"/>
        <w:numPr>
          <w:ilvl w:val="0"/>
          <w:numId w:val="7"/>
        </w:numPr>
      </w:pPr>
      <w:r>
        <w:t>We posit the function of synchronous breeding in the Heron Island population enables exploitation of a predictable high productivity period during the Austral summer in the Southern GBR. This novel finding indicates that breeding strategy alone may not be enough to predict the ditribution and predictability of seabird prey instead increased productivity at the mesoscale can improve overall foraging yields sufficiently to bolster reproductive efforts.</w:t>
      </w:r>
    </w:p>
    <w:p w14:paraId="746DB00A" w14:textId="77777777" w:rsidR="003F5E16" w:rsidRDefault="002817BE">
      <w:pPr>
        <w:pStyle w:val="Compact"/>
        <w:numPr>
          <w:ilvl w:val="0"/>
          <w:numId w:val="7"/>
        </w:numPr>
      </w:pPr>
      <w:r>
        <w:t>The outcomes of this study have implications for foraging and seabird foraging theory, population resilience and future management strategies for black noddies in the GBR.</w:t>
      </w:r>
    </w:p>
    <w:p w14:paraId="746DB00B" w14:textId="77777777" w:rsidR="003F5E16" w:rsidRDefault="002817BE">
      <w:pPr>
        <w:pStyle w:val="FirstParagraph"/>
      </w:pPr>
      <w:r>
        <w:br/>
      </w:r>
    </w:p>
    <w:p w14:paraId="746DB00C" w14:textId="77777777" w:rsidR="003F5E16" w:rsidRDefault="002817BE">
      <w:pPr>
        <w:pStyle w:val="Compact"/>
        <w:numPr>
          <w:ilvl w:val="0"/>
          <w:numId w:val="8"/>
        </w:numPr>
      </w:pPr>
      <w:r>
        <w:t>Forager strategies are commonly used to characterise the distribution of resources within an ecosystem. Black noddies in the southern GBR exhibit a foraging strategy that is typically attributed those in an area with low resource predictability enabling them to cover greater areas to attain a higher average net energy intake.</w:t>
      </w:r>
    </w:p>
    <w:p w14:paraId="746DB00D" w14:textId="77777777" w:rsidR="003F5E16" w:rsidRDefault="002817BE">
      <w:pPr>
        <w:pStyle w:val="Compact"/>
        <w:numPr>
          <w:ilvl w:val="0"/>
          <w:numId w:val="8"/>
        </w:numPr>
      </w:pPr>
      <w:r>
        <w:t>This is typically represented as a ‘looping’ strategy in central place foragers that gives greater chance of encountering prey with each foraging trip by effectively increasing searching time. Increased searching time requires more energy to move between foraging sites and reduces net energy gains compared to direct commuting strategies that exploit known locations of predictable and dense resources. To compensate for extra energy expenditure some looping foragers may respond to environmental conditions that influence the cost of movement. For example, we found black noddies flew against the wind when leaving the colony and returned with the wind at the end of foraging trips, especially when wind was at higher intensities. We expect noddies strongly prefer to forage at locations up wind during high intensities which allows them to take advantage of the wind when returning to the colony. From personal observation, we have observed noddies can carry ca.10% extra weight to the colony when provisioning offspring which is a considerable burden to stimulate flying with the wind to reduce energy expenditure. Similarly, black noddies also demonstrated a preference to forage closer to the colony which further reduces energy expenditure.</w:t>
      </w:r>
    </w:p>
    <w:p w14:paraId="746DB00E" w14:textId="77777777" w:rsidR="003F5E16" w:rsidRDefault="002817BE">
      <w:pPr>
        <w:pStyle w:val="Compact"/>
        <w:numPr>
          <w:ilvl w:val="0"/>
          <w:numId w:val="8"/>
        </w:numPr>
      </w:pPr>
      <w:r>
        <w:lastRenderedPageBreak/>
        <w:t>Noddies also preferred foraging habitat with cooler short term average SST. Cooler SST is often used as an approximation of upwelling location in seabird research. Here, we expect the targeting of shorter-term peaks further corroborates the idea that prey predictability is low with local upwelling locations changing frequently. This may be related to local processes that dominate water circulation in the lee region of the GBR that is a combination of tide, wave and wind. The intensity is also thought to be tied to the characteristcs of the capricorn eddy and East Australian Current.</w:t>
      </w:r>
    </w:p>
    <w:p w14:paraId="746DB00F" w14:textId="77777777" w:rsidR="003F5E16" w:rsidRDefault="002817BE">
      <w:pPr>
        <w:pStyle w:val="Compact"/>
        <w:numPr>
          <w:ilvl w:val="0"/>
          <w:numId w:val="8"/>
        </w:numPr>
      </w:pPr>
      <w:r>
        <w:t>These findings fall well within the expectations of optimal foraging theory where compromises between movement costs and energy gains from patch density dictate a forager’s movements. Ultimately, the foraging strategy of noddies indicates prey are sparsley distributed in low density patches with unpredictable location.</w:t>
      </w:r>
    </w:p>
    <w:p w14:paraId="746DB010" w14:textId="77777777" w:rsidR="003F5E16" w:rsidRDefault="002817BE">
      <w:pPr>
        <w:pStyle w:val="FirstParagraph"/>
      </w:pPr>
      <w:r>
        <w:br/>
      </w:r>
    </w:p>
    <w:p w14:paraId="746DB011" w14:textId="77777777" w:rsidR="003F5E16" w:rsidRDefault="002817BE">
      <w:pPr>
        <w:pStyle w:val="Compact"/>
        <w:numPr>
          <w:ilvl w:val="0"/>
          <w:numId w:val="9"/>
        </w:numPr>
      </w:pPr>
      <w:r>
        <w:t>Conversely, we found some evidence that noddies target areas of high average CHLa over the previous two-months. This time scale indicates the influence of ‘permanent’ features that bolster productivity at the coarse scale. In other candidate RSF models we did find a tendency for noddies to forage near reefs and banks and we also found that CHLa concentrations increased with proximity to these features.</w:t>
      </w:r>
    </w:p>
    <w:p w14:paraId="746DB012" w14:textId="77777777" w:rsidR="003F5E16" w:rsidRDefault="002817BE">
      <w:pPr>
        <w:pStyle w:val="Compact"/>
        <w:numPr>
          <w:ilvl w:val="0"/>
          <w:numId w:val="9"/>
        </w:numPr>
      </w:pPr>
      <w:r>
        <w:t>However, it appears that whatever corralling effect reefs and banks have on prey, densities are not high enough to enable noddies to forage in a direct commute style. Rather it appears that their looping strategy targets these regions at the coarse scale to bolster net energy gains by reudcing the number of foraging patches they need to visit. This is visible in observation of foraging tracks that tend to gravitate toward reefs and banks indicative of checking behaviour. Presumably, fine scale features such as predatory fish and feeding flocks or olfactory sense are used to then locate fish shoals along each feature.</w:t>
      </w:r>
    </w:p>
    <w:p w14:paraId="746DB013" w14:textId="77777777" w:rsidR="003F5E16" w:rsidRDefault="002817BE">
      <w:pPr>
        <w:pStyle w:val="Compact"/>
        <w:numPr>
          <w:ilvl w:val="0"/>
          <w:numId w:val="9"/>
        </w:numPr>
      </w:pPr>
      <w:r>
        <w:t>The preference for reef and bank edge foraging further supports the notion that noddies target a mesoscale productivity peak with coral reefs known to be more effective during the warmer months of the year.</w:t>
      </w:r>
    </w:p>
    <w:p w14:paraId="746DB014" w14:textId="77777777" w:rsidR="003F5E16" w:rsidRDefault="002817BE">
      <w:pPr>
        <w:pStyle w:val="Compact"/>
        <w:numPr>
          <w:ilvl w:val="0"/>
          <w:numId w:val="9"/>
        </w:numPr>
      </w:pPr>
      <w:r>
        <w:t>Whether high productivity near reefs is tied to reef productivity remains to be proven. It may be that oceanographic processes that force water into such features also cause local scale nutrification of the water which is known to increase CHLa concentrations. We propose establishing the source of nutrition for noddy prey would help to determine the source of the productivity.</w:t>
      </w:r>
    </w:p>
    <w:p w14:paraId="746DB015" w14:textId="77777777" w:rsidR="003F5E16" w:rsidRDefault="002817BE">
      <w:pPr>
        <w:pStyle w:val="FirstParagraph"/>
      </w:pPr>
      <w:r>
        <w:br/>
      </w:r>
    </w:p>
    <w:p w14:paraId="746DB016" w14:textId="77777777" w:rsidR="003F5E16" w:rsidRDefault="002817BE">
      <w:pPr>
        <w:pStyle w:val="Compact"/>
        <w:numPr>
          <w:ilvl w:val="0"/>
          <w:numId w:val="10"/>
        </w:numPr>
      </w:pPr>
      <w:r>
        <w:t>Our results demonstrate an exception to predictions that tropical seabirds with synchronous breeding behaviour should forage to exploit predictable resources (Soanes et al., 2021). We suggest that a second, critical, component is missing in making predictions about tropical seabird foraging behaviour. By including scale we may see that some populations breed synchronously to take advantage of increased prey availability at the mesoscale but may still need to forage in a looping fashion at the coarse scale since prey is not well consolidated into patches nor does it have high predictability.</w:t>
      </w:r>
    </w:p>
    <w:p w14:paraId="746DB017" w14:textId="77777777" w:rsidR="003F5E16" w:rsidRDefault="002817BE">
      <w:pPr>
        <w:pStyle w:val="Compact"/>
        <w:numPr>
          <w:ilvl w:val="0"/>
          <w:numId w:val="10"/>
        </w:numPr>
      </w:pPr>
      <w:r>
        <w:t xml:space="preserve">In the southern GBR region the summer coincides with a period of high productivity influenced by warmer sea temperatures but also by an increase in the EAC which has a </w:t>
      </w:r>
      <w:r>
        <w:lastRenderedPageBreak/>
        <w:t>strong influence on the circulation of water in the lee region (Mao &amp; Luick, 2014; Weeks et al., 2010). While BNs don’t interact with this phenomenon directly, the intensified currents bring cooler, nutrified sediments to the surface and into the plateau region where BNs forage. Our findings that noddies also target near reef and bank locations breeding in the summer may also serve to coincide with peak productivity in the system as well.</w:t>
      </w:r>
    </w:p>
    <w:p w14:paraId="746DB018" w14:textId="77777777" w:rsidR="003F5E16" w:rsidRDefault="002817BE">
      <w:pPr>
        <w:pStyle w:val="Compact"/>
        <w:numPr>
          <w:ilvl w:val="0"/>
          <w:numId w:val="10"/>
        </w:numPr>
      </w:pPr>
      <w:r>
        <w:t>In the southern hemisphere, it appears that black noddy colonies all breed in the Austral summer[]. However, studies have shown that conspecifics may forage with different strategies in response to the features of their ecosystem at the mesoscale. Without tracking data from other colonies one cannnot be certain of their true strategy.</w:t>
      </w:r>
    </w:p>
    <w:p w14:paraId="746DB019" w14:textId="77777777" w:rsidR="003F5E16" w:rsidRDefault="002817BE">
      <w:pPr>
        <w:pStyle w:val="Compact"/>
        <w:numPr>
          <w:ilvl w:val="0"/>
          <w:numId w:val="10"/>
        </w:numPr>
      </w:pPr>
      <w:r>
        <w:t>The low levels of plasticity in response to fluctuations in prey availability (Devney et al., 2010) indicate life history traits that are adapted to a steady flow of energy being extracted by provisioning adults. This is consistent with a looping strategy that averages out energy gains over larger expanses of the home range.</w:t>
      </w:r>
    </w:p>
    <w:p w14:paraId="746DB01A" w14:textId="77777777" w:rsidR="003F5E16" w:rsidRDefault="002817BE">
      <w:pPr>
        <w:pStyle w:val="Compact"/>
        <w:numPr>
          <w:ilvl w:val="0"/>
          <w:numId w:val="10"/>
        </w:numPr>
      </w:pPr>
      <w:r>
        <w:t>This finding casts important revelations on the body of research currently looking to understand tropical seabird foraging strategy. Including scale in understanding how seabirds forage in tropical systems as well as resource predictability gives a greater chance of accuracy for generalising strategy predictions. By including this component we are able to account for the greater complexities often associated with these types of systems.</w:t>
      </w:r>
    </w:p>
    <w:p w14:paraId="746DB01B" w14:textId="77777777" w:rsidR="003F5E16" w:rsidRDefault="002817BE">
      <w:pPr>
        <w:pStyle w:val="FirstParagraph"/>
      </w:pPr>
      <w:r>
        <w:br/>
      </w:r>
    </w:p>
    <w:p w14:paraId="746DB01C" w14:textId="77777777" w:rsidR="003F5E16" w:rsidRDefault="002817BE">
      <w:pPr>
        <w:pStyle w:val="Compact"/>
        <w:numPr>
          <w:ilvl w:val="0"/>
          <w:numId w:val="11"/>
        </w:numPr>
      </w:pPr>
      <w:r>
        <w:t>Data for black noddy populations on the GBR remain extremely poor, we establish here in the southern region prey appears to be sparsely distributed in an unpredictable manner. Black noddies may compensate for unfavourable foraging conditions such as intense wind by altering the location and distances they forage from the breeding colony.</w:t>
      </w:r>
    </w:p>
    <w:p w14:paraId="746DB01D" w14:textId="77777777" w:rsidR="003F5E16" w:rsidRDefault="002817BE">
      <w:pPr>
        <w:pStyle w:val="Compact"/>
        <w:numPr>
          <w:ilvl w:val="0"/>
          <w:numId w:val="11"/>
        </w:numPr>
      </w:pPr>
      <w:r>
        <w:t>Further understanding of whether reef edges promote productivity and the consolidation of prey species for noddies would greatly benefit management moving forward. Defining whether noddy prey fish derive nutrition directly from reefs and are dependent on reef productivity has great impliactions on the resilience of the population. Especially in the face of increasingly common reef bleaching events that decimate productivity which also occur during the summer months. With this information there is some potential to reduce the impact on breeding noddies by invoking no fishing zones on reefs near colonies. If the function of reefs and banks is more structural for noddy prey fish, identification of the seasonal traits that correlate with high and low productive years would serve as a beneficial warning mechanism for potentially troublesome years. The most likely factors to influence productivity in the lee region are wind, tides and waves at the mesoscale and the Capricorn Eddy and EAC at the larger scale. In both scenarios, all variables of consequence are subject to climate change and may have already begun to affect prey distributions that may account for the decimation of the Heron Island colony and may continue to pose a threat.</w:t>
      </w:r>
    </w:p>
    <w:p w14:paraId="746DB01E" w14:textId="77777777" w:rsidR="003F5E16" w:rsidRDefault="002817BE">
      <w:pPr>
        <w:pStyle w:val="Compact"/>
        <w:numPr>
          <w:ilvl w:val="0"/>
          <w:numId w:val="11"/>
        </w:numPr>
      </w:pPr>
      <w:r>
        <w:t>Many smaller GBR seabird populations remain with very limited knowledge, even fewer with GPS tracking data partly due to financial and technological barriers. This is part of a larger global pattern in research on seabirds where our understanding of foraging comes from a highly biased subset of species and life stages (James and Cumming in press).</w:t>
      </w:r>
    </w:p>
    <w:p w14:paraId="746DB01F" w14:textId="77777777" w:rsidR="003F5E16" w:rsidRDefault="002817BE">
      <w:pPr>
        <w:pStyle w:val="Compact"/>
        <w:numPr>
          <w:ilvl w:val="0"/>
          <w:numId w:val="11"/>
        </w:numPr>
      </w:pPr>
      <w:r>
        <w:lastRenderedPageBreak/>
        <w:t>We have demonstrated that a combination of state space models and RSFs are a suitable first step in identifying key resources for a population and how individuals respond to changing environmental conditons.</w:t>
      </w:r>
    </w:p>
    <w:p w14:paraId="746DB020" w14:textId="77777777" w:rsidR="003F5E16" w:rsidRDefault="002817BE">
      <w:pPr>
        <w:pStyle w:val="Compact"/>
        <w:numPr>
          <w:ilvl w:val="0"/>
          <w:numId w:val="11"/>
        </w:numPr>
      </w:pPr>
      <w:r>
        <w:t>The role of foraging cues and facilitory functions from feeding flocks, predatory fish could not be evaluated in this study but have proven to be an important component in other seabird foraging studies.</w:t>
      </w:r>
    </w:p>
    <w:p w14:paraId="746DB021" w14:textId="77777777" w:rsidR="003F5E16" w:rsidRDefault="002817BE">
      <w:pPr>
        <w:pStyle w:val="Compact"/>
        <w:numPr>
          <w:ilvl w:val="0"/>
          <w:numId w:val="11"/>
        </w:numPr>
      </w:pPr>
      <w:r>
        <w:t>Understanding the drivers of seabird distributions is imperative for predicting their responses to climate change and the resilience of the population.</w:t>
      </w:r>
    </w:p>
    <w:p w14:paraId="746DB022" w14:textId="77777777" w:rsidR="003F5E16" w:rsidRDefault="002817BE">
      <w:pPr>
        <w:pStyle w:val="FirstParagraph"/>
      </w:pPr>
      <w:r>
        <w:br/>
      </w:r>
    </w:p>
    <w:p w14:paraId="746DB023" w14:textId="77777777" w:rsidR="003F5E16" w:rsidRDefault="002817BE">
      <w:pPr>
        <w:pStyle w:val="Heading1"/>
      </w:pPr>
      <w:bookmarkStart w:id="21" w:name="acknowledgements"/>
      <w:bookmarkEnd w:id="20"/>
      <w:r>
        <w:t>Acknowledgements</w:t>
      </w:r>
    </w:p>
    <w:p w14:paraId="746DB024" w14:textId="77777777" w:rsidR="003F5E16" w:rsidRDefault="002817BE">
      <w:pPr>
        <w:pStyle w:val="Compact"/>
        <w:numPr>
          <w:ilvl w:val="0"/>
          <w:numId w:val="12"/>
        </w:numPr>
      </w:pPr>
      <w:r>
        <w:t>HIRS (Stuart etc.)</w:t>
      </w:r>
    </w:p>
    <w:p w14:paraId="746DB025" w14:textId="77777777" w:rsidR="003F5E16" w:rsidRDefault="002817BE">
      <w:pPr>
        <w:pStyle w:val="Compact"/>
        <w:numPr>
          <w:ilvl w:val="0"/>
          <w:numId w:val="12"/>
        </w:numPr>
      </w:pPr>
      <w:r>
        <w:t>QPWS?</w:t>
      </w:r>
    </w:p>
    <w:p w14:paraId="746DB026" w14:textId="77777777" w:rsidR="003F5E16" w:rsidRDefault="002817BE">
      <w:pPr>
        <w:pStyle w:val="Compact"/>
        <w:numPr>
          <w:ilvl w:val="0"/>
          <w:numId w:val="12"/>
        </w:numPr>
      </w:pPr>
      <w:r>
        <w:t>Emma Carmichael</w:t>
      </w:r>
    </w:p>
    <w:p w14:paraId="746DB027" w14:textId="77777777" w:rsidR="003F5E16" w:rsidRDefault="002817BE">
      <w:pPr>
        <w:pStyle w:val="Heading1"/>
      </w:pPr>
      <w:bookmarkStart w:id="22" w:name="references"/>
      <w:bookmarkEnd w:id="21"/>
      <w:r>
        <w:t>References</w:t>
      </w:r>
    </w:p>
    <w:p w14:paraId="746DB028" w14:textId="77777777" w:rsidR="003F5E16" w:rsidRPr="002817BE" w:rsidRDefault="002817BE" w:rsidP="002817BE">
      <w:pPr>
        <w:pStyle w:val="Bibliography"/>
      </w:pPr>
      <w:bookmarkStart w:id="23" w:name="ref-Akaike1979"/>
      <w:bookmarkStart w:id="24" w:name="refs"/>
      <w:r w:rsidRPr="002817BE">
        <w:t xml:space="preserve">Akaike, H. (1979). A Bayesian extension of the minimum AIC procedure of autoregressive model fitting. </w:t>
      </w:r>
      <w:proofErr w:type="spellStart"/>
      <w:r w:rsidRPr="002817BE">
        <w:t>Biometrika</w:t>
      </w:r>
      <w:proofErr w:type="spellEnd"/>
      <w:r w:rsidRPr="002817BE">
        <w:t>, 66(2), 237–242.</w:t>
      </w:r>
    </w:p>
    <w:p w14:paraId="746DB029" w14:textId="77777777" w:rsidR="003F5E16" w:rsidRPr="002817BE" w:rsidRDefault="002817BE" w:rsidP="002817BE">
      <w:pPr>
        <w:pStyle w:val="Bibliography"/>
      </w:pPr>
      <w:bookmarkStart w:id="25" w:name="ref-Ashmole.Ashmole1969"/>
      <w:bookmarkEnd w:id="23"/>
      <w:proofErr w:type="spellStart"/>
      <w:r w:rsidRPr="002817BE">
        <w:t>Ashmole</w:t>
      </w:r>
      <w:proofErr w:type="spellEnd"/>
      <w:r w:rsidRPr="002817BE">
        <w:t xml:space="preserve">, M. J., &amp; </w:t>
      </w:r>
      <w:proofErr w:type="spellStart"/>
      <w:r w:rsidRPr="002817BE">
        <w:t>Ashmole</w:t>
      </w:r>
      <w:proofErr w:type="spellEnd"/>
      <w:r w:rsidRPr="002817BE">
        <w:t xml:space="preserve">, N. P. (1969). Comparative Feeding Ecology of Sea Birds of a Tropical Oceanic Island. Bird-Banding, 40(1), 75. </w:t>
      </w:r>
      <w:hyperlink r:id="rId7">
        <w:r w:rsidRPr="002817BE">
          <w:rPr>
            <w:rStyle w:val="Hyperlink"/>
            <w:color w:val="auto"/>
          </w:rPr>
          <w:t>https://doi.org/10.2307/4511544</w:t>
        </w:r>
      </w:hyperlink>
    </w:p>
    <w:p w14:paraId="746DB02A" w14:textId="77777777" w:rsidR="003F5E16" w:rsidRDefault="002817BE" w:rsidP="002817BE">
      <w:pPr>
        <w:pStyle w:val="Bibliography"/>
      </w:pPr>
      <w:bookmarkStart w:id="26" w:name="ref-Barneche.etal2021"/>
      <w:bookmarkEnd w:id="25"/>
      <w:proofErr w:type="spellStart"/>
      <w:r w:rsidRPr="002817BE">
        <w:t>Barneche</w:t>
      </w:r>
      <w:proofErr w:type="spellEnd"/>
      <w:r w:rsidRPr="002817BE">
        <w:t xml:space="preserve">, D. R., Coleman, G., Fermor, D., Klein, E., Robinson, T., Smith, J., Sheehan, J. L., </w:t>
      </w:r>
      <w:proofErr w:type="spellStart"/>
      <w:r w:rsidRPr="002817BE">
        <w:t>Dowley</w:t>
      </w:r>
      <w:proofErr w:type="spellEnd"/>
      <w:r w:rsidRPr="002817BE">
        <w:t xml:space="preserve">, S., Ditton, D., Gunn, K., Ericson, G., Logan, M., &amp; </w:t>
      </w:r>
      <w:proofErr w:type="spellStart"/>
      <w:r w:rsidRPr="002817BE">
        <w:t>Rehbein</w:t>
      </w:r>
      <w:proofErr w:type="spellEnd"/>
      <w:r w:rsidRPr="002817BE">
        <w:t xml:space="preserve">, M. (2021). </w:t>
      </w:r>
      <w:proofErr w:type="spellStart"/>
      <w:r w:rsidRPr="002817BE">
        <w:t>Dataaimsr</w:t>
      </w:r>
      <w:proofErr w:type="spellEnd"/>
      <w:r w:rsidRPr="002817BE">
        <w:t xml:space="preserve">: An R client for the </w:t>
      </w:r>
      <w:proofErr w:type="spellStart"/>
      <w:r w:rsidRPr="002817BE">
        <w:t>australian</w:t>
      </w:r>
      <w:proofErr w:type="spellEnd"/>
      <w:r>
        <w:t xml:space="preserve"> institute of marine science data platform API which provides easy access to AIMS data platform. </w:t>
      </w:r>
      <w:r>
        <w:rPr>
          <w:i/>
          <w:iCs/>
        </w:rPr>
        <w:t>Journal of Open Source Software</w:t>
      </w:r>
      <w:r>
        <w:t xml:space="preserve">, </w:t>
      </w:r>
      <w:r>
        <w:rPr>
          <w:i/>
          <w:iCs/>
        </w:rPr>
        <w:t>6</w:t>
      </w:r>
      <w:r>
        <w:t xml:space="preserve">(62), 3282. </w:t>
      </w:r>
      <w:hyperlink r:id="rId8">
        <w:r>
          <w:rPr>
            <w:rStyle w:val="Hyperlink"/>
          </w:rPr>
          <w:t>https://doi.org/10.21105/joss.03282</w:t>
        </w:r>
      </w:hyperlink>
    </w:p>
    <w:p w14:paraId="746DB02B" w14:textId="77777777" w:rsidR="003F5E16" w:rsidRDefault="002817BE" w:rsidP="002817BE">
      <w:pPr>
        <w:pStyle w:val="Bibliography"/>
      </w:pPr>
      <w:bookmarkStart w:id="27" w:name="ref-Barnes.Hill1989"/>
      <w:bookmarkEnd w:id="26"/>
      <w:r>
        <w:t xml:space="preserve">Barnes, A., &amp; Hill, G. J. E. (1989). Census and Distribution of Black Noddy </w:t>
      </w:r>
      <w:r>
        <w:rPr>
          <w:i/>
          <w:iCs/>
        </w:rPr>
        <w:t>Anous</w:t>
      </w:r>
      <w:r>
        <w:t xml:space="preserve"> </w:t>
      </w:r>
      <w:r>
        <w:rPr>
          <w:i/>
          <w:iCs/>
        </w:rPr>
        <w:t>Minutus</w:t>
      </w:r>
      <w:r>
        <w:t xml:space="preserve"> Nests on Heron Island, November 1985. </w:t>
      </w:r>
      <w:r>
        <w:rPr>
          <w:i/>
          <w:iCs/>
        </w:rPr>
        <w:t>Emu - Austral Ornithology</w:t>
      </w:r>
      <w:r>
        <w:t xml:space="preserve">, </w:t>
      </w:r>
      <w:r>
        <w:rPr>
          <w:i/>
          <w:iCs/>
        </w:rPr>
        <w:t>89</w:t>
      </w:r>
      <w:r>
        <w:t xml:space="preserve">(3), 129–134. </w:t>
      </w:r>
      <w:hyperlink r:id="rId9">
        <w:r>
          <w:rPr>
            <w:rStyle w:val="Hyperlink"/>
          </w:rPr>
          <w:t>https://doi.org/10.1071/MU9890129</w:t>
        </w:r>
      </w:hyperlink>
    </w:p>
    <w:p w14:paraId="746DB02C" w14:textId="77777777" w:rsidR="003F5E16" w:rsidRDefault="002817BE" w:rsidP="002817BE">
      <w:pPr>
        <w:pStyle w:val="Bibliography"/>
      </w:pPr>
      <w:bookmarkStart w:id="28" w:name="ref-Brooks.etal2017"/>
      <w:bookmarkEnd w:id="27"/>
      <w:r>
        <w:t xml:space="preserve">Brooks, M. E., Kristensen, K., van Benthem, K. J., Magnusson, A., Berg, C. W., Nielsen, A., Skaug, H. J., Machler, M., &amp; Bolker, B. M. (2017). glmmTMB balances speed and flexibility among packages for zero-inflated generalized linear mixed modelling. </w:t>
      </w:r>
      <w:r>
        <w:rPr>
          <w:i/>
          <w:iCs/>
        </w:rPr>
        <w:t>The R Journal</w:t>
      </w:r>
      <w:r>
        <w:t xml:space="preserve">, </w:t>
      </w:r>
      <w:r>
        <w:rPr>
          <w:i/>
          <w:iCs/>
        </w:rPr>
        <w:t>9</w:t>
      </w:r>
      <w:r>
        <w:t>(2), 378–400.</w:t>
      </w:r>
    </w:p>
    <w:p w14:paraId="746DB02D" w14:textId="77777777" w:rsidR="003F5E16" w:rsidRDefault="002817BE" w:rsidP="002817BE">
      <w:pPr>
        <w:pStyle w:val="Bibliography"/>
      </w:pPr>
      <w:bookmarkStart w:id="29" w:name="ref-Devney.etal2010"/>
      <w:bookmarkEnd w:id="28"/>
      <w:r>
        <w:t xml:space="preserve">Devney, C. A., Caley, M. J., &amp; Congdon, B. C. (2010). Plasticity of noddy parents and offspring to sea-surface temperature anomalies. </w:t>
      </w:r>
      <w:r>
        <w:rPr>
          <w:i/>
          <w:iCs/>
        </w:rPr>
        <w:t>PLOS ONE</w:t>
      </w:r>
      <w:r>
        <w:t xml:space="preserve">, </w:t>
      </w:r>
      <w:r>
        <w:rPr>
          <w:i/>
          <w:iCs/>
        </w:rPr>
        <w:t>5</w:t>
      </w:r>
      <w:r>
        <w:t xml:space="preserve">(7), e11891. </w:t>
      </w:r>
      <w:hyperlink r:id="rId10">
        <w:r>
          <w:rPr>
            <w:rStyle w:val="Hyperlink"/>
          </w:rPr>
          <w:t>https://doi.org/10.1371/journal.pone.0011891</w:t>
        </w:r>
      </w:hyperlink>
    </w:p>
    <w:p w14:paraId="746DB02E" w14:textId="77777777" w:rsidR="003F5E16" w:rsidRDefault="002817BE" w:rsidP="002817BE">
      <w:pPr>
        <w:pStyle w:val="Bibliography"/>
      </w:pPr>
      <w:bookmarkStart w:id="30" w:name="ref-Dyer.etal2005"/>
      <w:bookmarkEnd w:id="29"/>
      <w:r>
        <w:t xml:space="preserve">Dyer, P. K., O’Neill, P., &amp; Hulsman, K. (2005). Breeding numbers and population trends of Wedge-tailed Shearwater ( </w:t>
      </w:r>
      <w:r>
        <w:rPr>
          <w:i/>
          <w:iCs/>
        </w:rPr>
        <w:t>Puffinus</w:t>
      </w:r>
      <w:r>
        <w:t xml:space="preserve"> </w:t>
      </w:r>
      <w:r>
        <w:rPr>
          <w:i/>
          <w:iCs/>
        </w:rPr>
        <w:t>Pacificus</w:t>
      </w:r>
      <w:r>
        <w:t xml:space="preserve"> ) and Black Noddy ( </w:t>
      </w:r>
      <w:r>
        <w:rPr>
          <w:i/>
          <w:iCs/>
        </w:rPr>
        <w:t>Anous</w:t>
      </w:r>
      <w:r>
        <w:t xml:space="preserve"> </w:t>
      </w:r>
      <w:r>
        <w:rPr>
          <w:i/>
          <w:iCs/>
        </w:rPr>
        <w:t>Minutus</w:t>
      </w:r>
      <w:r>
        <w:t xml:space="preserve"> ) in the Capricornia Cays, southern Great Barrier Reef. </w:t>
      </w:r>
      <w:r>
        <w:rPr>
          <w:i/>
          <w:iCs/>
        </w:rPr>
        <w:t>Emu - Austral Ornithology</w:t>
      </w:r>
      <w:r>
        <w:t xml:space="preserve">, </w:t>
      </w:r>
      <w:r>
        <w:rPr>
          <w:i/>
          <w:iCs/>
        </w:rPr>
        <w:t>105</w:t>
      </w:r>
      <w:r>
        <w:t xml:space="preserve">(3), 249–257. </w:t>
      </w:r>
      <w:hyperlink r:id="rId11">
        <w:r>
          <w:rPr>
            <w:rStyle w:val="Hyperlink"/>
          </w:rPr>
          <w:t>https://doi.org/10.1071/MU04011</w:t>
        </w:r>
      </w:hyperlink>
    </w:p>
    <w:p w14:paraId="746DB02F" w14:textId="77777777" w:rsidR="003F5E16" w:rsidRDefault="002817BE" w:rsidP="002817BE">
      <w:pPr>
        <w:pStyle w:val="Bibliography"/>
      </w:pPr>
      <w:bookmarkStart w:id="31" w:name="ref-Fernandez-Lopez.Schliep2019"/>
      <w:bookmarkEnd w:id="30"/>
      <w:r>
        <w:t xml:space="preserve">Fernández-López, J., &amp; Schliep, K. (2019). rWind: Download, edit and include wind data in ecological and evolutionary analysis. </w:t>
      </w:r>
      <w:r>
        <w:rPr>
          <w:i/>
          <w:iCs/>
        </w:rPr>
        <w:t>Ecography</w:t>
      </w:r>
      <w:r>
        <w:t xml:space="preserve">, </w:t>
      </w:r>
      <w:r>
        <w:rPr>
          <w:i/>
          <w:iCs/>
        </w:rPr>
        <w:t>42</w:t>
      </w:r>
      <w:r>
        <w:t xml:space="preserve">(4), 804–810. </w:t>
      </w:r>
      <w:hyperlink r:id="rId12">
        <w:r>
          <w:rPr>
            <w:rStyle w:val="Hyperlink"/>
          </w:rPr>
          <w:t>https://doi.org/10.1111/ecog.03730</w:t>
        </w:r>
      </w:hyperlink>
    </w:p>
    <w:p w14:paraId="746DB030" w14:textId="77777777" w:rsidR="003F5E16" w:rsidRDefault="002817BE" w:rsidP="002817BE">
      <w:pPr>
        <w:pStyle w:val="Bibliography"/>
      </w:pPr>
      <w:bookmarkStart w:id="32" w:name="ref-Fieberg.Kochanny2005"/>
      <w:bookmarkEnd w:id="31"/>
      <w:r>
        <w:lastRenderedPageBreak/>
        <w:t xml:space="preserve">Fieberg, J., &amp; Kochanny, C. O. (2005). Quantifying Home-Range Overlap: The Importance of the Utilization Distribution. </w:t>
      </w:r>
      <w:r>
        <w:rPr>
          <w:i/>
          <w:iCs/>
        </w:rPr>
        <w:t>The Journal of Wildlife Management</w:t>
      </w:r>
      <w:r>
        <w:t xml:space="preserve">, </w:t>
      </w:r>
      <w:r>
        <w:rPr>
          <w:i/>
          <w:iCs/>
        </w:rPr>
        <w:t>69</w:t>
      </w:r>
      <w:r>
        <w:t xml:space="preserve">(4), 1346–1359. </w:t>
      </w:r>
      <w:hyperlink r:id="rId13">
        <w:r>
          <w:rPr>
            <w:rStyle w:val="Hyperlink"/>
          </w:rPr>
          <w:t>https://doi.org/10.2193/0022-541X(2005)69[1346:QHOTIO]2.0.CO;2</w:t>
        </w:r>
      </w:hyperlink>
    </w:p>
    <w:p w14:paraId="746DB031" w14:textId="77777777" w:rsidR="003F5E16" w:rsidRDefault="002817BE" w:rsidP="002817BE">
      <w:pPr>
        <w:pStyle w:val="Bibliography"/>
      </w:pPr>
      <w:bookmarkStart w:id="33" w:name="ref-Hartig2020"/>
      <w:bookmarkEnd w:id="32"/>
      <w:r>
        <w:t xml:space="preserve">Hartig, F. (2020). DHARMa: Residual diagnostics for hierarchical (multi-level / mixed) regression models. R package version 0.3.3.0. </w:t>
      </w:r>
      <w:r>
        <w:rPr>
          <w:i/>
          <w:iCs/>
        </w:rPr>
        <w:t>R Package Version 0.1</w:t>
      </w:r>
      <w:r>
        <w:t xml:space="preserve">, </w:t>
      </w:r>
      <w:r>
        <w:rPr>
          <w:i/>
          <w:iCs/>
        </w:rPr>
        <w:t>5</w:t>
      </w:r>
      <w:r>
        <w:t xml:space="preserve">. </w:t>
      </w:r>
      <w:hyperlink r:id="rId14">
        <w:r>
          <w:rPr>
            <w:rStyle w:val="Hyperlink"/>
          </w:rPr>
          <w:t>https://CRAN.R-project.org/package=DHARMa</w:t>
        </w:r>
      </w:hyperlink>
    </w:p>
    <w:p w14:paraId="746DB032" w14:textId="77777777" w:rsidR="003F5E16" w:rsidRDefault="002817BE" w:rsidP="002817BE">
      <w:pPr>
        <w:pStyle w:val="Bibliography"/>
      </w:pPr>
      <w:bookmarkStart w:id="34" w:name="ref-IMOS2014a"/>
      <w:bookmarkEnd w:id="33"/>
      <w:r>
        <w:t xml:space="preserve">IMOS. (2014a). </w:t>
      </w:r>
      <w:r>
        <w:rPr>
          <w:i/>
          <w:iCs/>
        </w:rPr>
        <w:t>IMOS - SRS - MODIS - 01 day - Chlorophyll-a concentration (OC3 model)</w:t>
      </w:r>
      <w:r>
        <w:t xml:space="preserve">. </w:t>
      </w:r>
      <w:hyperlink r:id="rId15">
        <w:r>
          <w:rPr>
            <w:rStyle w:val="Hyperlink"/>
          </w:rPr>
          <w:t>https://catalogue-imos.dev.aodn.org.au/geonetwork/srv/eng/search?uuid=d7a14921-8f3f-4522-9a54-e7d1df969c8a, https://researchdata.edu.au/imos-srs-modis-oc3-model</w:t>
        </w:r>
      </w:hyperlink>
    </w:p>
    <w:p w14:paraId="746DB033" w14:textId="77777777" w:rsidR="003F5E16" w:rsidRDefault="002817BE" w:rsidP="002817BE">
      <w:pPr>
        <w:pStyle w:val="Bibliography"/>
      </w:pPr>
      <w:bookmarkStart w:id="35" w:name="ref-IMOS2014"/>
      <w:bookmarkEnd w:id="34"/>
      <w:r>
        <w:t xml:space="preserve">IMOS. (2014b). </w:t>
      </w:r>
      <w:r>
        <w:rPr>
          <w:i/>
          <w:iCs/>
        </w:rPr>
        <w:t>IMOS - SRS - SST - L3S - Single Sensor - 1 day - night time - Australia</w:t>
      </w:r>
      <w:r>
        <w:t xml:space="preserve">. Integrated Marine Observing System (IMOS). </w:t>
      </w:r>
      <w:hyperlink r:id="rId16">
        <w:r>
          <w:rPr>
            <w:rStyle w:val="Hyperlink"/>
          </w:rPr>
          <w:t>https://catalogue-imos.dev.aodn.org.au/geonetwork/srv/eng/search?uuid=aaad092c-c3af-42e6-87e0-bdaef945f522, https://researchdata.edu.au/imos-srs-sst-time-australia</w:t>
        </w:r>
      </w:hyperlink>
    </w:p>
    <w:p w14:paraId="746DB034" w14:textId="77777777" w:rsidR="003F5E16" w:rsidRDefault="002817BE" w:rsidP="002817BE">
      <w:pPr>
        <w:pStyle w:val="Bibliography"/>
      </w:pPr>
      <w:bookmarkStart w:id="36" w:name="ref-Ludecke2018"/>
      <w:bookmarkEnd w:id="35"/>
      <w:r>
        <w:t>Lüdecke, D. (2018). Performance: Assessment of Regression Models Performance. R package version 0.2.0. Available at: https://cran.r-project.org/web/packages/performance/index.html. Accessed 21 October 2019.</w:t>
      </w:r>
    </w:p>
    <w:p w14:paraId="746DB035" w14:textId="77777777" w:rsidR="003F5E16" w:rsidRDefault="002817BE" w:rsidP="002817BE">
      <w:pPr>
        <w:pStyle w:val="Bibliography"/>
      </w:pPr>
      <w:bookmarkStart w:id="37" w:name="ref-Mao.Luick2014"/>
      <w:bookmarkEnd w:id="36"/>
      <w:r>
        <w:t xml:space="preserve">Mao, Y., &amp; Luick, J. L. (2014). Circulation in the southern Great Barrier Reef studied through an integration of multiple remote sensing and in situ measurements. </w:t>
      </w:r>
      <w:r>
        <w:rPr>
          <w:i/>
          <w:iCs/>
        </w:rPr>
        <w:t>Journal of Geophysical Research: Oceans</w:t>
      </w:r>
      <w:r>
        <w:t xml:space="preserve">, </w:t>
      </w:r>
      <w:r>
        <w:rPr>
          <w:i/>
          <w:iCs/>
        </w:rPr>
        <w:t>119</w:t>
      </w:r>
      <w:r>
        <w:t xml:space="preserve">(3), 1621–1643. </w:t>
      </w:r>
      <w:hyperlink r:id="rId17">
        <w:r>
          <w:rPr>
            <w:rStyle w:val="Hyperlink"/>
          </w:rPr>
          <w:t>https://doi.org/10.1002/2013JC009397</w:t>
        </w:r>
      </w:hyperlink>
    </w:p>
    <w:p w14:paraId="746DB036" w14:textId="77777777" w:rsidR="003F5E16" w:rsidRDefault="002817BE" w:rsidP="002817BE">
      <w:pPr>
        <w:pStyle w:val="Bibliography"/>
      </w:pPr>
      <w:bookmarkStart w:id="38" w:name="ref-McClintock.Michelot2018"/>
      <w:bookmarkEnd w:id="37"/>
      <w:r>
        <w:t xml:space="preserve">McClintock, B. T., &amp; Michelot, T. (2018). momentuHMM: R package for generalized hidden Markov models of animal movement. </w:t>
      </w:r>
      <w:r>
        <w:rPr>
          <w:i/>
          <w:iCs/>
        </w:rPr>
        <w:t>Methods in Ecology and Evolution</w:t>
      </w:r>
      <w:r>
        <w:t xml:space="preserve">, </w:t>
      </w:r>
      <w:r>
        <w:rPr>
          <w:i/>
          <w:iCs/>
        </w:rPr>
        <w:t>9</w:t>
      </w:r>
      <w:r>
        <w:t xml:space="preserve">(6), 1518–1530. </w:t>
      </w:r>
      <w:hyperlink r:id="rId18">
        <w:r>
          <w:rPr>
            <w:rStyle w:val="Hyperlink"/>
          </w:rPr>
          <w:t>https://doi.org/10.1111/2041-210X.12995</w:t>
        </w:r>
      </w:hyperlink>
    </w:p>
    <w:p w14:paraId="746DB037" w14:textId="77777777" w:rsidR="003F5E16" w:rsidRDefault="002817BE" w:rsidP="002817BE">
      <w:pPr>
        <w:pStyle w:val="Bibliography"/>
      </w:pPr>
      <w:bookmarkStart w:id="39" w:name="ref-Naves.etal2002"/>
      <w:bookmarkEnd w:id="38"/>
      <w:r>
        <w:t>Naves, L. C., Brusque, L. F., &amp; Vooren, C. M. (2002). Feeding ecology of Sula leucogaster, Anous stolidus and Anous minutus at Saint Peter and Saint Pauls Rocks, Brazil. 10.</w:t>
      </w:r>
    </w:p>
    <w:p w14:paraId="746DB038" w14:textId="77777777" w:rsidR="003F5E16" w:rsidRDefault="002817BE" w:rsidP="002817BE">
      <w:pPr>
        <w:pStyle w:val="Bibliography"/>
      </w:pPr>
      <w:bookmarkStart w:id="40" w:name="ref-Northrup.etal2013"/>
      <w:bookmarkEnd w:id="39"/>
      <w:r>
        <w:t xml:space="preserve">Northrup, J. M., Hooten, M. B., Anderson Jr, C. R., &amp; Wittemyer, G. (2013). Practical guidance on characterizing availability in resource selection functions under a use–availability design. </w:t>
      </w:r>
      <w:r>
        <w:rPr>
          <w:i/>
          <w:iCs/>
        </w:rPr>
        <w:t>Ecology</w:t>
      </w:r>
      <w:r>
        <w:t xml:space="preserve">, </w:t>
      </w:r>
      <w:r>
        <w:rPr>
          <w:i/>
          <w:iCs/>
        </w:rPr>
        <w:t>94</w:t>
      </w:r>
      <w:r>
        <w:t xml:space="preserve">(7), 1456–1463. </w:t>
      </w:r>
      <w:hyperlink r:id="rId19">
        <w:r>
          <w:rPr>
            <w:rStyle w:val="Hyperlink"/>
          </w:rPr>
          <w:t>https://doi.org/10.1890/12-1688.1</w:t>
        </w:r>
      </w:hyperlink>
    </w:p>
    <w:p w14:paraId="746DB039" w14:textId="77777777" w:rsidR="003F5E16" w:rsidRDefault="002817BE" w:rsidP="002817BE">
      <w:pPr>
        <w:pStyle w:val="Bibliography"/>
      </w:pPr>
      <w:bookmarkStart w:id="41" w:name="ref-Oppel.etal2015"/>
      <w:bookmarkEnd w:id="40"/>
      <w:r>
        <w:t xml:space="preserve">Oppel, S., Beard, A., Fox, D., Mackley, E., Leat, E., Henry, L., Clingham, E., Fowler, N., Sim, J., Sommerfeld, J., Weber, N., Weber, S., &amp; Bolton, M. (2015). Foraging distribution of a tropical seabird supports Ashmole’s hypothesis of population regulation. </w:t>
      </w:r>
      <w:r>
        <w:rPr>
          <w:i/>
          <w:iCs/>
        </w:rPr>
        <w:t>Behavioral Ecology and Sociobiology</w:t>
      </w:r>
      <w:r>
        <w:t xml:space="preserve">, </w:t>
      </w:r>
      <w:r>
        <w:rPr>
          <w:i/>
          <w:iCs/>
        </w:rPr>
        <w:t>69</w:t>
      </w:r>
      <w:r>
        <w:t xml:space="preserve">(6), 915–926. </w:t>
      </w:r>
      <w:hyperlink r:id="rId20">
        <w:r>
          <w:rPr>
            <w:rStyle w:val="Hyperlink"/>
          </w:rPr>
          <w:t>https://doi.org/10.1007/s00265-015-1903-3</w:t>
        </w:r>
      </w:hyperlink>
    </w:p>
    <w:p w14:paraId="746DB03A" w14:textId="77777777" w:rsidR="003F5E16" w:rsidRDefault="002817BE" w:rsidP="002817BE">
      <w:pPr>
        <w:pStyle w:val="Bibliography"/>
      </w:pPr>
      <w:bookmarkStart w:id="42" w:name="ref-RCoreTeam2022e"/>
      <w:bookmarkEnd w:id="41"/>
      <w:r>
        <w:t xml:space="preserve">R Core Team. (2022). </w:t>
      </w:r>
      <w:r>
        <w:rPr>
          <w:i/>
          <w:iCs/>
        </w:rPr>
        <w:t>R: A Language and Environment for Statistical Computing</w:t>
      </w:r>
      <w:r>
        <w:t xml:space="preserve">. R Foundation for Statistical Computing. </w:t>
      </w:r>
      <w:hyperlink r:id="rId21">
        <w:r>
          <w:rPr>
            <w:rStyle w:val="Hyperlink"/>
          </w:rPr>
          <w:t>https://www.R-project.org/</w:t>
        </w:r>
      </w:hyperlink>
    </w:p>
    <w:p w14:paraId="746DB03B" w14:textId="77777777" w:rsidR="003F5E16" w:rsidRDefault="002817BE" w:rsidP="002817BE">
      <w:pPr>
        <w:pStyle w:val="Bibliography"/>
      </w:pPr>
      <w:bookmarkStart w:id="43" w:name="ref-Signer.etal2019"/>
      <w:bookmarkEnd w:id="42"/>
      <w:r>
        <w:t xml:space="preserve">Signer, J., Fieberg, J., &amp; Avgar, T. (2019). Animal movement tools (amt): R package for managing tracking data and conducting habitat selection analyses. </w:t>
      </w:r>
      <w:r>
        <w:rPr>
          <w:i/>
          <w:iCs/>
        </w:rPr>
        <w:t>Ecology and Evolution</w:t>
      </w:r>
      <w:r>
        <w:t xml:space="preserve">, </w:t>
      </w:r>
      <w:r>
        <w:rPr>
          <w:i/>
          <w:iCs/>
        </w:rPr>
        <w:t>9</w:t>
      </w:r>
      <w:r>
        <w:t xml:space="preserve">, 880–890. </w:t>
      </w:r>
      <w:hyperlink r:id="rId22">
        <w:r>
          <w:rPr>
            <w:rStyle w:val="Hyperlink"/>
          </w:rPr>
          <w:t>https://doi.org/10.1002/ece3.4823</w:t>
        </w:r>
      </w:hyperlink>
    </w:p>
    <w:p w14:paraId="746DB03C" w14:textId="77777777" w:rsidR="003F5E16" w:rsidRDefault="002817BE" w:rsidP="002817BE">
      <w:pPr>
        <w:pStyle w:val="Bibliography"/>
      </w:pPr>
      <w:bookmarkStart w:id="44" w:name="ref-Soanes.etal2021"/>
      <w:bookmarkEnd w:id="43"/>
      <w:r>
        <w:t xml:space="preserve">Soanes, L. M., Green, J. A., Bolton, M., Milligan, G., Mukhida, F., &amp; Halsey, L. G. (2021). Linking foraging and breeding strategies in tropical seabirds. </w:t>
      </w:r>
      <w:r>
        <w:rPr>
          <w:i/>
          <w:iCs/>
        </w:rPr>
        <w:t>Journal of Avian Biology</w:t>
      </w:r>
      <w:r>
        <w:t xml:space="preserve">, </w:t>
      </w:r>
      <w:r>
        <w:rPr>
          <w:i/>
          <w:iCs/>
        </w:rPr>
        <w:t>52</w:t>
      </w:r>
      <w:r>
        <w:t xml:space="preserve">(7), jav.02670. </w:t>
      </w:r>
      <w:hyperlink r:id="rId23">
        <w:r>
          <w:rPr>
            <w:rStyle w:val="Hyperlink"/>
          </w:rPr>
          <w:t>https://doi.org/10.1111/jav.02670</w:t>
        </w:r>
      </w:hyperlink>
    </w:p>
    <w:p w14:paraId="746DB03D" w14:textId="77777777" w:rsidR="003F5E16" w:rsidRDefault="002817BE" w:rsidP="002817BE">
      <w:pPr>
        <w:pStyle w:val="Bibliography"/>
      </w:pPr>
      <w:bookmarkStart w:id="45" w:name="ref-Steven.etal2019"/>
      <w:bookmarkEnd w:id="44"/>
      <w:r>
        <w:t xml:space="preserve">Steven, A. D. L., Baird, M. E., Brinkman, R., Car, N. J., Cox, S. J., Herzfeld, M., Hodge, J., Jones, E., King, E., Margvelashvili, N., Robillot, C., Robson, B., Schroeder, T., Skerratt, J., Tickell, S., Tuteja, N., Wild-Allen, K., &amp; Yu, J. (2019). </w:t>
      </w:r>
      <w:r>
        <w:rPr>
          <w:i/>
          <w:iCs/>
        </w:rPr>
        <w:t>eReefs</w:t>
      </w:r>
      <w:r>
        <w:t xml:space="preserve"> : An operational information system for managing the Great Barrier Reef. </w:t>
      </w:r>
      <w:r>
        <w:rPr>
          <w:i/>
          <w:iCs/>
        </w:rPr>
        <w:t>Journal of Operational Oceanography</w:t>
      </w:r>
      <w:r>
        <w:t xml:space="preserve">, </w:t>
      </w:r>
      <w:r>
        <w:rPr>
          <w:i/>
          <w:iCs/>
        </w:rPr>
        <w:t>12</w:t>
      </w:r>
      <w:r>
        <w:t xml:space="preserve">, S12–S28. </w:t>
      </w:r>
      <w:hyperlink r:id="rId24">
        <w:r>
          <w:rPr>
            <w:rStyle w:val="Hyperlink"/>
          </w:rPr>
          <w:t>https://doi.org/10.1080/1755876X.2019.1650589</w:t>
        </w:r>
      </w:hyperlink>
    </w:p>
    <w:p w14:paraId="746DB03E" w14:textId="77777777" w:rsidR="003F5E16" w:rsidRDefault="002817BE" w:rsidP="002817BE">
      <w:pPr>
        <w:pStyle w:val="Bibliography"/>
      </w:pPr>
      <w:bookmarkStart w:id="46" w:name="ref-Villard.etal2015"/>
      <w:bookmarkEnd w:id="45"/>
      <w:r>
        <w:lastRenderedPageBreak/>
        <w:t xml:space="preserve">Villard, P., Bretagnolle, V., &amp; Borsa, P. (2015). Segregation in Diet between Black Noddy ( </w:t>
      </w:r>
      <w:r>
        <w:rPr>
          <w:i/>
          <w:iCs/>
        </w:rPr>
        <w:t>Anous</w:t>
      </w:r>
      <w:r>
        <w:t xml:space="preserve"> </w:t>
      </w:r>
      <w:r>
        <w:rPr>
          <w:i/>
          <w:iCs/>
        </w:rPr>
        <w:t>Minutus</w:t>
      </w:r>
      <w:r>
        <w:t xml:space="preserve"> ) and Brown Noddy ( </w:t>
      </w:r>
      <w:r>
        <w:rPr>
          <w:i/>
          <w:iCs/>
        </w:rPr>
        <w:t>A. Stolidus</w:t>
      </w:r>
      <w:r>
        <w:t xml:space="preserve"> ) from the Southern Lagoon of New Caledonia. </w:t>
      </w:r>
      <w:r>
        <w:rPr>
          <w:i/>
          <w:iCs/>
        </w:rPr>
        <w:t>Pacific Science</w:t>
      </w:r>
      <w:r>
        <w:t xml:space="preserve">, </w:t>
      </w:r>
      <w:r>
        <w:rPr>
          <w:i/>
          <w:iCs/>
        </w:rPr>
        <w:t>69</w:t>
      </w:r>
      <w:r>
        <w:t xml:space="preserve">(2), 197–204. </w:t>
      </w:r>
      <w:hyperlink r:id="rId25">
        <w:r>
          <w:rPr>
            <w:rStyle w:val="Hyperlink"/>
          </w:rPr>
          <w:t>https://doi.org/10.2984/69.2.5</w:t>
        </w:r>
      </w:hyperlink>
    </w:p>
    <w:p w14:paraId="746DB03F" w14:textId="77777777" w:rsidR="003F5E16" w:rsidRDefault="002817BE" w:rsidP="002817BE">
      <w:pPr>
        <w:pStyle w:val="Bibliography"/>
      </w:pPr>
      <w:bookmarkStart w:id="47" w:name="ref-Weeks.etal2010"/>
      <w:bookmarkEnd w:id="46"/>
      <w:r>
        <w:t xml:space="preserve">Weeks, S. J., Bakun, A., Steinberg, C. R., Brinkman, R., &amp; Hoegh-Guldberg, O. (2010). The Capricorn Eddy: A prominent driver of the ecology and future of the southern Great Barrier Reef. </w:t>
      </w:r>
      <w:r>
        <w:rPr>
          <w:i/>
          <w:iCs/>
        </w:rPr>
        <w:t>Coral Reefs</w:t>
      </w:r>
      <w:r>
        <w:t xml:space="preserve">, </w:t>
      </w:r>
      <w:r>
        <w:rPr>
          <w:i/>
          <w:iCs/>
        </w:rPr>
        <w:t>29</w:t>
      </w:r>
      <w:r>
        <w:t xml:space="preserve">(4), 975–985. </w:t>
      </w:r>
      <w:hyperlink r:id="rId26">
        <w:r>
          <w:rPr>
            <w:rStyle w:val="Hyperlink"/>
          </w:rPr>
          <w:t>https://doi.org/10.1007/s00338-010-0644-z</w:t>
        </w:r>
      </w:hyperlink>
    </w:p>
    <w:p w14:paraId="746DB040" w14:textId="77777777" w:rsidR="003F5E16" w:rsidRDefault="002817BE" w:rsidP="002817BE">
      <w:pPr>
        <w:pStyle w:val="Bibliography"/>
      </w:pPr>
      <w:bookmarkStart w:id="48" w:name="ref-Weimerskirch2007"/>
      <w:bookmarkEnd w:id="47"/>
      <w:r>
        <w:t xml:space="preserve">Weimerskirch, H. (2007). Are seabirds foraging for unpredictable resources? </w:t>
      </w:r>
      <w:r>
        <w:rPr>
          <w:i/>
          <w:iCs/>
        </w:rPr>
        <w:t>Deep Sea Research Part II: Topical Studies in Oceanography</w:t>
      </w:r>
      <w:r>
        <w:t xml:space="preserve">, </w:t>
      </w:r>
      <w:r>
        <w:rPr>
          <w:i/>
          <w:iCs/>
        </w:rPr>
        <w:t>54</w:t>
      </w:r>
      <w:r>
        <w:t xml:space="preserve">(3-4), 211–223. </w:t>
      </w:r>
      <w:hyperlink r:id="rId27">
        <w:r>
          <w:rPr>
            <w:rStyle w:val="Hyperlink"/>
          </w:rPr>
          <w:t>https://doi.org/10.1016/j.dsr2.2006.11.013</w:t>
        </w:r>
      </w:hyperlink>
    </w:p>
    <w:p w14:paraId="746DB041" w14:textId="77777777" w:rsidR="003F5E16" w:rsidRDefault="002817BE" w:rsidP="002817BE">
      <w:pPr>
        <w:pStyle w:val="Bibliography"/>
      </w:pPr>
      <w:bookmarkStart w:id="49" w:name="ref-Wiens1989"/>
      <w:bookmarkEnd w:id="48"/>
      <w:r>
        <w:t xml:space="preserve">Wiens, J. A. (1989). Spatial Scaling in Ecology. </w:t>
      </w:r>
      <w:r>
        <w:rPr>
          <w:i/>
          <w:iCs/>
        </w:rPr>
        <w:t>Functional Ecology</w:t>
      </w:r>
      <w:r>
        <w:t xml:space="preserve">, </w:t>
      </w:r>
      <w:r>
        <w:rPr>
          <w:i/>
          <w:iCs/>
        </w:rPr>
        <w:t>3</w:t>
      </w:r>
      <w:r>
        <w:t xml:space="preserve">(4), 385. </w:t>
      </w:r>
      <w:hyperlink r:id="rId28">
        <w:r>
          <w:rPr>
            <w:rStyle w:val="Hyperlink"/>
          </w:rPr>
          <w:t>https://doi.org/10.2307/2389612</w:t>
        </w:r>
      </w:hyperlink>
    </w:p>
    <w:bookmarkEnd w:id="49"/>
    <w:bookmarkEnd w:id="24"/>
    <w:bookmarkEnd w:id="22"/>
    <w:sectPr w:rsidR="003F5E1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DB046" w14:textId="77777777" w:rsidR="00DE2C45" w:rsidRDefault="002817BE">
      <w:r>
        <w:separator/>
      </w:r>
    </w:p>
  </w:endnote>
  <w:endnote w:type="continuationSeparator" w:id="0">
    <w:p w14:paraId="746DB048" w14:textId="77777777" w:rsidR="00DE2C45" w:rsidRDefault="00281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DB042" w14:textId="77777777" w:rsidR="003F5E16" w:rsidRDefault="002817BE">
      <w:r>
        <w:separator/>
      </w:r>
    </w:p>
  </w:footnote>
  <w:footnote w:type="continuationSeparator" w:id="0">
    <w:p w14:paraId="746DB043" w14:textId="77777777" w:rsidR="003F5E16" w:rsidRDefault="00281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790CAE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5B0CB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C701CE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E26BE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34C49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8169C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770D42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A72DE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79621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EA6B8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DF261C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BF34B3A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C34488A"/>
    <w:multiLevelType w:val="hybridMultilevel"/>
    <w:tmpl w:val="37D41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7910768">
    <w:abstractNumId w:val="10"/>
  </w:num>
  <w:num w:numId="2" w16cid:durableId="1306468826">
    <w:abstractNumId w:val="11"/>
  </w:num>
  <w:num w:numId="3" w16cid:durableId="1281455139">
    <w:abstractNumId w:val="11"/>
  </w:num>
  <w:num w:numId="4" w16cid:durableId="1208175632">
    <w:abstractNumId w:val="11"/>
  </w:num>
  <w:num w:numId="5" w16cid:durableId="185094593">
    <w:abstractNumId w:val="11"/>
  </w:num>
  <w:num w:numId="6" w16cid:durableId="1464617872">
    <w:abstractNumId w:val="11"/>
  </w:num>
  <w:num w:numId="7" w16cid:durableId="168563984">
    <w:abstractNumId w:val="11"/>
  </w:num>
  <w:num w:numId="8" w16cid:durableId="1146630434">
    <w:abstractNumId w:val="11"/>
  </w:num>
  <w:num w:numId="9" w16cid:durableId="1789735161">
    <w:abstractNumId w:val="11"/>
  </w:num>
  <w:num w:numId="10" w16cid:durableId="1170753178">
    <w:abstractNumId w:val="11"/>
  </w:num>
  <w:num w:numId="11" w16cid:durableId="1822580881">
    <w:abstractNumId w:val="11"/>
  </w:num>
  <w:num w:numId="12" w16cid:durableId="2026251063">
    <w:abstractNumId w:val="11"/>
  </w:num>
  <w:num w:numId="13" w16cid:durableId="919949851">
    <w:abstractNumId w:val="0"/>
  </w:num>
  <w:num w:numId="14" w16cid:durableId="1760254933">
    <w:abstractNumId w:val="1"/>
  </w:num>
  <w:num w:numId="15" w16cid:durableId="1484278943">
    <w:abstractNumId w:val="2"/>
  </w:num>
  <w:num w:numId="16" w16cid:durableId="1103039888">
    <w:abstractNumId w:val="3"/>
  </w:num>
  <w:num w:numId="17" w16cid:durableId="282807906">
    <w:abstractNumId w:val="8"/>
  </w:num>
  <w:num w:numId="18" w16cid:durableId="285353003">
    <w:abstractNumId w:val="4"/>
  </w:num>
  <w:num w:numId="19" w16cid:durableId="1836148184">
    <w:abstractNumId w:val="5"/>
  </w:num>
  <w:num w:numId="20" w16cid:durableId="1902248118">
    <w:abstractNumId w:val="6"/>
  </w:num>
  <w:num w:numId="21" w16cid:durableId="271088560">
    <w:abstractNumId w:val="7"/>
  </w:num>
  <w:num w:numId="22" w16cid:durableId="809859618">
    <w:abstractNumId w:val="9"/>
  </w:num>
  <w:num w:numId="23" w16cid:durableId="1389497571">
    <w:abstractNumId w:val="12"/>
  </w:num>
  <w:num w:numId="24" w16cid:durableId="467749669">
    <w:abstractNumId w:val="0"/>
  </w:num>
  <w:num w:numId="25" w16cid:durableId="437527407">
    <w:abstractNumId w:val="1"/>
  </w:num>
  <w:num w:numId="26" w16cid:durableId="1595630983">
    <w:abstractNumId w:val="2"/>
  </w:num>
  <w:num w:numId="27" w16cid:durableId="486748855">
    <w:abstractNumId w:val="3"/>
  </w:num>
  <w:num w:numId="28" w16cid:durableId="1442065526">
    <w:abstractNumId w:val="8"/>
  </w:num>
  <w:num w:numId="29" w16cid:durableId="36248550">
    <w:abstractNumId w:val="4"/>
  </w:num>
  <w:num w:numId="30" w16cid:durableId="118113872">
    <w:abstractNumId w:val="5"/>
  </w:num>
  <w:num w:numId="31" w16cid:durableId="1532914473">
    <w:abstractNumId w:val="6"/>
  </w:num>
  <w:num w:numId="32" w16cid:durableId="1633444272">
    <w:abstractNumId w:val="7"/>
  </w:num>
  <w:num w:numId="33" w16cid:durableId="2077429757">
    <w:abstractNumId w:val="9"/>
  </w:num>
  <w:num w:numId="34" w16cid:durableId="607352447">
    <w:abstractNumId w:val="0"/>
  </w:num>
  <w:num w:numId="35" w16cid:durableId="979843875">
    <w:abstractNumId w:val="1"/>
  </w:num>
  <w:num w:numId="36" w16cid:durableId="426771344">
    <w:abstractNumId w:val="2"/>
  </w:num>
  <w:num w:numId="37" w16cid:durableId="2029864791">
    <w:abstractNumId w:val="3"/>
  </w:num>
  <w:num w:numId="38" w16cid:durableId="2014411010">
    <w:abstractNumId w:val="8"/>
  </w:num>
  <w:num w:numId="39" w16cid:durableId="443577599">
    <w:abstractNumId w:val="4"/>
  </w:num>
  <w:num w:numId="40" w16cid:durableId="1340964268">
    <w:abstractNumId w:val="5"/>
  </w:num>
  <w:num w:numId="41" w16cid:durableId="2004816247">
    <w:abstractNumId w:val="6"/>
  </w:num>
  <w:num w:numId="42" w16cid:durableId="907570574">
    <w:abstractNumId w:val="7"/>
  </w:num>
  <w:num w:numId="43" w16cid:durableId="1808667271">
    <w:abstractNumId w:val="9"/>
  </w:num>
  <w:num w:numId="44" w16cid:durableId="1517649506">
    <w:abstractNumId w:val="0"/>
  </w:num>
  <w:num w:numId="45" w16cid:durableId="592786483">
    <w:abstractNumId w:val="1"/>
  </w:num>
  <w:num w:numId="46" w16cid:durableId="150411155">
    <w:abstractNumId w:val="2"/>
  </w:num>
  <w:num w:numId="47" w16cid:durableId="1876850009">
    <w:abstractNumId w:val="3"/>
  </w:num>
  <w:num w:numId="48" w16cid:durableId="826289319">
    <w:abstractNumId w:val="8"/>
  </w:num>
  <w:num w:numId="49" w16cid:durableId="1093091009">
    <w:abstractNumId w:val="4"/>
  </w:num>
  <w:num w:numId="50" w16cid:durableId="1790125669">
    <w:abstractNumId w:val="5"/>
  </w:num>
  <w:num w:numId="51" w16cid:durableId="661661866">
    <w:abstractNumId w:val="6"/>
  </w:num>
  <w:num w:numId="52" w16cid:durableId="1257131284">
    <w:abstractNumId w:val="7"/>
  </w:num>
  <w:num w:numId="53" w16cid:durableId="16991577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E16"/>
    <w:rsid w:val="0022078A"/>
    <w:rsid w:val="002817BE"/>
    <w:rsid w:val="003F5E16"/>
    <w:rsid w:val="007A563D"/>
    <w:rsid w:val="008513A6"/>
    <w:rsid w:val="00C91D52"/>
    <w:rsid w:val="00DE2C4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6DAFAD"/>
  <w15:docId w15:val="{380BF162-9D77-DF40-85EA-12ED77532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563D"/>
    <w:pPr>
      <w:spacing w:after="0"/>
    </w:pPr>
    <w:rPr>
      <w:rFonts w:ascii="Times New Roman" w:hAnsi="Times New Roman"/>
    </w:rPr>
  </w:style>
  <w:style w:type="paragraph" w:styleId="Heading1">
    <w:name w:val="heading 1"/>
    <w:basedOn w:val="Normal"/>
    <w:next w:val="BodyText"/>
    <w:uiPriority w:val="9"/>
    <w:qFormat/>
    <w:rsid w:val="007A563D"/>
    <w:pPr>
      <w:keepNext/>
      <w:keepLines/>
      <w:spacing w:before="480"/>
      <w:outlineLvl w:val="0"/>
    </w:pPr>
    <w:rPr>
      <w:rFonts w:eastAsiaTheme="majorEastAsia" w:cstheme="majorBidi"/>
      <w:b/>
      <w:bCs/>
      <w:color w:val="000000" w:themeColor="text1"/>
      <w:sz w:val="32"/>
      <w:szCs w:val="32"/>
    </w:rPr>
  </w:style>
  <w:style w:type="paragraph" w:styleId="Heading2">
    <w:name w:val="heading 2"/>
    <w:basedOn w:val="Normal"/>
    <w:next w:val="BodyText"/>
    <w:uiPriority w:val="9"/>
    <w:unhideWhenUsed/>
    <w:qFormat/>
    <w:rsid w:val="007A563D"/>
    <w:pPr>
      <w:keepNext/>
      <w:keepLines/>
      <w:spacing w:before="200"/>
      <w:outlineLvl w:val="1"/>
    </w:pPr>
    <w:rPr>
      <w:rFonts w:eastAsiaTheme="majorEastAsia" w:cstheme="majorBidi"/>
      <w:b/>
      <w:bCs/>
      <w:color w:val="000000" w:themeColor="text1"/>
      <w:sz w:val="28"/>
      <w:szCs w:val="28"/>
    </w:rPr>
  </w:style>
  <w:style w:type="paragraph" w:styleId="Heading3">
    <w:name w:val="heading 3"/>
    <w:basedOn w:val="Normal"/>
    <w:next w:val="BodyText"/>
    <w:uiPriority w:val="9"/>
    <w:unhideWhenUsed/>
    <w:qFormat/>
    <w:rsid w:val="002817BE"/>
    <w:pPr>
      <w:keepNext/>
      <w:keepLines/>
      <w:spacing w:before="200"/>
      <w:outlineLvl w:val="2"/>
    </w:pPr>
    <w:rPr>
      <w:rFonts w:eastAsiaTheme="majorEastAsia" w:cstheme="majorBidi"/>
      <w:b/>
      <w:bCs/>
      <w:color w:val="000000" w:themeColor="tex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8513A6"/>
    <w:pPr>
      <w:spacing w:before="0" w:after="0"/>
    </w:pPr>
  </w:style>
  <w:style w:type="paragraph" w:customStyle="1" w:styleId="Compact">
    <w:name w:val="Compact"/>
    <w:basedOn w:val="BodyText"/>
    <w:qFormat/>
    <w:pPr>
      <w:spacing w:before="36" w:after="36"/>
    </w:pPr>
  </w:style>
  <w:style w:type="paragraph" w:styleId="Title">
    <w:name w:val="Title"/>
    <w:basedOn w:val="Normal"/>
    <w:next w:val="BodyText"/>
    <w:qFormat/>
    <w:rsid w:val="007A563D"/>
    <w:pPr>
      <w:keepNext/>
      <w:keepLines/>
      <w:spacing w:before="480" w:after="240"/>
      <w:jc w:val="center"/>
    </w:pPr>
    <w:rPr>
      <w:rFonts w:eastAsiaTheme="majorEastAsia"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817BE"/>
    <w:pPr>
      <w:ind w:left="709" w:hanging="709"/>
    </w:p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2078A"/>
    <w:rPr>
      <w:rFonts w:asciiTheme="majorHAnsi" w:hAnsiTheme="majorHAnsi"/>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ListParagraph">
    <w:name w:val="List Paragraph"/>
    <w:basedOn w:val="Normal"/>
    <w:rsid w:val="002817BE"/>
    <w:pPr>
      <w:ind w:left="720"/>
      <w:contextualSpacing/>
    </w:pPr>
  </w:style>
  <w:style w:type="character" w:customStyle="1" w:styleId="BodyTextChar">
    <w:name w:val="Body Text Char"/>
    <w:basedOn w:val="DefaultParagraphFont"/>
    <w:link w:val="BodyText"/>
    <w:rsid w:val="007A563D"/>
  </w:style>
  <w:style w:type="paragraph" w:styleId="Header">
    <w:name w:val="header"/>
    <w:basedOn w:val="Normal"/>
    <w:link w:val="HeaderChar"/>
    <w:unhideWhenUsed/>
    <w:rsid w:val="0022078A"/>
    <w:pPr>
      <w:tabs>
        <w:tab w:val="center" w:pos="4513"/>
        <w:tab w:val="right" w:pos="9026"/>
      </w:tabs>
    </w:pPr>
  </w:style>
  <w:style w:type="character" w:customStyle="1" w:styleId="HeaderChar">
    <w:name w:val="Header Char"/>
    <w:basedOn w:val="DefaultParagraphFont"/>
    <w:link w:val="Header"/>
    <w:rsid w:val="0022078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105/joss.03282" TargetMode="External"/><Relationship Id="rId13" Type="http://schemas.openxmlformats.org/officeDocument/2006/relationships/hyperlink" Target="https://doi.org/10.2193/0022-541X(2005)69%5b1346:QHOTIO%5d2.0.CO;2" TargetMode="External"/><Relationship Id="rId18" Type="http://schemas.openxmlformats.org/officeDocument/2006/relationships/hyperlink" Target="https://doi.org/10.1111/2041-210X.12995" TargetMode="External"/><Relationship Id="rId26" Type="http://schemas.openxmlformats.org/officeDocument/2006/relationships/hyperlink" Target="https://doi.org/10.1007/s00338-010-0644-z" TargetMode="External"/><Relationship Id="rId3" Type="http://schemas.openxmlformats.org/officeDocument/2006/relationships/settings" Target="settings.xml"/><Relationship Id="rId21" Type="http://schemas.openxmlformats.org/officeDocument/2006/relationships/hyperlink" Target="https://www.R-project.org/" TargetMode="External"/><Relationship Id="rId7" Type="http://schemas.openxmlformats.org/officeDocument/2006/relationships/hyperlink" Target="https://doi.org/10.2307/4511544" TargetMode="External"/><Relationship Id="rId12" Type="http://schemas.openxmlformats.org/officeDocument/2006/relationships/hyperlink" Target="https://doi.org/10.1111/ecog.03730" TargetMode="External"/><Relationship Id="rId17" Type="http://schemas.openxmlformats.org/officeDocument/2006/relationships/hyperlink" Target="https://doi.org/10.1002/2013JC009397" TargetMode="External"/><Relationship Id="rId25" Type="http://schemas.openxmlformats.org/officeDocument/2006/relationships/hyperlink" Target="https://doi.org/10.2984/69.2.5" TargetMode="External"/><Relationship Id="rId2" Type="http://schemas.openxmlformats.org/officeDocument/2006/relationships/styles" Target="styles.xml"/><Relationship Id="rId16" Type="http://schemas.openxmlformats.org/officeDocument/2006/relationships/hyperlink" Target="https://catalogue-imos.dev.aodn.org.au/geonetwork/srv/eng/search?uuid=aaad092c-c3af-42e6-87e0-bdaef945f522,%20https://researchdata.edu.au/imos-srs-sst-time-australia" TargetMode="External"/><Relationship Id="rId20" Type="http://schemas.openxmlformats.org/officeDocument/2006/relationships/hyperlink" Target="https://doi.org/10.1007/s00265-015-1903-3"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71/MU04011" TargetMode="External"/><Relationship Id="rId24" Type="http://schemas.openxmlformats.org/officeDocument/2006/relationships/hyperlink" Target="https://doi.org/10.1080/1755876X.2019.1650589" TargetMode="External"/><Relationship Id="rId5" Type="http://schemas.openxmlformats.org/officeDocument/2006/relationships/footnotes" Target="footnotes.xml"/><Relationship Id="rId15" Type="http://schemas.openxmlformats.org/officeDocument/2006/relationships/hyperlink" Target="https://catalogue-imos.dev.aodn.org.au/geonetwork/srv/eng/search?uuid=d7a14921-8f3f-4522-9a54-e7d1df969c8a,%20https://researchdata.edu.au/imos-srs-modis-oc3-model" TargetMode="External"/><Relationship Id="rId23" Type="http://schemas.openxmlformats.org/officeDocument/2006/relationships/hyperlink" Target="https://doi.org/10.1111/jav.02670" TargetMode="External"/><Relationship Id="rId28" Type="http://schemas.openxmlformats.org/officeDocument/2006/relationships/hyperlink" Target="https://doi.org/10.2307/2389612" TargetMode="External"/><Relationship Id="rId10" Type="http://schemas.openxmlformats.org/officeDocument/2006/relationships/hyperlink" Target="https://doi.org/10.1371/journal.pone.0011891" TargetMode="External"/><Relationship Id="rId19" Type="http://schemas.openxmlformats.org/officeDocument/2006/relationships/hyperlink" Target="https://doi.org/10.1890/12-1688.1" TargetMode="External"/><Relationship Id="rId4" Type="http://schemas.openxmlformats.org/officeDocument/2006/relationships/webSettings" Target="webSettings.xml"/><Relationship Id="rId9" Type="http://schemas.openxmlformats.org/officeDocument/2006/relationships/hyperlink" Target="https://doi.org/10.1071/MU9890129" TargetMode="External"/><Relationship Id="rId14" Type="http://schemas.openxmlformats.org/officeDocument/2006/relationships/hyperlink" Target="https://CRAN.R-project.org/package=DHARMa" TargetMode="External"/><Relationship Id="rId22" Type="http://schemas.openxmlformats.org/officeDocument/2006/relationships/hyperlink" Target="https://doi.org/10.1002/ece3.4823" TargetMode="External"/><Relationship Id="rId27" Type="http://schemas.openxmlformats.org/officeDocument/2006/relationships/hyperlink" Target="https://doi.org/10.1016/j.dsr2.2006.11.01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5352</Words>
  <Characters>30513</Characters>
  <Application>Microsoft Office Word</Application>
  <DocSecurity>0</DocSecurity>
  <Lines>254</Lines>
  <Paragraphs>71</Paragraphs>
  <ScaleCrop>false</ScaleCrop>
  <Company>James Cook University</Company>
  <LinksUpToDate>false</LinksUpToDate>
  <CharactersWithSpaces>35794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Seabirds in upredictable environments favour energy efficient movements OR 2. Scale, the missing link in predicting tropical seabird foraging strategy</dc:title>
  <dc:creator>Nicholas James</dc:creator>
  <cp:keywords/>
  <cp:lastModifiedBy>Nicholas James</cp:lastModifiedBy>
  <cp:revision>2</cp:revision>
  <dcterms:created xsi:type="dcterms:W3CDTF">2023-07-19T00:26:00Z</dcterms:created>
  <dcterms:modified xsi:type="dcterms:W3CDTF">2023-07-19T00:26:00Z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../Resources/CH2 - Black noddy foraging.bib</vt:lpwstr>
  </property>
  <property fmtid="{D5CDD505-2E9C-101B-9397-08002B2CF9AE}" pid="3" name="citation_package">
    <vt:lpwstr>natbib</vt:lpwstr>
  </property>
  <property fmtid="{D5CDD505-2E9C-101B-9397-08002B2CF9AE}" pid="4" name="csl">
    <vt:lpwstr>/Users/jc754314/Zotero/styles/journal-of-animal-ecology.csl</vt:lpwstr>
  </property>
  <property fmtid="{D5CDD505-2E9C-101B-9397-08002B2CF9AE}" pid="5" name="output">
    <vt:lpwstr>word_document</vt:lpwstr>
  </property>
</Properties>
</file>