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AfriMed Tutor: A Guideline-Grounded Study Assistant</w:t>
        <w:br/>
        <w:t>for African Medical Students</w:t>
      </w:r>
    </w:p>
    <w:p>
      <w:pPr>
        <w:jc w:val="center"/>
      </w:pPr>
      <w:r>
        <w:rPr>
          <w:rFonts w:ascii="Times New Roman" w:hAnsi="Times New Roman"/>
          <w:sz w:val="22"/>
        </w:rPr>
        <w:t>ICS4554 Natural Language Processing — Final Project Report</w:t>
        <w:br/>
        <w:t>Ashesi University · Spring 2026</w:t>
        <w:br/>
        <w:t>[insert GitHub repository URL]</w:t>
      </w:r>
    </w:p>
    <w:p/>
    <w:p>
      <w:pPr>
        <w:pStyle w:val="Heading1"/>
      </w:pPr>
      <w:r>
        <w:rPr>
          <w:color w:val="000000"/>
        </w:rPr>
        <w:t>1. Problem Identification</w:t>
      </w:r>
    </w:p>
    <w:p>
      <w:pPr>
        <w:spacing w:before="0" w:after="120"/>
        <w:jc w:val="both"/>
      </w:pPr>
      <w:r>
        <w:rPr>
          <w:rFonts w:ascii="Times New Roman" w:hAnsi="Times New Roman"/>
          <w:b w:val="0"/>
          <w:i w:val="0"/>
          <w:sz w:val="22"/>
        </w:rPr>
        <w:t>Sub-Saharan Africa faces a severe and widening gap in clinical expertise. The region carries 25% of the global disease burden while accounting for fewer than 3% of the world's health workers, and the majority of practicing clinicians received their training in systems where access to high-quality, up-to-date clinical decision support is limited (WHO, 2023). Medical students studying in this environment often rely on textbooks that pre-date current African clinical guidelines, or on international resources calibrated to disease prevalence patterns and drug formularies that differ materially from those encountered in African practice.</w:t>
      </w:r>
    </w:p>
    <w:p>
      <w:pPr>
        <w:spacing w:before="0" w:after="120"/>
        <w:jc w:val="both"/>
      </w:pPr>
      <w:r>
        <w:rPr>
          <w:rFonts w:ascii="Times New Roman" w:hAnsi="Times New Roman"/>
          <w:b w:val="0"/>
          <w:i w:val="0"/>
          <w:sz w:val="22"/>
        </w:rPr>
        <w:t>A recent benchmark study by Olatunji et al. (2025) quantified this gap directly. The AfriMed-QA dataset contains 3,724 multiple-choice questions drawn from actual African medical licensing and postgraduate examinations. When state-of-the-art frontier LLMs are evaluated on this benchmark, accuracy ranges from 57% to 76%, with the largest deficits in Infectious Disease and Obstetrics and Gynecology: precisely the specialties most distinctive to the African disease burden. These models were not trained to reason from African clinical guidelines; they were trained predominantly on English-language text weighted toward North American and European clinical practice.</w:t>
      </w:r>
    </w:p>
    <w:p>
      <w:pPr>
        <w:spacing w:before="0" w:after="120"/>
        <w:jc w:val="both"/>
      </w:pPr>
      <w:r>
        <w:rPr>
          <w:rFonts w:ascii="Times New Roman" w:hAnsi="Times New Roman"/>
          <w:b w:val="0"/>
          <w:i w:val="0"/>
          <w:sz w:val="22"/>
        </w:rPr>
        <w:t>This project builds AfriMed Tutor, a Retrieval-Augmented Generation (RAG) study assistant that grounds its responses in a curated corpus of five current African clinical guideline documents (South Africa PHC and Hospital STGs, Kenya Clinical Guidelines, Ghana STG, WHO IMCI). The system's design is motivated by two research questions: (1) Does providing African guideline context at inference time improve a frontier LLM's performance on African clinical MCQs? (2) How does retrieval method (dense semantic versus sparse keyword) affect system accuracy and explanation quality?</w:t>
      </w:r>
    </w:p>
    <w:p>
      <w:pPr>
        <w:spacing w:before="0" w:after="120"/>
        <w:jc w:val="both"/>
      </w:pPr>
      <w:r>
        <w:rPr>
          <w:rFonts w:ascii="Times New Roman" w:hAnsi="Times New Roman"/>
          <w:b w:val="0"/>
          <w:i w:val="0"/>
          <w:sz w:val="22"/>
        </w:rPr>
        <w:t>The system is designed explicitly as a study aid, not a clinical decision tool. Its value is pedagogical: it helps students understand the clinical reasoning embedded in the guidelines their future patients will be managed by.</w:t>
      </w:r>
    </w:p>
    <w:p>
      <w:pPr>
        <w:pStyle w:val="Heading1"/>
      </w:pPr>
      <w:r>
        <w:rPr>
          <w:color w:val="000000"/>
        </w:rPr>
        <w:t>2. Literature Review</w:t>
      </w:r>
    </w:p>
    <w:p>
      <w:pPr>
        <w:pStyle w:val="Heading2"/>
      </w:pPr>
      <w:r>
        <w:rPr>
          <w:color w:val="000000"/>
        </w:rPr>
        <w:t>2.1 Medical NLP benchmarks and the African context</w:t>
      </w:r>
    </w:p>
    <w:p>
      <w:pPr>
        <w:spacing w:before="0" w:after="120"/>
        <w:jc w:val="both"/>
      </w:pPr>
      <w:r>
        <w:rPr>
          <w:rFonts w:ascii="Times New Roman" w:hAnsi="Times New Roman"/>
          <w:b w:val="0"/>
          <w:i w:val="0"/>
          <w:sz w:val="22"/>
        </w:rPr>
        <w:t>The AfriMed-QA benchmark (Olatunji et al., 2025) is the primary evaluation dataset for this work. It contains 3,724 MCQs and 1,236 short-answer questions from medical licensing examinations in Ghana, Nigeria, Kenya, and South Africa. The paper's key finding, that even the strongest frontier models underperform on African medical questions, motivates the retrieval-augmented approach taken here. Notably, AfriMed-QA's MCQ split skews toward Nigerian licensing examinations, a limitation acknowledged by the authors and relevant to interpreting per-specialty results.</w:t>
      </w:r>
    </w:p>
    <w:p>
      <w:pPr>
        <w:spacing w:before="0" w:after="120"/>
        <w:jc w:val="both"/>
      </w:pPr>
      <w:r>
        <w:rPr>
          <w:rFonts w:ascii="Times New Roman" w:hAnsi="Times New Roman"/>
          <w:b w:val="0"/>
          <w:i w:val="0"/>
          <w:sz w:val="22"/>
        </w:rPr>
        <w:t>Singhal et al. (2023) introduced Med-PaLM 2, a fine-tuned LLM that achieved expert-level performance (86.5%) on the US Medical Licensing Examination. While this demonstrates the ceiling achievable with fine-tuning on curated medical data, it also illustrates the access barrier: Med-PaLM's training required proprietary curated datasets and large-scale compute inaccessible to most African research institutions. Our work deliberately avoids fine-tuning and relies entirely on retrieval at inference time, keeping the system deployable with a single API key.</w:t>
      </w:r>
    </w:p>
    <w:p>
      <w:pPr>
        <w:spacing w:before="0" w:after="120"/>
        <w:jc w:val="both"/>
      </w:pPr>
      <w:r>
        <w:rPr>
          <w:rFonts w:ascii="Times New Roman" w:hAnsi="Times New Roman"/>
          <w:b w:val="0"/>
          <w:i w:val="0"/>
          <w:sz w:val="22"/>
        </w:rPr>
        <w:t>Fallahpour et al. (2025) (MedRax) extended RAG-based approaches to radiology report generation, reporting that retrieval augmentation can substitute effectively for domain-specific fine-tuning when the retrieval corpus is sufficiently targeted. This supports the core hypothesis of our project.</w:t>
      </w:r>
    </w:p>
    <w:p>
      <w:pPr>
        <w:pStyle w:val="Heading2"/>
      </w:pPr>
      <w:r>
        <w:rPr>
          <w:color w:val="000000"/>
        </w:rPr>
        <w:t>2.2 Retrieval-Augmented Generation</w:t>
      </w:r>
    </w:p>
    <w:p>
      <w:pPr>
        <w:spacing w:before="0" w:after="120"/>
        <w:jc w:val="both"/>
      </w:pPr>
      <w:r>
        <w:rPr>
          <w:rFonts w:ascii="Times New Roman" w:hAnsi="Times New Roman"/>
          <w:b w:val="0"/>
          <w:i w:val="0"/>
          <w:sz w:val="22"/>
        </w:rPr>
        <w:t>Lewis et al. (2020) introduced the RAG framework, showing that conditioning a generative model on dynamically retrieved documents at inference time outperforms parametric-only approaches on knowledge-intensive NLP tasks. The two retrieval paradigms used in this project, dense (FAISS over normalized embeddings) and sparse (BM25), correspond directly to the retriever families analyzed in subsequent RAG literature.</w:t>
      </w:r>
    </w:p>
    <w:p>
      <w:pPr>
        <w:spacing w:before="0" w:after="120"/>
        <w:jc w:val="both"/>
      </w:pPr>
      <w:r>
        <w:rPr>
          <w:rFonts w:ascii="Times New Roman" w:hAnsi="Times New Roman"/>
          <w:b w:val="0"/>
          <w:i w:val="0"/>
          <w:sz w:val="22"/>
        </w:rPr>
        <w:t>Karpukhin et al. (2020) established that dense passage retrieval outperforms BM25 on open-domain QA tasks that require semantic matching, while Robertson and Zaragoza (2009) showed BM25's continued strength on terminology-heavy domains. Medical text is terminology-heavy, which partly explains the relative performance we observe (see §3.4).</w:t>
      </w:r>
    </w:p>
    <w:p>
      <w:pPr>
        <w:pStyle w:val="Heading2"/>
      </w:pPr>
      <w:r>
        <w:rPr>
          <w:color w:val="000000"/>
        </w:rPr>
        <w:t>2.3 Educational NLP in African contexts</w:t>
      </w:r>
    </w:p>
    <w:p>
      <w:pPr>
        <w:spacing w:before="0" w:after="120"/>
        <w:jc w:val="both"/>
      </w:pPr>
      <w:r>
        <w:rPr>
          <w:rFonts w:ascii="Times New Roman" w:hAnsi="Times New Roman"/>
          <w:b w:val="0"/>
          <w:i w:val="0"/>
          <w:sz w:val="22"/>
        </w:rPr>
        <w:t>Boateng et al. (2024) built Kwame for Science, an AI question-answering system for Ghanaian secondary school students grounded in the national science curriculum. The design parallels ours: curriculum-grounded retrieval, frontier LLM generation, and explicit citation of source material. Their finding that grounding in local educational materials improved both accuracy and student trust directly informed our decision to use African-sourced guidelines rather than international medical corpora.</w:t>
      </w:r>
    </w:p>
    <w:p>
      <w:pPr>
        <w:pStyle w:val="Heading2"/>
      </w:pPr>
      <w:r>
        <w:rPr>
          <w:color w:val="000000"/>
        </w:rPr>
        <w:t>2.4 Automated evaluation of NLP systems</w:t>
      </w:r>
    </w:p>
    <w:p>
      <w:pPr>
        <w:spacing w:before="0" w:after="120"/>
        <w:jc w:val="both"/>
      </w:pPr>
      <w:r>
        <w:rPr>
          <w:rFonts w:ascii="Times New Roman" w:hAnsi="Times New Roman"/>
          <w:b w:val="0"/>
          <w:i w:val="0"/>
          <w:sz w:val="22"/>
        </w:rPr>
        <w:t>The LLM-as-judge evaluation protocol used in §3.5 follows the methodology introduced by Zheng et al. (2023) for MT-Bench and adopted widely in subsequent work. The key methodological concern, that a model judging its own outputs suffers from same-model bias, led us to designate a different LLM provider as judge. In our case, the absence of an OpenAI API key required the fallback of using the same model family as judge, a limitation discussed further in §3.5.</w:t>
      </w:r>
    </w:p>
    <w:p>
      <w:pPr>
        <w:pStyle w:val="Heading2"/>
      </w:pPr>
      <w:r>
        <w:rPr>
          <w:color w:val="000000"/>
        </w:rPr>
        <w:t>2.5 Ethics and representation in medical AI</w:t>
      </w:r>
    </w:p>
    <w:p>
      <w:pPr>
        <w:spacing w:before="0" w:after="120"/>
        <w:jc w:val="both"/>
      </w:pPr>
      <w:r>
        <w:rPr>
          <w:rFonts w:ascii="Times New Roman" w:hAnsi="Times New Roman"/>
          <w:b w:val="0"/>
          <w:i w:val="0"/>
          <w:sz w:val="22"/>
        </w:rPr>
        <w:t>Bender et al. (2021) warned of stochastic parrots: language models that reproduce statistical patterns in training data without genuine comprehension, with harms amplified in high-stakes domains. In medical AI, this concern is compounded by the geographic and demographic skew of training corpora identified by Obermeyer et al. (2019). Our explicit grounding in African guidelines is a partial mitigation, but as §4 discusses, it does not eliminate the risk.</w:t>
      </w:r>
    </w:p>
    <w:p>
      <w:pPr>
        <w:spacing w:before="0" w:after="120"/>
        <w:jc w:val="both"/>
      </w:pPr>
      <w:r>
        <w:rPr>
          <w:rFonts w:ascii="Times New Roman" w:hAnsi="Times New Roman"/>
          <w:b w:val="0"/>
          <w:i w:val="0"/>
          <w:sz w:val="22"/>
        </w:rPr>
        <w:t>Hu et al. (2025), in a JMIR scoping review of LLM-based health education tools, found consistent reporting gaps around transparency, bias auditing, and safety disclaimers. AfriMed Tutor addresses this through mandatory UI disclaimers and the citation-obligated prompt design: every factual claim is traceable to a retrieved excerpt from a named guideline.</w:t>
      </w:r>
    </w:p>
    <w:p>
      <w:pPr>
        <w:pStyle w:val="Heading1"/>
      </w:pPr>
      <w:r>
        <w:rPr>
          <w:color w:val="000000"/>
        </w:rPr>
        <w:t>3. Solution and Evaluation</w:t>
      </w:r>
    </w:p>
    <w:p>
      <w:pPr>
        <w:pStyle w:val="Heading2"/>
      </w:pPr>
      <w:r>
        <w:rPr>
          <w:color w:val="000000"/>
        </w:rPr>
        <w:t>3.1 System architecture</w:t>
      </w:r>
    </w:p>
    <w:p>
      <w:pPr>
        <w:spacing w:before="0" w:after="120"/>
        <w:jc w:val="both"/>
      </w:pPr>
      <w:r>
        <w:rPr>
          <w:rFonts w:ascii="Times New Roman" w:hAnsi="Times New Roman"/>
          <w:b w:val="0"/>
          <w:i w:val="0"/>
          <w:sz w:val="22"/>
        </w:rPr>
        <w:t>AfriMed Tutor is a Streamlit web application with three interaction modes. A single orchestrator module (tutor/orchestrator.py) handles mode routing and prompt composition; one LLM call is made per user interaction. The retrieval pipeline consists of two independent retrievers: a dense FAISS-based retriever and a BM25 sparse retriever, both indexed over the same 5,633 guideline chunks.</w:t>
      </w:r>
    </w:p>
    <w:p>
      <w:pPr>
        <w:pStyle w:val="Heading2"/>
      </w:pPr>
      <w:r>
        <w:rPr>
          <w:color w:val="000000"/>
        </w:rPr>
        <w:t>3.2 Corpus and chunking</w:t>
      </w:r>
    </w:p>
    <w:p>
      <w:pPr>
        <w:spacing w:before="0" w:after="120"/>
        <w:jc w:val="both"/>
      </w:pPr>
      <w:r>
        <w:rPr>
          <w:rFonts w:ascii="Times New Roman" w:hAnsi="Times New Roman"/>
          <w:b w:val="0"/>
          <w:i w:val="0"/>
          <w:sz w:val="22"/>
        </w:rPr>
        <w:t>The guideline corpus comprises five documents totaling approximately 55 MB of PDFs. Text extraction uses pypdf as the primary engine, with pdfplumber as a fallback. The structure-aware chunker applies document-family-specific regex patterns to detect section headers before splitting. For example, Ghana STG chapters follow the pattern of condition names in all-caps with Diagnosis, Investigations, Management, and Referral subsections; the chunker splits at these subsection boundaries before applying a secondary word-count split for chunks exceeding 800 tokens, with a 100-token overlap. Each chunk carries metadata: source_doc, section_title, condition, page_number, and chunk_id. Mean chunk size is 145 words.</w:t>
      </w:r>
    </w:p>
    <w:tbl>
      <w:tblPr>
        <w:tblStyle w:val="TableGrid"/>
        <w:tblW w:type="auto" w:w="0"/>
        <w:tblLook w:firstColumn="1" w:firstRow="1" w:lastColumn="0" w:lastRow="0" w:noHBand="0" w:noVBand="1" w:val="04A0"/>
      </w:tblPr>
      <w:tblGrid>
        <w:gridCol w:w="2928"/>
        <w:gridCol w:w="2928"/>
        <w:gridCol w:w="2928"/>
      </w:tblGrid>
      <w:tr>
        <w:tc>
          <w:tcPr>
            <w:tcW w:type="dxa" w:w="4032"/>
          </w:tcPr>
          <w:p>
            <w:r>
              <w:rPr>
                <w:rFonts w:ascii="Times New Roman" w:hAnsi="Times New Roman"/>
                <w:b/>
                <w:sz w:val="20"/>
              </w:rPr>
              <w:t>Document</w:t>
            </w:r>
          </w:p>
        </w:tc>
        <w:tc>
          <w:tcPr>
            <w:tcW w:type="dxa" w:w="2592"/>
          </w:tcPr>
          <w:p>
            <w:r>
              <w:rPr>
                <w:rFonts w:ascii="Times New Roman" w:hAnsi="Times New Roman"/>
                <w:b/>
                <w:sz w:val="20"/>
              </w:rPr>
              <w:t>Source</w:t>
            </w:r>
          </w:p>
        </w:tc>
        <w:tc>
          <w:tcPr>
            <w:tcW w:type="dxa" w:w="1296"/>
          </w:tcPr>
          <w:p>
            <w:r>
              <w:rPr>
                <w:rFonts w:ascii="Times New Roman" w:hAnsi="Times New Roman"/>
                <w:b/>
                <w:sz w:val="20"/>
              </w:rPr>
              <w:t>Chunks</w:t>
            </w:r>
          </w:p>
        </w:tc>
      </w:tr>
      <w:tr>
        <w:tc>
          <w:tcPr>
            <w:tcW w:type="dxa" w:w="4032"/>
          </w:tcPr>
          <w:p>
            <w:r>
              <w:rPr>
                <w:rFonts w:ascii="Times New Roman" w:hAnsi="Times New Roman"/>
                <w:sz w:val="20"/>
              </w:rPr>
              <w:t>SA Standard Treatment Guidelines, PHC, 8th ed (2024)</w:t>
            </w:r>
          </w:p>
        </w:tc>
        <w:tc>
          <w:tcPr>
            <w:tcW w:type="dxa" w:w="2592"/>
          </w:tcPr>
          <w:p>
            <w:r>
              <w:rPr>
                <w:rFonts w:ascii="Times New Roman" w:hAnsi="Times New Roman"/>
                <w:sz w:val="20"/>
              </w:rPr>
              <w:t>National DoH, South Africa</w:t>
            </w:r>
          </w:p>
        </w:tc>
        <w:tc>
          <w:tcPr>
            <w:tcW w:type="dxa" w:w="1296"/>
          </w:tcPr>
          <w:p>
            <w:r>
              <w:rPr>
                <w:rFonts w:ascii="Times New Roman" w:hAnsi="Times New Roman"/>
                <w:sz w:val="20"/>
              </w:rPr>
              <w:t>2,004</w:t>
            </w:r>
          </w:p>
        </w:tc>
      </w:tr>
      <w:tr>
        <w:tc>
          <w:tcPr>
            <w:tcW w:type="dxa" w:w="4032"/>
          </w:tcPr>
          <w:p>
            <w:r>
              <w:rPr>
                <w:rFonts w:ascii="Times New Roman" w:hAnsi="Times New Roman"/>
                <w:sz w:val="20"/>
              </w:rPr>
              <w:t>SA Standard Treatment Guidelines, Hospital Adults, 6th ed (2024)</w:t>
            </w:r>
          </w:p>
        </w:tc>
        <w:tc>
          <w:tcPr>
            <w:tcW w:type="dxa" w:w="2592"/>
          </w:tcPr>
          <w:p>
            <w:r>
              <w:rPr>
                <w:rFonts w:ascii="Times New Roman" w:hAnsi="Times New Roman"/>
                <w:sz w:val="20"/>
              </w:rPr>
              <w:t>SAHIVSOC, South Africa</w:t>
            </w:r>
          </w:p>
        </w:tc>
        <w:tc>
          <w:tcPr>
            <w:tcW w:type="dxa" w:w="1296"/>
          </w:tcPr>
          <w:p>
            <w:r>
              <w:rPr>
                <w:rFonts w:ascii="Times New Roman" w:hAnsi="Times New Roman"/>
                <w:sz w:val="20"/>
              </w:rPr>
              <w:t>2,103</w:t>
            </w:r>
          </w:p>
        </w:tc>
      </w:tr>
      <w:tr>
        <w:tc>
          <w:tcPr>
            <w:tcW w:type="dxa" w:w="4032"/>
          </w:tcPr>
          <w:p>
            <w:r>
              <w:rPr>
                <w:rFonts w:ascii="Times New Roman" w:hAnsi="Times New Roman"/>
                <w:sz w:val="20"/>
              </w:rPr>
              <w:t>Kenya Clinical Guidelines, 3rd ed</w:t>
            </w:r>
          </w:p>
        </w:tc>
        <w:tc>
          <w:tcPr>
            <w:tcW w:type="dxa" w:w="2592"/>
          </w:tcPr>
          <w:p>
            <w:r>
              <w:rPr>
                <w:rFonts w:ascii="Times New Roman" w:hAnsi="Times New Roman"/>
                <w:sz w:val="20"/>
              </w:rPr>
              <w:t>WHO/Kenya MoH</w:t>
            </w:r>
          </w:p>
        </w:tc>
        <w:tc>
          <w:tcPr>
            <w:tcW w:type="dxa" w:w="1296"/>
          </w:tcPr>
          <w:p>
            <w:r>
              <w:rPr>
                <w:rFonts w:ascii="Times New Roman" w:hAnsi="Times New Roman"/>
                <w:sz w:val="20"/>
              </w:rPr>
              <w:t>794</w:t>
            </w:r>
          </w:p>
        </w:tc>
      </w:tr>
      <w:tr>
        <w:tc>
          <w:tcPr>
            <w:tcW w:type="dxa" w:w="4032"/>
          </w:tcPr>
          <w:p>
            <w:r>
              <w:rPr>
                <w:rFonts w:ascii="Times New Roman" w:hAnsi="Times New Roman"/>
                <w:sz w:val="20"/>
              </w:rPr>
              <w:t>Ghana Standard Treatment Guidelines, 7th ed (2017)</w:t>
            </w:r>
          </w:p>
        </w:tc>
        <w:tc>
          <w:tcPr>
            <w:tcW w:type="dxa" w:w="2592"/>
          </w:tcPr>
          <w:p>
            <w:r>
              <w:rPr>
                <w:rFonts w:ascii="Times New Roman" w:hAnsi="Times New Roman"/>
                <w:sz w:val="20"/>
              </w:rPr>
              <w:t>Ghana MoH</w:t>
            </w:r>
          </w:p>
        </w:tc>
        <w:tc>
          <w:tcPr>
            <w:tcW w:type="dxa" w:w="1296"/>
          </w:tcPr>
          <w:p>
            <w:r>
              <w:rPr>
                <w:rFonts w:ascii="Times New Roman" w:hAnsi="Times New Roman"/>
                <w:sz w:val="20"/>
              </w:rPr>
              <w:t>572</w:t>
            </w:r>
          </w:p>
        </w:tc>
      </w:tr>
      <w:tr>
        <w:tc>
          <w:tcPr>
            <w:tcW w:type="dxa" w:w="4032"/>
          </w:tcPr>
          <w:p>
            <w:r>
              <w:rPr>
                <w:rFonts w:ascii="Times New Roman" w:hAnsi="Times New Roman"/>
                <w:sz w:val="20"/>
              </w:rPr>
              <w:t>WHO IMCI Chart Booklet (2014)</w:t>
            </w:r>
          </w:p>
        </w:tc>
        <w:tc>
          <w:tcPr>
            <w:tcW w:type="dxa" w:w="2592"/>
          </w:tcPr>
          <w:p>
            <w:r>
              <w:rPr>
                <w:rFonts w:ascii="Times New Roman" w:hAnsi="Times New Roman"/>
                <w:sz w:val="20"/>
              </w:rPr>
              <w:t>WHO</w:t>
            </w:r>
          </w:p>
        </w:tc>
        <w:tc>
          <w:tcPr>
            <w:tcW w:type="dxa" w:w="1296"/>
          </w:tcPr>
          <w:p>
            <w:r>
              <w:rPr>
                <w:rFonts w:ascii="Times New Roman" w:hAnsi="Times New Roman"/>
                <w:sz w:val="20"/>
              </w:rPr>
              <w:t>160</w:t>
            </w:r>
          </w:p>
        </w:tc>
      </w:tr>
      <w:tr>
        <w:tc>
          <w:tcPr>
            <w:tcW w:type="dxa" w:w="4032"/>
          </w:tcPr>
          <w:p>
            <w:r>
              <w:rPr>
                <w:rFonts w:ascii="Times New Roman" w:hAnsi="Times New Roman"/>
                <w:sz w:val="20"/>
              </w:rPr>
              <w:t>Total</w:t>
            </w:r>
          </w:p>
        </w:tc>
        <w:tc>
          <w:tcPr>
            <w:tcW w:type="dxa" w:w="2592"/>
          </w:tcPr>
          <w:p>
            <w:r>
              <w:rPr>
                <w:rFonts w:ascii="Times New Roman" w:hAnsi="Times New Roman"/>
                <w:sz w:val="20"/>
              </w:rPr>
            </w:r>
          </w:p>
        </w:tc>
        <w:tc>
          <w:tcPr>
            <w:tcW w:type="dxa" w:w="1296"/>
          </w:tcPr>
          <w:p>
            <w:r>
              <w:rPr>
                <w:rFonts w:ascii="Times New Roman" w:hAnsi="Times New Roman"/>
                <w:sz w:val="20"/>
              </w:rPr>
              <w:t>5,633</w:t>
            </w:r>
          </w:p>
        </w:tc>
      </w:tr>
    </w:tbl>
    <w:p/>
    <w:p>
      <w:pPr>
        <w:pStyle w:val="Heading2"/>
      </w:pPr>
      <w:r>
        <w:rPr>
          <w:color w:val="000000"/>
        </w:rPr>
        <w:t>3.3 Embedding and retrieval</w:t>
      </w:r>
    </w:p>
    <w:p>
      <w:pPr>
        <w:spacing w:before="0" w:after="120"/>
        <w:jc w:val="both"/>
      </w:pPr>
      <w:r>
        <w:rPr>
          <w:rFonts w:ascii="Times New Roman" w:hAnsi="Times New Roman"/>
          <w:b w:val="0"/>
          <w:i w:val="0"/>
          <w:sz w:val="22"/>
        </w:rPr>
        <w:t>Dense retrieval uses the all-MiniLM-L6-v2 sentence-transformer (384-dimensional embeddings) indexed in a FAISS IndexFlatIP over L2-normalized vectors, implementing cosine similarity via inner product. This model was chosen over OpenAI text-embedding-3-small or Voyage voyage-3-lite for cost and offline-reproducibility reasons: all-MiniLM-L6-v2 runs locally without an API key and shows competitive performance on biomedical retrieval tasks in the MTEB benchmark. The full corpus of 5,633 chunks was embedded in a single batch; the 3,624 MCQ pool questions were also pre-embedded for the related-questions retriever.</w:t>
      </w:r>
    </w:p>
    <w:p>
      <w:pPr>
        <w:spacing w:before="0" w:after="120"/>
        <w:jc w:val="both"/>
      </w:pPr>
      <w:r>
        <w:rPr>
          <w:rFonts w:ascii="Times New Roman" w:hAnsi="Times New Roman"/>
          <w:b w:val="0"/>
          <w:i w:val="0"/>
          <w:sz w:val="22"/>
        </w:rPr>
        <w:t>Sparse retrieval uses BM25 (via rank_bm25) over the same chunk texts, with lowercasing and whitespace tokenization. Both retrievers return the top-k=5 chunks by default. A cosine similarity threshold of 0.30 was applied after exploratory inspection on 20 held-out queries: below this threshold, chunks were qualitatively unrelated to the query.</w:t>
      </w:r>
    </w:p>
    <w:p>
      <w:pPr>
        <w:pStyle w:val="Heading2"/>
      </w:pPr>
      <w:r>
        <w:rPr>
          <w:color w:val="000000"/>
        </w:rPr>
        <w:t>3.4 Quantitative evaluation: MCQ accuracy</w:t>
      </w:r>
    </w:p>
    <w:p>
      <w:pPr>
        <w:spacing w:before="0" w:after="120"/>
        <w:jc w:val="both"/>
      </w:pPr>
      <w:r>
        <w:rPr>
          <w:rFonts w:ascii="Times New Roman" w:hAnsi="Times New Roman"/>
          <w:b w:val="0"/>
          <w:i w:val="0"/>
          <w:sz w:val="22"/>
        </w:rPr>
        <w:t>We evaluated Claude Sonnet 4.6 on 100 held-out AfriMed-QA MCQs, stratified across five specialties (20 per specialty), under three conditions: (1) baseline with no retrieval, (2) RAG with dense retrieval, and (3) RAG with sparse BM25 retrieval. All conditions used the same model and temperature 0.0. Bootstrap 95% confidence intervals were computed with 1,000 resamples.</w:t>
      </w:r>
    </w:p>
    <w:p>
      <w:pPr>
        <w:spacing w:before="0" w:after="120"/>
        <w:jc w:val="both"/>
      </w:pPr>
      <w:r>
        <w:rPr>
          <w:rFonts w:ascii="Times New Roman" w:hAnsi="Times New Roman"/>
          <w:b/>
          <w:i w:val="0"/>
          <w:sz w:val="22"/>
        </w:rPr>
        <w:t>Table 1: Overall accuracy by condition</w:t>
      </w:r>
    </w:p>
    <w:tbl>
      <w:tblPr>
        <w:tblStyle w:val="TableGrid"/>
        <w:tblW w:type="auto" w:w="0"/>
        <w:tblLook w:firstColumn="1" w:firstRow="1" w:lastColumn="0" w:lastRow="0" w:noHBand="0" w:noVBand="1" w:val="04A0"/>
      </w:tblPr>
      <w:tblGrid>
        <w:gridCol w:w="2928"/>
        <w:gridCol w:w="2928"/>
        <w:gridCol w:w="2928"/>
      </w:tblGrid>
      <w:tr>
        <w:tc>
          <w:tcPr>
            <w:tcW w:type="dxa" w:w="4320"/>
          </w:tcPr>
          <w:p>
            <w:r>
              <w:rPr>
                <w:rFonts w:ascii="Times New Roman" w:hAnsi="Times New Roman"/>
                <w:b/>
                <w:sz w:val="20"/>
              </w:rPr>
              <w:t>Condition</w:t>
            </w:r>
          </w:p>
        </w:tc>
        <w:tc>
          <w:tcPr>
            <w:tcW w:type="dxa" w:w="1440"/>
          </w:tcPr>
          <w:p>
            <w:r>
              <w:rPr>
                <w:rFonts w:ascii="Times New Roman" w:hAnsi="Times New Roman"/>
                <w:b/>
                <w:sz w:val="20"/>
              </w:rPr>
              <w:t>Accuracy</w:t>
            </w:r>
          </w:p>
        </w:tc>
        <w:tc>
          <w:tcPr>
            <w:tcW w:type="dxa" w:w="2160"/>
          </w:tcPr>
          <w:p>
            <w:r>
              <w:rPr>
                <w:rFonts w:ascii="Times New Roman" w:hAnsi="Times New Roman"/>
                <w:b/>
                <w:sz w:val="20"/>
              </w:rPr>
              <w:t>95% CI</w:t>
            </w:r>
          </w:p>
        </w:tc>
      </w:tr>
      <w:tr>
        <w:tc>
          <w:tcPr>
            <w:tcW w:type="dxa" w:w="4320"/>
          </w:tcPr>
          <w:p>
            <w:r>
              <w:rPr>
                <w:rFonts w:ascii="Times New Roman" w:hAnsi="Times New Roman"/>
                <w:sz w:val="20"/>
              </w:rPr>
              <w:t>Baseline (LLM only, no retrieval)</w:t>
            </w:r>
          </w:p>
        </w:tc>
        <w:tc>
          <w:tcPr>
            <w:tcW w:type="dxa" w:w="1440"/>
          </w:tcPr>
          <w:p>
            <w:r>
              <w:rPr>
                <w:rFonts w:ascii="Times New Roman" w:hAnsi="Times New Roman"/>
                <w:sz w:val="20"/>
              </w:rPr>
              <w:t>0.810</w:t>
            </w:r>
          </w:p>
        </w:tc>
        <w:tc>
          <w:tcPr>
            <w:tcW w:type="dxa" w:w="2160"/>
          </w:tcPr>
          <w:p>
            <w:r>
              <w:rPr>
                <w:rFonts w:ascii="Times New Roman" w:hAnsi="Times New Roman"/>
                <w:sz w:val="20"/>
              </w:rPr>
              <w:t>[0.730, 0.880]</w:t>
            </w:r>
          </w:p>
        </w:tc>
      </w:tr>
      <w:tr>
        <w:tc>
          <w:tcPr>
            <w:tcW w:type="dxa" w:w="4320"/>
          </w:tcPr>
          <w:p>
            <w:r>
              <w:rPr>
                <w:rFonts w:ascii="Times New Roman" w:hAnsi="Times New Roman"/>
                <w:sz w:val="20"/>
              </w:rPr>
              <w:t>RAG with dense retrieval</w:t>
            </w:r>
          </w:p>
        </w:tc>
        <w:tc>
          <w:tcPr>
            <w:tcW w:type="dxa" w:w="1440"/>
          </w:tcPr>
          <w:p>
            <w:r>
              <w:rPr>
                <w:rFonts w:ascii="Times New Roman" w:hAnsi="Times New Roman"/>
                <w:sz w:val="20"/>
              </w:rPr>
              <w:t>0.700</w:t>
            </w:r>
          </w:p>
        </w:tc>
        <w:tc>
          <w:tcPr>
            <w:tcW w:type="dxa" w:w="2160"/>
          </w:tcPr>
          <w:p>
            <w:r>
              <w:rPr>
                <w:rFonts w:ascii="Times New Roman" w:hAnsi="Times New Roman"/>
                <w:sz w:val="20"/>
              </w:rPr>
              <w:t>[0.600, 0.790]</w:t>
            </w:r>
          </w:p>
        </w:tc>
      </w:tr>
      <w:tr>
        <w:tc>
          <w:tcPr>
            <w:tcW w:type="dxa" w:w="4320"/>
          </w:tcPr>
          <w:p>
            <w:r>
              <w:rPr>
                <w:rFonts w:ascii="Times New Roman" w:hAnsi="Times New Roman"/>
                <w:sz w:val="20"/>
              </w:rPr>
              <w:t>RAG with sparse BM25 retrieval</w:t>
            </w:r>
          </w:p>
        </w:tc>
        <w:tc>
          <w:tcPr>
            <w:tcW w:type="dxa" w:w="1440"/>
          </w:tcPr>
          <w:p>
            <w:r>
              <w:rPr>
                <w:rFonts w:ascii="Times New Roman" w:hAnsi="Times New Roman"/>
                <w:sz w:val="20"/>
              </w:rPr>
              <w:t>0.760</w:t>
            </w:r>
          </w:p>
        </w:tc>
        <w:tc>
          <w:tcPr>
            <w:tcW w:type="dxa" w:w="2160"/>
          </w:tcPr>
          <w:p>
            <w:r>
              <w:rPr>
                <w:rFonts w:ascii="Times New Roman" w:hAnsi="Times New Roman"/>
                <w:sz w:val="20"/>
              </w:rPr>
              <w:t>[0.670, 0.840]</w:t>
            </w:r>
          </w:p>
        </w:tc>
      </w:tr>
    </w:tbl>
    <w:p/>
    <w:p>
      <w:pPr>
        <w:spacing w:before="0" w:after="120"/>
        <w:jc w:val="both"/>
      </w:pPr>
      <w:r>
        <w:rPr>
          <w:rFonts w:ascii="Times New Roman" w:hAnsi="Times New Roman"/>
          <w:b/>
          <w:i w:val="0"/>
          <w:sz w:val="22"/>
        </w:rPr>
        <w:t>Table 2: Per-specialty accuracy</w:t>
      </w:r>
    </w:p>
    <w:tbl>
      <w:tblPr>
        <w:tblStyle w:val="TableGrid"/>
        <w:tblW w:type="auto" w:w="0"/>
        <w:tblLook w:firstColumn="1" w:firstRow="1" w:lastColumn="0" w:lastRow="0" w:noHBand="0" w:noVBand="1" w:val="04A0"/>
      </w:tblPr>
      <w:tblGrid>
        <w:gridCol w:w="2196"/>
        <w:gridCol w:w="2196"/>
        <w:gridCol w:w="2196"/>
        <w:gridCol w:w="2196"/>
      </w:tblGrid>
      <w:tr>
        <w:tc>
          <w:tcPr>
            <w:tcW w:type="dxa" w:w="3168"/>
          </w:tcPr>
          <w:p>
            <w:r>
              <w:rPr>
                <w:rFonts w:ascii="Times New Roman" w:hAnsi="Times New Roman"/>
                <w:b/>
                <w:sz w:val="20"/>
              </w:rPr>
              <w:t>Specialty</w:t>
            </w:r>
          </w:p>
        </w:tc>
        <w:tc>
          <w:tcPr>
            <w:tcW w:type="dxa" w:w="1584"/>
          </w:tcPr>
          <w:p>
            <w:r>
              <w:rPr>
                <w:rFonts w:ascii="Times New Roman" w:hAnsi="Times New Roman"/>
                <w:b/>
                <w:sz w:val="20"/>
              </w:rPr>
              <w:t>Baseline</w:t>
            </w:r>
          </w:p>
        </w:tc>
        <w:tc>
          <w:tcPr>
            <w:tcW w:type="dxa" w:w="1584"/>
          </w:tcPr>
          <w:p>
            <w:r>
              <w:rPr>
                <w:rFonts w:ascii="Times New Roman" w:hAnsi="Times New Roman"/>
                <w:b/>
                <w:sz w:val="20"/>
              </w:rPr>
              <w:t>RAG Dense</w:t>
            </w:r>
          </w:p>
        </w:tc>
        <w:tc>
          <w:tcPr>
            <w:tcW w:type="dxa" w:w="1584"/>
          </w:tcPr>
          <w:p>
            <w:r>
              <w:rPr>
                <w:rFonts w:ascii="Times New Roman" w:hAnsi="Times New Roman"/>
                <w:b/>
                <w:sz w:val="20"/>
              </w:rPr>
              <w:t>RAG Sparse</w:t>
            </w:r>
          </w:p>
        </w:tc>
      </w:tr>
      <w:tr>
        <w:tc>
          <w:tcPr>
            <w:tcW w:type="dxa" w:w="3168"/>
          </w:tcPr>
          <w:p>
            <w:r>
              <w:rPr>
                <w:rFonts w:ascii="Times New Roman" w:hAnsi="Times New Roman"/>
                <w:sz w:val="20"/>
              </w:rPr>
              <w:t>Surgery</w:t>
            </w:r>
          </w:p>
        </w:tc>
        <w:tc>
          <w:tcPr>
            <w:tcW w:type="dxa" w:w="1584"/>
          </w:tcPr>
          <w:p>
            <w:r>
              <w:rPr>
                <w:rFonts w:ascii="Times New Roman" w:hAnsi="Times New Roman"/>
                <w:sz w:val="20"/>
              </w:rPr>
              <w:t>0.900</w:t>
            </w:r>
          </w:p>
        </w:tc>
        <w:tc>
          <w:tcPr>
            <w:tcW w:type="dxa" w:w="1584"/>
          </w:tcPr>
          <w:p>
            <w:r>
              <w:rPr>
                <w:rFonts w:ascii="Times New Roman" w:hAnsi="Times New Roman"/>
                <w:sz w:val="20"/>
              </w:rPr>
              <w:t>0.800</w:t>
            </w:r>
          </w:p>
        </w:tc>
        <w:tc>
          <w:tcPr>
            <w:tcW w:type="dxa" w:w="1584"/>
          </w:tcPr>
          <w:p>
            <w:r>
              <w:rPr>
                <w:rFonts w:ascii="Times New Roman" w:hAnsi="Times New Roman"/>
                <w:sz w:val="20"/>
              </w:rPr>
              <w:t>0.900</w:t>
            </w:r>
          </w:p>
        </w:tc>
      </w:tr>
      <w:tr>
        <w:tc>
          <w:tcPr>
            <w:tcW w:type="dxa" w:w="3168"/>
          </w:tcPr>
          <w:p>
            <w:r>
              <w:rPr>
                <w:rFonts w:ascii="Times New Roman" w:hAnsi="Times New Roman"/>
                <w:sz w:val="20"/>
              </w:rPr>
              <w:t>Pediatrics</w:t>
            </w:r>
          </w:p>
        </w:tc>
        <w:tc>
          <w:tcPr>
            <w:tcW w:type="dxa" w:w="1584"/>
          </w:tcPr>
          <w:p>
            <w:r>
              <w:rPr>
                <w:rFonts w:ascii="Times New Roman" w:hAnsi="Times New Roman"/>
                <w:sz w:val="20"/>
              </w:rPr>
              <w:t>0.850</w:t>
            </w:r>
          </w:p>
        </w:tc>
        <w:tc>
          <w:tcPr>
            <w:tcW w:type="dxa" w:w="1584"/>
          </w:tcPr>
          <w:p>
            <w:r>
              <w:rPr>
                <w:rFonts w:ascii="Times New Roman" w:hAnsi="Times New Roman"/>
                <w:sz w:val="20"/>
              </w:rPr>
              <w:t>0.850</w:t>
            </w:r>
          </w:p>
        </w:tc>
        <w:tc>
          <w:tcPr>
            <w:tcW w:type="dxa" w:w="1584"/>
          </w:tcPr>
          <w:p>
            <w:r>
              <w:rPr>
                <w:rFonts w:ascii="Times New Roman" w:hAnsi="Times New Roman"/>
                <w:sz w:val="20"/>
              </w:rPr>
              <w:t>0.800</w:t>
            </w:r>
          </w:p>
        </w:tc>
      </w:tr>
      <w:tr>
        <w:tc>
          <w:tcPr>
            <w:tcW w:type="dxa" w:w="3168"/>
          </w:tcPr>
          <w:p>
            <w:r>
              <w:rPr>
                <w:rFonts w:ascii="Times New Roman" w:hAnsi="Times New Roman"/>
                <w:sz w:val="20"/>
              </w:rPr>
              <w:t>Internal Medicine</w:t>
            </w:r>
          </w:p>
        </w:tc>
        <w:tc>
          <w:tcPr>
            <w:tcW w:type="dxa" w:w="1584"/>
          </w:tcPr>
          <w:p>
            <w:r>
              <w:rPr>
                <w:rFonts w:ascii="Times New Roman" w:hAnsi="Times New Roman"/>
                <w:sz w:val="20"/>
              </w:rPr>
              <w:t>0.800</w:t>
            </w:r>
          </w:p>
        </w:tc>
        <w:tc>
          <w:tcPr>
            <w:tcW w:type="dxa" w:w="1584"/>
          </w:tcPr>
          <w:p>
            <w:r>
              <w:rPr>
                <w:rFonts w:ascii="Times New Roman" w:hAnsi="Times New Roman"/>
                <w:sz w:val="20"/>
              </w:rPr>
              <w:t>0.700</w:t>
            </w:r>
          </w:p>
        </w:tc>
        <w:tc>
          <w:tcPr>
            <w:tcW w:type="dxa" w:w="1584"/>
          </w:tcPr>
          <w:p>
            <w:r>
              <w:rPr>
                <w:rFonts w:ascii="Times New Roman" w:hAnsi="Times New Roman"/>
                <w:sz w:val="20"/>
              </w:rPr>
              <w:t>0.850</w:t>
            </w:r>
          </w:p>
        </w:tc>
      </w:tr>
      <w:tr>
        <w:tc>
          <w:tcPr>
            <w:tcW w:type="dxa" w:w="3168"/>
          </w:tcPr>
          <w:p>
            <w:r>
              <w:rPr>
                <w:rFonts w:ascii="Times New Roman" w:hAnsi="Times New Roman"/>
                <w:sz w:val="20"/>
              </w:rPr>
              <w:t>Obstetrics and Gynecology</w:t>
            </w:r>
          </w:p>
        </w:tc>
        <w:tc>
          <w:tcPr>
            <w:tcW w:type="dxa" w:w="1584"/>
          </w:tcPr>
          <w:p>
            <w:r>
              <w:rPr>
                <w:rFonts w:ascii="Times New Roman" w:hAnsi="Times New Roman"/>
                <w:sz w:val="20"/>
              </w:rPr>
              <w:t>0.800</w:t>
            </w:r>
          </w:p>
        </w:tc>
        <w:tc>
          <w:tcPr>
            <w:tcW w:type="dxa" w:w="1584"/>
          </w:tcPr>
          <w:p>
            <w:r>
              <w:rPr>
                <w:rFonts w:ascii="Times New Roman" w:hAnsi="Times New Roman"/>
                <w:sz w:val="20"/>
              </w:rPr>
              <w:t>0.650</w:t>
            </w:r>
          </w:p>
        </w:tc>
        <w:tc>
          <w:tcPr>
            <w:tcW w:type="dxa" w:w="1584"/>
          </w:tcPr>
          <w:p>
            <w:r>
              <w:rPr>
                <w:rFonts w:ascii="Times New Roman" w:hAnsi="Times New Roman"/>
                <w:sz w:val="20"/>
              </w:rPr>
              <w:t>0.700</w:t>
            </w:r>
          </w:p>
        </w:tc>
      </w:tr>
      <w:tr>
        <w:tc>
          <w:tcPr>
            <w:tcW w:type="dxa" w:w="3168"/>
          </w:tcPr>
          <w:p>
            <w:r>
              <w:rPr>
                <w:rFonts w:ascii="Times New Roman" w:hAnsi="Times New Roman"/>
                <w:sz w:val="20"/>
              </w:rPr>
              <w:t>Infectious Disease</w:t>
            </w:r>
          </w:p>
        </w:tc>
        <w:tc>
          <w:tcPr>
            <w:tcW w:type="dxa" w:w="1584"/>
          </w:tcPr>
          <w:p>
            <w:r>
              <w:rPr>
                <w:rFonts w:ascii="Times New Roman" w:hAnsi="Times New Roman"/>
                <w:sz w:val="20"/>
              </w:rPr>
              <w:t>0.700</w:t>
            </w:r>
          </w:p>
        </w:tc>
        <w:tc>
          <w:tcPr>
            <w:tcW w:type="dxa" w:w="1584"/>
          </w:tcPr>
          <w:p>
            <w:r>
              <w:rPr>
                <w:rFonts w:ascii="Times New Roman" w:hAnsi="Times New Roman"/>
                <w:sz w:val="20"/>
              </w:rPr>
              <w:t>0.500</w:t>
            </w:r>
          </w:p>
        </w:tc>
        <w:tc>
          <w:tcPr>
            <w:tcW w:type="dxa" w:w="1584"/>
          </w:tcPr>
          <w:p>
            <w:r>
              <w:rPr>
                <w:rFonts w:ascii="Times New Roman" w:hAnsi="Times New Roman"/>
                <w:sz w:val="20"/>
              </w:rPr>
              <w:t>0.550</w:t>
            </w:r>
          </w:p>
        </w:tc>
      </w:tr>
    </w:tbl>
    <w:p/>
    <w:p>
      <w:pPr>
        <w:spacing w:before="0" w:after="120"/>
        <w:jc w:val="both"/>
      </w:pPr>
      <w:r>
        <w:rPr>
          <w:rFonts w:ascii="Times New Roman" w:hAnsi="Times New Roman"/>
          <w:b w:val="0"/>
          <w:i w:val="0"/>
          <w:sz w:val="22"/>
        </w:rPr>
        <w:t>Interpreting the RAG underperformance. The baseline (no retrieval) outperforms both RAG conditions overall. Several factors likely contribute. First, guideline specificity conflicts with AfriMed-QA answer keys: the MCQs originate largely from Nigerian licensing examinations that may follow international (WHO, British) clinical guidelines rather than the country-specific protocols in our corpus. Second, retrieval noise forces the model to guess from incomplete context when the top-5 chunks do not contain the relevant protocol. Third, BM25 consistently outperforms dense retrieval (+6 percentage points overall), especially in Internal Medicine (+15 pp) and Surgery (+10 pp), because medical MCQs contain precise terminology that BM25 matches exactly, while dense retrieval sometimes retrieves topically related but lexically mismatched excerpts.</w:t>
      </w:r>
    </w:p>
    <w:p>
      <w:pPr>
        <w:pStyle w:val="Heading2"/>
      </w:pPr>
      <w:r>
        <w:rPr>
          <w:color w:val="000000"/>
        </w:rPr>
        <w:t>3.5 Qualitative evaluation: LLM-as-judge groundedness</w:t>
      </w:r>
    </w:p>
    <w:p>
      <w:pPr>
        <w:spacing w:before="0" w:after="120"/>
        <w:jc w:val="both"/>
      </w:pPr>
      <w:r>
        <w:rPr>
          <w:rFonts w:ascii="Times New Roman" w:hAnsi="Times New Roman"/>
          <w:b w:val="0"/>
          <w:i w:val="0"/>
          <w:sz w:val="22"/>
        </w:rPr>
        <w:t>We randomly sampled 30 items from the MCQ pool, stratified by specialty, and ran Quiz mode on each by submitting the gold answer as the student's answer to obtain non-trivial explanations. A judge LLM scored each explanation on three dimensions using a 0 to 2 scale.</w:t>
      </w:r>
    </w:p>
    <w:p>
      <w:pPr>
        <w:spacing w:before="0" w:after="120"/>
        <w:jc w:val="both"/>
      </w:pPr>
      <w:r>
        <w:rPr>
          <w:rFonts w:ascii="Times New Roman" w:hAnsi="Times New Roman"/>
          <w:b w:val="0"/>
          <w:i/>
          <w:sz w:val="22"/>
        </w:rPr>
        <w:t>Note on judge configuration. The spec requires the judge to be a different model from the answerer to reduce same-model bias. As an OpenAI API key was not available, the judge was run with the same model family (Claude Sonnet 4.6). Results should be interpreted with this caveat.</w:t>
      </w:r>
    </w:p>
    <w:p>
      <w:pPr>
        <w:spacing w:before="0" w:after="120"/>
        <w:jc w:val="both"/>
      </w:pPr>
      <w:r>
        <w:rPr>
          <w:rFonts w:ascii="Times New Roman" w:hAnsi="Times New Roman"/>
          <w:b/>
          <w:i w:val="0"/>
          <w:sz w:val="22"/>
        </w:rPr>
        <w:t>Table 3: Mean judge scores (n=29 successfully evaluated)</w:t>
      </w:r>
    </w:p>
    <w:tbl>
      <w:tblPr>
        <w:tblStyle w:val="TableGrid"/>
        <w:tblW w:type="auto" w:w="0"/>
        <w:tblLook w:firstColumn="1" w:firstRow="1" w:lastColumn="0" w:lastRow="0" w:noHBand="0" w:noVBand="1" w:val="04A0"/>
      </w:tblPr>
      <w:tblGrid>
        <w:gridCol w:w="4392"/>
        <w:gridCol w:w="4392"/>
      </w:tblGrid>
      <w:tr>
        <w:tc>
          <w:tcPr>
            <w:tcW w:type="dxa" w:w="5760"/>
          </w:tcPr>
          <w:p>
            <w:r>
              <w:rPr>
                <w:rFonts w:ascii="Times New Roman" w:hAnsi="Times New Roman"/>
                <w:b/>
                <w:sz w:val="20"/>
              </w:rPr>
              <w:t>Dimension</w:t>
            </w:r>
          </w:p>
        </w:tc>
        <w:tc>
          <w:tcPr>
            <w:tcW w:type="dxa" w:w="2160"/>
          </w:tcPr>
          <w:p>
            <w:r>
              <w:rPr>
                <w:rFonts w:ascii="Times New Roman" w:hAnsi="Times New Roman"/>
                <w:b/>
                <w:sz w:val="20"/>
              </w:rPr>
              <w:t>Mean Score (out of 2)</w:t>
            </w:r>
          </w:p>
        </w:tc>
      </w:tr>
      <w:tr>
        <w:tc>
          <w:tcPr>
            <w:tcW w:type="dxa" w:w="5760"/>
          </w:tcPr>
          <w:p>
            <w:r>
              <w:rPr>
                <w:rFonts w:ascii="Times New Roman" w:hAnsi="Times New Roman"/>
                <w:sz w:val="20"/>
              </w:rPr>
              <w:t>Groundedness (claims supported by retrieved excerpts)</w:t>
            </w:r>
          </w:p>
        </w:tc>
        <w:tc>
          <w:tcPr>
            <w:tcW w:type="dxa" w:w="2160"/>
          </w:tcPr>
          <w:p>
            <w:r>
              <w:rPr>
                <w:rFonts w:ascii="Times New Roman" w:hAnsi="Times New Roman"/>
                <w:sz w:val="20"/>
              </w:rPr>
              <w:t>0.17</w:t>
            </w:r>
          </w:p>
        </w:tc>
      </w:tr>
      <w:tr>
        <w:tc>
          <w:tcPr>
            <w:tcW w:type="dxa" w:w="5760"/>
          </w:tcPr>
          <w:p>
            <w:r>
              <w:rPr>
                <w:rFonts w:ascii="Times New Roman" w:hAnsi="Times New Roman"/>
                <w:sz w:val="20"/>
              </w:rPr>
              <w:t>Citation accuracy (citations point to real supporting chunks)</w:t>
            </w:r>
          </w:p>
        </w:tc>
        <w:tc>
          <w:tcPr>
            <w:tcW w:type="dxa" w:w="2160"/>
          </w:tcPr>
          <w:p>
            <w:r>
              <w:rPr>
                <w:rFonts w:ascii="Times New Roman" w:hAnsi="Times New Roman"/>
                <w:sz w:val="20"/>
              </w:rPr>
              <w:t>1.45</w:t>
            </w:r>
          </w:p>
        </w:tc>
      </w:tr>
      <w:tr>
        <w:tc>
          <w:tcPr>
            <w:tcW w:type="dxa" w:w="5760"/>
          </w:tcPr>
          <w:p>
            <w:r>
              <w:rPr>
                <w:rFonts w:ascii="Times New Roman" w:hAnsi="Times New Roman"/>
                <w:sz w:val="20"/>
              </w:rPr>
              <w:t>Consistency with gold rationale</w:t>
            </w:r>
          </w:p>
        </w:tc>
        <w:tc>
          <w:tcPr>
            <w:tcW w:type="dxa" w:w="2160"/>
          </w:tcPr>
          <w:p>
            <w:r>
              <w:rPr>
                <w:rFonts w:ascii="Times New Roman" w:hAnsi="Times New Roman"/>
                <w:sz w:val="20"/>
              </w:rPr>
              <w:t>1.83</w:t>
            </w:r>
          </w:p>
        </w:tc>
      </w:tr>
    </w:tbl>
    <w:p/>
    <w:p>
      <w:pPr>
        <w:spacing w:before="0" w:after="120"/>
        <w:jc w:val="both"/>
      </w:pPr>
      <w:r>
        <w:rPr>
          <w:rFonts w:ascii="Times New Roman" w:hAnsi="Times New Roman"/>
          <w:b w:val="0"/>
          <w:i w:val="0"/>
          <w:sz w:val="22"/>
        </w:rPr>
        <w:t>The low groundedness score (0.17/2) is the most striking finding. The judge consistently flagged that while the model's explanations were medically accurate and consistent with the gold rationale (1.83/2), the specific factual claims went substantially beyond what the retrieved guideline excerpts contained. This is expected behavior for a model instructed to produce a 4 to 8 sentence educational explanation when it has both the gold rationale and retrieved chunks available: the model's parametric knowledge fills gaps where retrieval falls short. The citation accuracy score (1.45/2) indicates that when citations are produced, they are mostly correct, but the model does not always produce citations for claims drawn from parametric memory.</w:t>
      </w:r>
    </w:p>
    <w:p>
      <w:pPr>
        <w:pStyle w:val="Heading2"/>
      </w:pPr>
      <w:r>
        <w:rPr>
          <w:color w:val="000000"/>
        </w:rPr>
        <w:t>3.6 Related-question retrieval</w:t>
      </w:r>
    </w:p>
    <w:p>
      <w:pPr>
        <w:spacing w:before="0" w:after="120"/>
        <w:jc w:val="both"/>
      </w:pPr>
      <w:r>
        <w:rPr>
          <w:rFonts w:ascii="Times New Roman" w:hAnsi="Times New Roman"/>
          <w:b w:val="0"/>
          <w:i w:val="0"/>
          <w:sz w:val="22"/>
        </w:rPr>
        <w:t>After each interaction, the system surfaces 3 related practice questions from the AfriMed-QA pool using cosine similarity over pre-computed question embeddings (Method A). A BM25-based keyword retriever filtered by specialty is available as Method B. On 10 qualitative inspection cases, Method A (semantic) produced more topically diverse related questions covering different clinical angles; Method B tended to retrieve near-duplicate questions with overlapping keywords. For a study aid, Method A's diversity is preferred.</w:t>
      </w:r>
    </w:p>
    <w:p>
      <w:pPr>
        <w:pStyle w:val="Heading2"/>
      </w:pPr>
      <w:r>
        <w:rPr>
          <w:color w:val="000000"/>
        </w:rPr>
        <w:t>3.7 Latency and cost</w:t>
      </w:r>
    </w:p>
    <w:p>
      <w:pPr>
        <w:spacing w:before="0" w:after="120"/>
        <w:jc w:val="both"/>
      </w:pPr>
      <w:r>
        <w:rPr>
          <w:rFonts w:ascii="Times New Roman" w:hAnsi="Times New Roman"/>
          <w:b/>
          <w:i w:val="0"/>
          <w:sz w:val="22"/>
        </w:rPr>
        <w:t>Table 4: Latency and token counts per condition (MCQ evaluation, n=100)</w:t>
      </w:r>
    </w:p>
    <w:tbl>
      <w:tblPr>
        <w:tblStyle w:val="TableGrid"/>
        <w:tblW w:type="auto" w:w="0"/>
        <w:tblLook w:firstColumn="1" w:firstRow="1" w:lastColumn="0" w:lastRow="0" w:noHBand="0" w:noVBand="1" w:val="04A0"/>
      </w:tblPr>
      <w:tblGrid>
        <w:gridCol w:w="2196"/>
        <w:gridCol w:w="2196"/>
        <w:gridCol w:w="2196"/>
        <w:gridCol w:w="2196"/>
      </w:tblGrid>
      <w:tr>
        <w:tc>
          <w:tcPr>
            <w:tcW w:type="dxa" w:w="2592"/>
          </w:tcPr>
          <w:p>
            <w:r>
              <w:rPr>
                <w:rFonts w:ascii="Times New Roman" w:hAnsi="Times New Roman"/>
                <w:b/>
                <w:sz w:val="20"/>
              </w:rPr>
              <w:t>Condition</w:t>
            </w:r>
          </w:p>
        </w:tc>
        <w:tc>
          <w:tcPr>
            <w:tcW w:type="dxa" w:w="2016"/>
          </w:tcPr>
          <w:p>
            <w:r>
              <w:rPr>
                <w:rFonts w:ascii="Times New Roman" w:hAnsi="Times New Roman"/>
                <w:b/>
                <w:sz w:val="20"/>
              </w:rPr>
              <w:t>Mean input tokens</w:t>
            </w:r>
          </w:p>
        </w:tc>
        <w:tc>
          <w:tcPr>
            <w:tcW w:type="dxa" w:w="2016"/>
          </w:tcPr>
          <w:p>
            <w:r>
              <w:rPr>
                <w:rFonts w:ascii="Times New Roman" w:hAnsi="Times New Roman"/>
                <w:b/>
                <w:sz w:val="20"/>
              </w:rPr>
              <w:t>Mean latency (ms)</w:t>
            </w:r>
          </w:p>
        </w:tc>
        <w:tc>
          <w:tcPr>
            <w:tcW w:type="dxa" w:w="2016"/>
          </w:tcPr>
          <w:p>
            <w:r>
              <w:rPr>
                <w:rFonts w:ascii="Times New Roman" w:hAnsi="Times New Roman"/>
                <w:b/>
                <w:sz w:val="20"/>
              </w:rPr>
              <w:t>p95 latency (ms)</w:t>
            </w:r>
          </w:p>
        </w:tc>
      </w:tr>
      <w:tr>
        <w:tc>
          <w:tcPr>
            <w:tcW w:type="dxa" w:w="2592"/>
          </w:tcPr>
          <w:p>
            <w:r>
              <w:rPr>
                <w:rFonts w:ascii="Times New Roman" w:hAnsi="Times New Roman"/>
                <w:sz w:val="20"/>
              </w:rPr>
              <w:t>Baseline</w:t>
            </w:r>
          </w:p>
        </w:tc>
        <w:tc>
          <w:tcPr>
            <w:tcW w:type="dxa" w:w="2016"/>
          </w:tcPr>
          <w:p>
            <w:r>
              <w:rPr>
                <w:rFonts w:ascii="Times New Roman" w:hAnsi="Times New Roman"/>
                <w:sz w:val="20"/>
              </w:rPr>
              <w:t>152</w:t>
            </w:r>
          </w:p>
        </w:tc>
        <w:tc>
          <w:tcPr>
            <w:tcW w:type="dxa" w:w="2016"/>
          </w:tcPr>
          <w:p>
            <w:r>
              <w:rPr>
                <w:rFonts w:ascii="Times New Roman" w:hAnsi="Times New Roman"/>
                <w:sz w:val="20"/>
              </w:rPr>
              <w:t>2,366</w:t>
            </w:r>
          </w:p>
        </w:tc>
        <w:tc>
          <w:tcPr>
            <w:tcW w:type="dxa" w:w="2016"/>
          </w:tcPr>
          <w:p>
            <w:r>
              <w:rPr>
                <w:rFonts w:ascii="Times New Roman" w:hAnsi="Times New Roman"/>
                <w:sz w:val="20"/>
              </w:rPr>
              <w:t>3,361</w:t>
            </w:r>
          </w:p>
        </w:tc>
      </w:tr>
      <w:tr>
        <w:tc>
          <w:tcPr>
            <w:tcW w:type="dxa" w:w="2592"/>
          </w:tcPr>
          <w:p>
            <w:r>
              <w:rPr>
                <w:rFonts w:ascii="Times New Roman" w:hAnsi="Times New Roman"/>
                <w:sz w:val="20"/>
              </w:rPr>
              <w:t>RAG Dense</w:t>
            </w:r>
          </w:p>
        </w:tc>
        <w:tc>
          <w:tcPr>
            <w:tcW w:type="dxa" w:w="2016"/>
          </w:tcPr>
          <w:p>
            <w:r>
              <w:rPr>
                <w:rFonts w:ascii="Times New Roman" w:hAnsi="Times New Roman"/>
                <w:sz w:val="20"/>
              </w:rPr>
              <w:t>1,675</w:t>
            </w:r>
          </w:p>
        </w:tc>
        <w:tc>
          <w:tcPr>
            <w:tcW w:type="dxa" w:w="2016"/>
          </w:tcPr>
          <w:p>
            <w:r>
              <w:rPr>
                <w:rFonts w:ascii="Times New Roman" w:hAnsi="Times New Roman"/>
                <w:sz w:val="20"/>
              </w:rPr>
              <w:t>4,449</w:t>
            </w:r>
          </w:p>
        </w:tc>
        <w:tc>
          <w:tcPr>
            <w:tcW w:type="dxa" w:w="2016"/>
          </w:tcPr>
          <w:p>
            <w:r>
              <w:rPr>
                <w:rFonts w:ascii="Times New Roman" w:hAnsi="Times New Roman"/>
                <w:sz w:val="20"/>
              </w:rPr>
              <w:t>~7,100</w:t>
            </w:r>
          </w:p>
        </w:tc>
      </w:tr>
      <w:tr>
        <w:tc>
          <w:tcPr>
            <w:tcW w:type="dxa" w:w="2592"/>
          </w:tcPr>
          <w:p>
            <w:r>
              <w:rPr>
                <w:rFonts w:ascii="Times New Roman" w:hAnsi="Times New Roman"/>
                <w:sz w:val="20"/>
              </w:rPr>
              <w:t>RAG Sparse</w:t>
            </w:r>
          </w:p>
        </w:tc>
        <w:tc>
          <w:tcPr>
            <w:tcW w:type="dxa" w:w="2016"/>
          </w:tcPr>
          <w:p>
            <w:r>
              <w:rPr>
                <w:rFonts w:ascii="Times New Roman" w:hAnsi="Times New Roman"/>
                <w:sz w:val="20"/>
              </w:rPr>
              <w:t>1,675</w:t>
            </w:r>
          </w:p>
        </w:tc>
        <w:tc>
          <w:tcPr>
            <w:tcW w:type="dxa" w:w="2016"/>
          </w:tcPr>
          <w:p>
            <w:r>
              <w:rPr>
                <w:rFonts w:ascii="Times New Roman" w:hAnsi="Times New Roman"/>
                <w:sz w:val="20"/>
              </w:rPr>
              <w:t>3,727</w:t>
            </w:r>
          </w:p>
        </w:tc>
        <w:tc>
          <w:tcPr>
            <w:tcW w:type="dxa" w:w="2016"/>
          </w:tcPr>
          <w:p>
            <w:r>
              <w:rPr>
                <w:rFonts w:ascii="Times New Roman" w:hAnsi="Times New Roman"/>
                <w:sz w:val="20"/>
              </w:rPr>
              <w:t>~6,500</w:t>
            </w:r>
          </w:p>
        </w:tc>
      </w:tr>
    </w:tbl>
    <w:p/>
    <w:p>
      <w:pPr>
        <w:spacing w:before="0" w:after="120"/>
        <w:jc w:val="both"/>
      </w:pPr>
      <w:r>
        <w:rPr>
          <w:rFonts w:ascii="Times New Roman" w:hAnsi="Times New Roman"/>
          <w:b w:val="0"/>
          <w:i w:val="0"/>
          <w:sz w:val="22"/>
        </w:rPr>
        <w:t>Note: MCQ evaluation uses max_tokens=10 to extract a single letter answer. Real Quiz interactions generate 200 to 400 token explanations. Estimated cost per 100 real Quiz interactions using Claude Sonnet 4.6 at $3.00 per million input tokens and $15.00 per million output tokens: RAG input ~$0.50, explanation output ~$0.45, local embedding $0.00. Total: approximately $0.95 per 100 interactions, which is feasible for institutional deployment.</w:t>
      </w:r>
    </w:p>
    <w:p>
      <w:pPr>
        <w:pStyle w:val="Heading1"/>
      </w:pPr>
      <w:r>
        <w:rPr>
          <w:color w:val="000000"/>
        </w:rPr>
        <w:t>4. Ethical Analysis</w:t>
      </w:r>
    </w:p>
    <w:p>
      <w:pPr>
        <w:pStyle w:val="Heading2"/>
      </w:pPr>
      <w:r>
        <w:rPr>
          <w:color w:val="000000"/>
        </w:rPr>
        <w:t>4.1 Hallucination risk in clinical contexts</w:t>
      </w:r>
    </w:p>
    <w:p>
      <w:pPr>
        <w:spacing w:before="0" w:after="120"/>
        <w:jc w:val="both"/>
      </w:pPr>
      <w:r>
        <w:rPr>
          <w:rFonts w:ascii="Times New Roman" w:hAnsi="Times New Roman"/>
          <w:b w:val="0"/>
          <w:i w:val="0"/>
          <w:sz w:val="22"/>
        </w:rPr>
        <w:t>The groundedness evaluation (§3.5) confirmed that AfriMed Tutor's explanations routinely include claims not strictly supported by the retrieved excerpts. In a medical education context this carries specific risks: a student who treats an uncited claim as authoritative guideline content may mislearn a drug dose, a contraindication, or a diagnostic criterion. The citation prompt design ([Source: doc, Section: section]) partially mitigates this by making it visible when a claim is unsupported, but the judge evaluation indicates the model frequently omits citations even when it extends beyond retrieved context. The mandatory disclaimer shown at all times in the UI (Study aid only, not for clinical decision-making) is the primary guardrail.</w:t>
      </w:r>
    </w:p>
    <w:p>
      <w:pPr>
        <w:pStyle w:val="Heading2"/>
      </w:pPr>
      <w:r>
        <w:rPr>
          <w:color w:val="000000"/>
        </w:rPr>
        <w:t>4.2 Over-reliance and deskilling</w:t>
      </w:r>
    </w:p>
    <w:p>
      <w:pPr>
        <w:spacing w:before="0" w:after="120"/>
        <w:jc w:val="both"/>
      </w:pPr>
      <w:r>
        <w:rPr>
          <w:rFonts w:ascii="Times New Roman" w:hAnsi="Times New Roman"/>
          <w:b w:val="0"/>
          <w:i w:val="0"/>
          <w:sz w:val="22"/>
        </w:rPr>
        <w:t>Pedagogical AI tools risk producing students who can retrieve correct answers from AI systems but cannot reason independently. AfriMed Tutor's Quiz mode forces active engagement: the student must select an answer before seeing the explanation. The related-questions feature encourages continued practice across topics rather than repeated querying of the same item. These are weak safeguards and the system should not be used as a substitute for clinical reasoning practice under supervision.</w:t>
      </w:r>
    </w:p>
    <w:p>
      <w:pPr>
        <w:pStyle w:val="Heading2"/>
      </w:pPr>
      <w:r>
        <w:rPr>
          <w:color w:val="000000"/>
        </w:rPr>
        <w:t>4.3 Geographic and demographic representation bias</w:t>
      </w:r>
    </w:p>
    <w:p>
      <w:pPr>
        <w:spacing w:before="0" w:after="120"/>
        <w:jc w:val="both"/>
      </w:pPr>
      <w:r>
        <w:rPr>
          <w:rFonts w:ascii="Times New Roman" w:hAnsi="Times New Roman"/>
          <w:b w:val="0"/>
          <w:i w:val="0"/>
          <w:sz w:val="22"/>
        </w:rPr>
        <w:t>The AfriMed-QA benchmark skews toward Nigerian clinical contexts. The guideline corpus overrepresents South African clinical protocols (4,107 of 5,633 chunks, or 73%), which apply to a health system with relatively high resources compared to much of sub-Saharan Africa. A medical student in rural Ghana or Uganda will encounter different drug availability, diagnostic capacity, and epidemiological profiles than what our corpus primarily reflects. Pretraining bias compounds this: Claude Sonnet 4.6 was trained on data heavily weighted toward North American and European biomedical literature. Even with African guideline retrieval, the model's implicit prior for clinical reasoning is non-African. This is a structural limitation of the API-only approach mandated by the project scope.</w:t>
      </w:r>
    </w:p>
    <w:p>
      <w:pPr>
        <w:pStyle w:val="Heading2"/>
      </w:pPr>
      <w:r>
        <w:rPr>
          <w:color w:val="000000"/>
        </w:rPr>
        <w:t>4.4 Data licensing and consent</w:t>
      </w:r>
    </w:p>
    <w:p>
      <w:pPr>
        <w:spacing w:before="0" w:after="120"/>
        <w:jc w:val="both"/>
      </w:pPr>
      <w:r>
        <w:rPr>
          <w:rFonts w:ascii="Times New Roman" w:hAnsi="Times New Roman"/>
          <w:b w:val="0"/>
          <w:i w:val="0"/>
          <w:sz w:val="22"/>
        </w:rPr>
        <w:t>All guideline documents used are either government publications freely distributable for educational use, or carry explicit non-commercial/educational-use permissions (SA STG, WHO IMCI CC BY-NC-SA). The AfriMed-QA dataset is CC BY-NC-SA 4.0. The system is not deployed publicly, has no user data retention, and collects no personal information from students. No IRB process was required.</w:t>
      </w:r>
    </w:p>
    <w:p>
      <w:pPr>
        <w:pStyle w:val="Heading2"/>
      </w:pPr>
      <w:r>
        <w:rPr>
          <w:color w:val="000000"/>
        </w:rPr>
        <w:t>4.5 Equity of access</w:t>
      </w:r>
    </w:p>
    <w:p>
      <w:pPr>
        <w:spacing w:before="0" w:after="120"/>
        <w:jc w:val="both"/>
      </w:pPr>
      <w:r>
        <w:rPr>
          <w:rFonts w:ascii="Times New Roman" w:hAnsi="Times New Roman"/>
          <w:b w:val="0"/>
          <w:i w:val="0"/>
          <w:sz w:val="22"/>
        </w:rPr>
        <w:t>The system currently requires a paid Anthropic API key to operate. This creates an access barrier that contradicts the equity-of-access motivation for the project. Future work should explore smaller open-weight models (Llama 3.1 8B, Mistral 7B) that could run locally on consumer hardware, removing the API cost barrier for institutions with unreliable internet connectivity.</w:t>
      </w:r>
    </w:p>
    <w:p>
      <w:pPr>
        <w:pStyle w:val="Heading1"/>
      </w:pPr>
      <w:r>
        <w:rPr>
          <w:color w:val="000000"/>
        </w:rPr>
        <w:t>5. Team Contributions</w:t>
      </w:r>
    </w:p>
    <w:tbl>
      <w:tblPr>
        <w:tblStyle w:val="TableGrid"/>
        <w:tblW w:type="auto" w:w="0"/>
        <w:tblLook w:firstColumn="1" w:firstRow="1" w:lastColumn="0" w:lastRow="0" w:noHBand="0" w:noVBand="1" w:val="04A0"/>
      </w:tblPr>
      <w:tblGrid>
        <w:gridCol w:w="2928"/>
        <w:gridCol w:w="2928"/>
        <w:gridCol w:w="2928"/>
      </w:tblGrid>
      <w:tr>
        <w:tc>
          <w:tcPr>
            <w:tcW w:type="dxa" w:w="4608"/>
          </w:tcPr>
          <w:p>
            <w:r>
              <w:rPr>
                <w:rFonts w:ascii="Times New Roman" w:hAnsi="Times New Roman"/>
                <w:b/>
                <w:sz w:val="20"/>
              </w:rPr>
              <w:t>Component</w:t>
            </w:r>
          </w:p>
        </w:tc>
        <w:tc>
          <w:tcPr>
            <w:tcW w:type="dxa" w:w="2016"/>
          </w:tcPr>
          <w:p>
            <w:r>
              <w:rPr>
                <w:rFonts w:ascii="Times New Roman" w:hAnsi="Times New Roman"/>
                <w:b/>
                <w:sz w:val="20"/>
              </w:rPr>
              <w:t>Primary contributor</w:t>
            </w:r>
          </w:p>
        </w:tc>
        <w:tc>
          <w:tcPr>
            <w:tcW w:type="dxa" w:w="2016"/>
          </w:tcPr>
          <w:p>
            <w:r>
              <w:rPr>
                <w:rFonts w:ascii="Times New Roman" w:hAnsi="Times New Roman"/>
                <w:b/>
                <w:sz w:val="20"/>
              </w:rPr>
              <w:t>Supporting contributor</w:t>
            </w:r>
          </w:p>
        </w:tc>
      </w:tr>
      <w:tr>
        <w:tc>
          <w:tcPr>
            <w:tcW w:type="dxa" w:w="4608"/>
          </w:tcPr>
          <w:p>
            <w:r>
              <w:rPr>
                <w:rFonts w:ascii="Times New Roman" w:hAnsi="Times New Roman"/>
                <w:sz w:val="20"/>
              </w:rPr>
              <w:t>Corpus assembly and chunking (corpus/build_corpus.py)</w:t>
            </w:r>
          </w:p>
        </w:tc>
        <w:tc>
          <w:tcPr>
            <w:tcW w:type="dxa" w:w="2016"/>
          </w:tcPr>
          <w:p>
            <w:r>
              <w:rPr>
                <w:rFonts w:ascii="Times New Roman" w:hAnsi="Times New Roman"/>
                <w:sz w:val="20"/>
              </w:rPr>
            </w:r>
          </w:p>
        </w:tc>
        <w:tc>
          <w:tcPr>
            <w:tcW w:type="dxa" w:w="2016"/>
          </w:tcPr>
          <w:p>
            <w:r>
              <w:rPr>
                <w:rFonts w:ascii="Times New Roman" w:hAnsi="Times New Roman"/>
                <w:sz w:val="20"/>
              </w:rPr>
            </w:r>
          </w:p>
        </w:tc>
      </w:tr>
      <w:tr>
        <w:tc>
          <w:tcPr>
            <w:tcW w:type="dxa" w:w="4608"/>
          </w:tcPr>
          <w:p>
            <w:r>
              <w:rPr>
                <w:rFonts w:ascii="Times New Roman" w:hAnsi="Times New Roman"/>
                <w:sz w:val="20"/>
              </w:rPr>
              <w:t>Dense and sparse retrieval (tutor/retriever.py)</w:t>
            </w:r>
          </w:p>
        </w:tc>
        <w:tc>
          <w:tcPr>
            <w:tcW w:type="dxa" w:w="2016"/>
          </w:tcPr>
          <w:p>
            <w:r>
              <w:rPr>
                <w:rFonts w:ascii="Times New Roman" w:hAnsi="Times New Roman"/>
                <w:sz w:val="20"/>
              </w:rPr>
            </w:r>
          </w:p>
        </w:tc>
        <w:tc>
          <w:tcPr>
            <w:tcW w:type="dxa" w:w="2016"/>
          </w:tcPr>
          <w:p>
            <w:r>
              <w:rPr>
                <w:rFonts w:ascii="Times New Roman" w:hAnsi="Times New Roman"/>
                <w:sz w:val="20"/>
              </w:rPr>
            </w:r>
          </w:p>
        </w:tc>
      </w:tr>
      <w:tr>
        <w:tc>
          <w:tcPr>
            <w:tcW w:type="dxa" w:w="4608"/>
          </w:tcPr>
          <w:p>
            <w:r>
              <w:rPr>
                <w:rFonts w:ascii="Times New Roman" w:hAnsi="Times New Roman"/>
                <w:sz w:val="20"/>
              </w:rPr>
              <w:t>AfriMed-QA data loader (data/load_afrimedqa.py)</w:t>
            </w:r>
          </w:p>
        </w:tc>
        <w:tc>
          <w:tcPr>
            <w:tcW w:type="dxa" w:w="2016"/>
          </w:tcPr>
          <w:p>
            <w:r>
              <w:rPr>
                <w:rFonts w:ascii="Times New Roman" w:hAnsi="Times New Roman"/>
                <w:sz w:val="20"/>
              </w:rPr>
            </w:r>
          </w:p>
        </w:tc>
        <w:tc>
          <w:tcPr>
            <w:tcW w:type="dxa" w:w="2016"/>
          </w:tcPr>
          <w:p>
            <w:r>
              <w:rPr>
                <w:rFonts w:ascii="Times New Roman" w:hAnsi="Times New Roman"/>
                <w:sz w:val="20"/>
              </w:rPr>
            </w:r>
          </w:p>
        </w:tc>
      </w:tr>
      <w:tr>
        <w:tc>
          <w:tcPr>
            <w:tcW w:type="dxa" w:w="4608"/>
          </w:tcPr>
          <w:p>
            <w:r>
              <w:rPr>
                <w:rFonts w:ascii="Times New Roman" w:hAnsi="Times New Roman"/>
                <w:sz w:val="20"/>
              </w:rPr>
              <w:t>Orchestrator and prompts (tutor/orchestrator.py, tutor/prompts.py)</w:t>
            </w:r>
          </w:p>
        </w:tc>
        <w:tc>
          <w:tcPr>
            <w:tcW w:type="dxa" w:w="2016"/>
          </w:tcPr>
          <w:p>
            <w:r>
              <w:rPr>
                <w:rFonts w:ascii="Times New Roman" w:hAnsi="Times New Roman"/>
                <w:sz w:val="20"/>
              </w:rPr>
            </w:r>
          </w:p>
        </w:tc>
        <w:tc>
          <w:tcPr>
            <w:tcW w:type="dxa" w:w="2016"/>
          </w:tcPr>
          <w:p>
            <w:r>
              <w:rPr>
                <w:rFonts w:ascii="Times New Roman" w:hAnsi="Times New Roman"/>
                <w:sz w:val="20"/>
              </w:rPr>
            </w:r>
          </w:p>
        </w:tc>
      </w:tr>
      <w:tr>
        <w:tc>
          <w:tcPr>
            <w:tcW w:type="dxa" w:w="4608"/>
          </w:tcPr>
          <w:p>
            <w:r>
              <w:rPr>
                <w:rFonts w:ascii="Times New Roman" w:hAnsi="Times New Roman"/>
                <w:sz w:val="20"/>
              </w:rPr>
              <w:t>Streamlit UI (app.py)</w:t>
            </w:r>
          </w:p>
        </w:tc>
        <w:tc>
          <w:tcPr>
            <w:tcW w:type="dxa" w:w="2016"/>
          </w:tcPr>
          <w:p>
            <w:r>
              <w:rPr>
                <w:rFonts w:ascii="Times New Roman" w:hAnsi="Times New Roman"/>
                <w:sz w:val="20"/>
              </w:rPr>
            </w:r>
          </w:p>
        </w:tc>
        <w:tc>
          <w:tcPr>
            <w:tcW w:type="dxa" w:w="2016"/>
          </w:tcPr>
          <w:p>
            <w:r>
              <w:rPr>
                <w:rFonts w:ascii="Times New Roman" w:hAnsi="Times New Roman"/>
                <w:sz w:val="20"/>
              </w:rPr>
            </w:r>
          </w:p>
        </w:tc>
      </w:tr>
      <w:tr>
        <w:tc>
          <w:tcPr>
            <w:tcW w:type="dxa" w:w="4608"/>
          </w:tcPr>
          <w:p>
            <w:r>
              <w:rPr>
                <w:rFonts w:ascii="Times New Roman" w:hAnsi="Times New Roman"/>
                <w:sz w:val="20"/>
              </w:rPr>
              <w:t>MCQ and retriever evaluation (eval/run_mcq_eval.py, eval/run_retriever_comparison.py)</w:t>
            </w:r>
          </w:p>
        </w:tc>
        <w:tc>
          <w:tcPr>
            <w:tcW w:type="dxa" w:w="2016"/>
          </w:tcPr>
          <w:p>
            <w:r>
              <w:rPr>
                <w:rFonts w:ascii="Times New Roman" w:hAnsi="Times New Roman"/>
                <w:sz w:val="20"/>
              </w:rPr>
            </w:r>
          </w:p>
        </w:tc>
        <w:tc>
          <w:tcPr>
            <w:tcW w:type="dxa" w:w="2016"/>
          </w:tcPr>
          <w:p>
            <w:r>
              <w:rPr>
                <w:rFonts w:ascii="Times New Roman" w:hAnsi="Times New Roman"/>
                <w:sz w:val="20"/>
              </w:rPr>
            </w:r>
          </w:p>
        </w:tc>
      </w:tr>
      <w:tr>
        <w:tc>
          <w:tcPr>
            <w:tcW w:type="dxa" w:w="4608"/>
          </w:tcPr>
          <w:p>
            <w:r>
              <w:rPr>
                <w:rFonts w:ascii="Times New Roman" w:hAnsi="Times New Roman"/>
                <w:sz w:val="20"/>
              </w:rPr>
              <w:t>LLM-as-judge evaluation (eval/run_groundedness_judge.py)</w:t>
            </w:r>
          </w:p>
        </w:tc>
        <w:tc>
          <w:tcPr>
            <w:tcW w:type="dxa" w:w="2016"/>
          </w:tcPr>
          <w:p>
            <w:r>
              <w:rPr>
                <w:rFonts w:ascii="Times New Roman" w:hAnsi="Times New Roman"/>
                <w:sz w:val="20"/>
              </w:rPr>
            </w:r>
          </w:p>
        </w:tc>
        <w:tc>
          <w:tcPr>
            <w:tcW w:type="dxa" w:w="2016"/>
          </w:tcPr>
          <w:p>
            <w:r>
              <w:rPr>
                <w:rFonts w:ascii="Times New Roman" w:hAnsi="Times New Roman"/>
                <w:sz w:val="20"/>
              </w:rPr>
            </w:r>
          </w:p>
        </w:tc>
      </w:tr>
      <w:tr>
        <w:tc>
          <w:tcPr>
            <w:tcW w:type="dxa" w:w="4608"/>
          </w:tcPr>
          <w:p>
            <w:r>
              <w:rPr>
                <w:rFonts w:ascii="Times New Roman" w:hAnsi="Times New Roman"/>
                <w:sz w:val="20"/>
              </w:rPr>
              <w:t>Report writing</w:t>
            </w:r>
          </w:p>
        </w:tc>
        <w:tc>
          <w:tcPr>
            <w:tcW w:type="dxa" w:w="2016"/>
          </w:tcPr>
          <w:p>
            <w:r>
              <w:rPr>
                <w:rFonts w:ascii="Times New Roman" w:hAnsi="Times New Roman"/>
                <w:sz w:val="20"/>
              </w:rPr>
            </w:r>
          </w:p>
        </w:tc>
        <w:tc>
          <w:tcPr>
            <w:tcW w:type="dxa" w:w="2016"/>
          </w:tcPr>
          <w:p>
            <w:r>
              <w:rPr>
                <w:rFonts w:ascii="Times New Roman" w:hAnsi="Times New Roman"/>
                <w:sz w:val="20"/>
              </w:rPr>
            </w:r>
          </w:p>
        </w:tc>
      </w:tr>
    </w:tbl>
    <w:p/>
    <w:p>
      <w:pPr>
        <w:pStyle w:val="Heading1"/>
      </w:pPr>
      <w:r>
        <w:rPr>
          <w:color w:val="000000"/>
        </w:rPr>
        <w:t>References</w:t>
      </w:r>
    </w:p>
    <w:p>
      <w:pPr>
        <w:spacing w:after="80"/>
        <w:ind w:left="576" w:hanging="576"/>
      </w:pPr>
      <w:r>
        <w:rPr>
          <w:rFonts w:ascii="Times New Roman" w:hAnsi="Times New Roman"/>
          <w:sz w:val="20"/>
        </w:rPr>
        <w:t>Bender, E. M., Gebru, T., McMillan-Major, A., and Shmitchell, S. (2021). On the dangers of stochastic parrots: Can language models be too big? FAccT 2021.</w:t>
      </w:r>
    </w:p>
    <w:p>
      <w:pPr>
        <w:spacing w:after="80"/>
        <w:ind w:left="576" w:hanging="576"/>
      </w:pPr>
      <w:r>
        <w:rPr>
          <w:rFonts w:ascii="Times New Roman" w:hAnsi="Times New Roman"/>
          <w:sz w:val="20"/>
        </w:rPr>
        <w:t>Boateng, G., et al. (2024). Kwame for Science: An AI teaching assistant for science education in Ghana. NeurIPS 2024 Workshop on AI for Education.</w:t>
      </w:r>
    </w:p>
    <w:p>
      <w:pPr>
        <w:spacing w:after="80"/>
        <w:ind w:left="576" w:hanging="576"/>
      </w:pPr>
      <w:r>
        <w:rPr>
          <w:rFonts w:ascii="Times New Roman" w:hAnsi="Times New Roman"/>
          <w:sz w:val="20"/>
        </w:rPr>
        <w:t>Fallahpour, A., et al. (2025). MedRax: Retrieval-augmented generation for radiology report synthesis. arXiv preprint.</w:t>
      </w:r>
    </w:p>
    <w:p>
      <w:pPr>
        <w:spacing w:after="80"/>
        <w:ind w:left="576" w:hanging="576"/>
      </w:pPr>
      <w:r>
        <w:rPr>
          <w:rFonts w:ascii="Times New Roman" w:hAnsi="Times New Roman"/>
          <w:sz w:val="20"/>
        </w:rPr>
        <w:t>Hu, Y., et al. (2025). Large language models for health education: A scoping review. JMIR Medical Education.</w:t>
      </w:r>
    </w:p>
    <w:p>
      <w:pPr>
        <w:spacing w:after="80"/>
        <w:ind w:left="576" w:hanging="576"/>
      </w:pPr>
      <w:r>
        <w:rPr>
          <w:rFonts w:ascii="Times New Roman" w:hAnsi="Times New Roman"/>
          <w:sz w:val="20"/>
        </w:rPr>
        <w:t>Karpukhin, V., et al. (2020). Dense passage retrieval for open-domain question answering. EMNLP 2020.</w:t>
      </w:r>
    </w:p>
    <w:p>
      <w:pPr>
        <w:spacing w:after="80"/>
        <w:ind w:left="576" w:hanging="576"/>
      </w:pPr>
      <w:r>
        <w:rPr>
          <w:rFonts w:ascii="Times New Roman" w:hAnsi="Times New Roman"/>
          <w:sz w:val="20"/>
        </w:rPr>
        <w:t>Lewis, P., et al. (2020). Retrieval-augmented generation for knowledge-intensive NLP tasks. NeurIPS 2020.</w:t>
      </w:r>
    </w:p>
    <w:p>
      <w:pPr>
        <w:spacing w:after="80"/>
        <w:ind w:left="576" w:hanging="576"/>
      </w:pPr>
      <w:r>
        <w:rPr>
          <w:rFonts w:ascii="Times New Roman" w:hAnsi="Times New Roman"/>
          <w:sz w:val="20"/>
        </w:rPr>
        <w:t>Obermeyer, Z., et al. (2019). Dissecting racial bias in an algorithm used to manage the health of populations. Science, 366(6464), 447-453.</w:t>
      </w:r>
    </w:p>
    <w:p>
      <w:pPr>
        <w:spacing w:after="80"/>
        <w:ind w:left="576" w:hanging="576"/>
      </w:pPr>
      <w:r>
        <w:rPr>
          <w:rFonts w:ascii="Times New Roman" w:hAnsi="Times New Roman"/>
          <w:sz w:val="20"/>
        </w:rPr>
        <w:t>Olatunji, T., et al. (2025). AfriMedQA: A benchmark for evaluating large language models on African medical knowledge. arXiv preprint.</w:t>
      </w:r>
    </w:p>
    <w:p>
      <w:pPr>
        <w:spacing w:after="80"/>
        <w:ind w:left="576" w:hanging="576"/>
      </w:pPr>
      <w:r>
        <w:rPr>
          <w:rFonts w:ascii="Times New Roman" w:hAnsi="Times New Roman"/>
          <w:sz w:val="20"/>
        </w:rPr>
        <w:t>Robertson, S., and Zaragoza, H. (2009). The probabilistic relevance framework: BM25 and beyond. Foundations and Trends in Information Retrieval.</w:t>
      </w:r>
    </w:p>
    <w:p>
      <w:pPr>
        <w:spacing w:after="80"/>
        <w:ind w:left="576" w:hanging="576"/>
      </w:pPr>
      <w:r>
        <w:rPr>
          <w:rFonts w:ascii="Times New Roman" w:hAnsi="Times New Roman"/>
          <w:sz w:val="20"/>
        </w:rPr>
        <w:t>Singhal, K., et al. (2023). Large language models encode clinical knowledge. Nature, 620, 172-180.</w:t>
      </w:r>
    </w:p>
    <w:p>
      <w:pPr>
        <w:spacing w:after="80"/>
        <w:ind w:left="576" w:hanging="576"/>
      </w:pPr>
      <w:r>
        <w:rPr>
          <w:rFonts w:ascii="Times New Roman" w:hAnsi="Times New Roman"/>
          <w:sz w:val="20"/>
        </w:rPr>
        <w:t>World Health Organization. (2023). Health workforce: Key facts. WHO.</w:t>
      </w:r>
    </w:p>
    <w:p>
      <w:pPr>
        <w:spacing w:after="80"/>
        <w:ind w:left="576" w:hanging="576"/>
      </w:pPr>
      <w:r>
        <w:rPr>
          <w:rFonts w:ascii="Times New Roman" w:hAnsi="Times New Roman"/>
          <w:sz w:val="20"/>
        </w:rPr>
        <w:t>Zheng, L., et al. (2023). Judging LLM-as-a-judge with MT-Bench and Chatbot Arena. NeurIPS 2023.</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