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EAE2" w14:textId="4B6C7BCE" w:rsidR="00636C26" w:rsidRDefault="00636C26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Latent Dirichlet Allocation (LDA) is a Bayesian probabilistic topic model.</w:t>
      </w:r>
      <w:r>
        <w:rPr>
          <w:rFonts w:ascii="NimbusRomNo9L" w:hAnsi="NimbusRomNo9L"/>
          <w:sz w:val="20"/>
          <w:szCs w:val="20"/>
        </w:rPr>
        <w:t xml:space="preserve"> It is widely used as a </w:t>
      </w:r>
      <w:r>
        <w:rPr>
          <w:rFonts w:ascii="NimbusRomNo9L" w:hAnsi="NimbusRomNo9L"/>
          <w:sz w:val="20"/>
          <w:szCs w:val="20"/>
        </w:rPr>
        <w:t>Natur</w:t>
      </w:r>
      <w:r w:rsidR="0085201A">
        <w:rPr>
          <w:rFonts w:ascii="NimbusRomNo9L" w:hAnsi="NimbusRomNo9L"/>
          <w:sz w:val="20"/>
          <w:szCs w:val="20"/>
        </w:rPr>
        <w:t>al</w:t>
      </w:r>
      <w:r>
        <w:rPr>
          <w:rFonts w:ascii="NimbusRomNo9L" w:hAnsi="NimbusRomNo9L"/>
          <w:sz w:val="20"/>
          <w:szCs w:val="20"/>
        </w:rPr>
        <w:t xml:space="preserve"> Language Processing (NLP)</w:t>
      </w:r>
      <w:r>
        <w:rPr>
          <w:rFonts w:ascii="NimbusRomNo9L" w:hAnsi="NimbusRomNo9L"/>
          <w:sz w:val="20"/>
          <w:szCs w:val="20"/>
        </w:rPr>
        <w:t xml:space="preserve"> technique to classify documents</w:t>
      </w:r>
      <w:r w:rsidR="0085201A">
        <w:rPr>
          <w:rFonts w:ascii="NimbusRomNo9L" w:hAnsi="NimbusRomNo9L"/>
          <w:sz w:val="20"/>
          <w:szCs w:val="20"/>
        </w:rPr>
        <w:t>.</w:t>
      </w:r>
      <w:r>
        <w:rPr>
          <w:rFonts w:ascii="NimbusRomNo9L" w:hAnsi="NimbusRomNo9L"/>
          <w:sz w:val="20"/>
          <w:szCs w:val="20"/>
        </w:rPr>
        <w:t xml:space="preserve"> </w:t>
      </w:r>
      <w:r w:rsidR="0085201A">
        <w:rPr>
          <w:rFonts w:ascii="NimbusRomNo9L" w:hAnsi="NimbusRomNo9L"/>
          <w:sz w:val="20"/>
          <w:szCs w:val="20"/>
        </w:rPr>
        <w:t>G</w:t>
      </w:r>
      <w:r>
        <w:rPr>
          <w:rFonts w:ascii="NimbusRomNo9L" w:hAnsi="NimbusRomNo9L"/>
          <w:sz w:val="20"/>
          <w:szCs w:val="20"/>
        </w:rPr>
        <w:t xml:space="preserve">iven a set of documents in a corpus, each of which contains a set of words, LDA discovers K “topics” for each document, represented as latent factors each taking the form of a distribution of words. </w:t>
      </w:r>
      <w:r w:rsidR="00966D5F">
        <w:rPr>
          <w:rFonts w:ascii="NimbusRomNo9L" w:hAnsi="NimbusRomNo9L"/>
          <w:sz w:val="20"/>
          <w:szCs w:val="20"/>
        </w:rPr>
        <w:t>The LDA model</w:t>
      </w:r>
      <w:r>
        <w:rPr>
          <w:rFonts w:ascii="NimbusRomNo9L" w:hAnsi="NimbusRomNo9L"/>
          <w:sz w:val="20"/>
          <w:szCs w:val="20"/>
        </w:rPr>
        <w:t xml:space="preserve"> assumes a generative process for each document d that </w:t>
      </w:r>
      <w:r w:rsidR="00966D5F">
        <w:rPr>
          <w:rFonts w:ascii="NimbusRomNo9L" w:hAnsi="NimbusRomNo9L"/>
          <w:sz w:val="20"/>
          <w:szCs w:val="20"/>
        </w:rPr>
        <w:t xml:space="preserve">its </w:t>
      </w:r>
      <w:r>
        <w:rPr>
          <w:rFonts w:ascii="NimbusRomNo9L" w:hAnsi="NimbusRomNo9L"/>
          <w:sz w:val="20"/>
          <w:szCs w:val="20"/>
        </w:rPr>
        <w:t>topic</w:t>
      </w:r>
      <w:r w:rsidR="00966D5F">
        <w:rPr>
          <w:rFonts w:ascii="NimbusRomNo9L" w:hAnsi="NimbusRomNo9L"/>
          <w:sz w:val="20"/>
          <w:szCs w:val="20"/>
        </w:rPr>
        <w:t>s</w:t>
      </w:r>
      <w:r>
        <w:rPr>
          <w:rFonts w:ascii="NimbusRomNo9L" w:hAnsi="NimbusRomNo9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dn</m:t>
            </m:r>
          </m:sub>
        </m:sSub>
      </m:oMath>
      <w:r w:rsidR="0085201A"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</w:rPr>
        <w:t xml:space="preserve">follow </w:t>
      </w:r>
      <w:r w:rsidR="00966D5F">
        <w:rPr>
          <w:rFonts w:ascii="CMMI10" w:hAnsi="CMMI10"/>
          <w:sz w:val="20"/>
          <w:szCs w:val="20"/>
        </w:rPr>
        <w:t>Multinomial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>d</w:t>
      </w:r>
      <w:r>
        <w:rPr>
          <w:rFonts w:ascii="CMR10" w:hAnsi="CMR10"/>
          <w:sz w:val="20"/>
          <w:szCs w:val="20"/>
        </w:rPr>
        <w:t>)</w:t>
      </w:r>
      <w:r w:rsidR="00966D5F">
        <w:rPr>
          <w:rFonts w:ascii="CMR10" w:hAnsi="CMR10"/>
          <w:sz w:val="20"/>
          <w:szCs w:val="20"/>
        </w:rPr>
        <w:t xml:space="preserve"> </w:t>
      </w:r>
      <w:r>
        <w:rPr>
          <w:rFonts w:ascii="CMSY10" w:hAnsi="CMSY10"/>
          <w:sz w:val="20"/>
          <w:szCs w:val="20"/>
        </w:rPr>
        <w:t xml:space="preserve">drawn from Dirichlet </w:t>
      </w:r>
      <w:r>
        <w:rPr>
          <w:rFonts w:ascii="CMMI10" w:hAnsi="CMMI10"/>
          <w:sz w:val="20"/>
          <w:szCs w:val="20"/>
        </w:rPr>
        <w:t>θ</w:t>
      </w:r>
      <w:r>
        <w:rPr>
          <w:rFonts w:ascii="CMMI7" w:hAnsi="CMMI7"/>
          <w:position w:val="-2"/>
          <w:sz w:val="14"/>
          <w:szCs w:val="14"/>
        </w:rPr>
        <w:t>d</w:t>
      </w:r>
      <w:r>
        <w:rPr>
          <w:rFonts w:ascii="CMSY10" w:hAnsi="CMSY10"/>
          <w:sz w:val="20"/>
          <w:szCs w:val="20"/>
        </w:rPr>
        <w:t>~</w:t>
      </w:r>
      <w:r>
        <w:rPr>
          <w:rFonts w:ascii="CMMI10" w:hAnsi="CMMI10"/>
          <w:sz w:val="20"/>
          <w:szCs w:val="20"/>
        </w:rPr>
        <w:t>Dir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α</w:t>
      </w:r>
      <w:r>
        <w:rPr>
          <w:rFonts w:ascii="CMR10" w:hAnsi="CMR10"/>
          <w:sz w:val="20"/>
          <w:szCs w:val="20"/>
        </w:rPr>
        <w:t>)</w:t>
      </w:r>
      <w:r>
        <w:rPr>
          <w:rFonts w:ascii="CMR10" w:hAnsi="CMR10"/>
          <w:sz w:val="20"/>
          <w:szCs w:val="20"/>
        </w:rPr>
        <w:t xml:space="preserve">, and each word </w:t>
      </w:r>
      <w:r>
        <w:rPr>
          <w:rFonts w:ascii="CMMI10" w:hAnsi="CMMI10"/>
          <w:sz w:val="20"/>
          <w:szCs w:val="20"/>
        </w:rPr>
        <w:t>w</w:t>
      </w:r>
      <w:proofErr w:type="spellStart"/>
      <w:r>
        <w:rPr>
          <w:rFonts w:ascii="CMMI7" w:hAnsi="CMMI7"/>
          <w:position w:val="-2"/>
          <w:sz w:val="14"/>
          <w:szCs w:val="14"/>
        </w:rPr>
        <w:t>dn</w:t>
      </w:r>
      <w:proofErr w:type="spellEnd"/>
      <w:r>
        <w:rPr>
          <w:rFonts w:ascii="CMMI7" w:hAnsi="CMMI7"/>
          <w:position w:val="-2"/>
          <w:sz w:val="14"/>
          <w:szCs w:val="14"/>
        </w:rPr>
        <w:t xml:space="preserve"> </w:t>
      </w:r>
      <w:r>
        <w:rPr>
          <w:rFonts w:ascii="NimbusRomNo9L" w:hAnsi="NimbusRomNo9L"/>
          <w:sz w:val="20"/>
          <w:szCs w:val="20"/>
        </w:rPr>
        <w:t>is chosen f</w:t>
      </w:r>
      <w:r>
        <w:rPr>
          <w:rFonts w:ascii="NimbusRomNo9L" w:hAnsi="NimbusRomNo9L"/>
          <w:sz w:val="20"/>
          <w:szCs w:val="20"/>
        </w:rPr>
        <w:t>rom selected topic</w:t>
      </w:r>
      <w:r>
        <w:rPr>
          <w:rFonts w:ascii="NimbusRomNo9L" w:hAnsi="NimbusRomNo9L"/>
          <w:sz w:val="20"/>
          <w:szCs w:val="20"/>
        </w:rPr>
        <w:t xml:space="preserve"> by</w:t>
      </w:r>
      <w:r>
        <w:rPr>
          <w:rFonts w:ascii="NimbusRomNo9L" w:hAnsi="NimbusRomNo9L"/>
          <w:sz w:val="20"/>
          <w:szCs w:val="20"/>
        </w:rPr>
        <w:t xml:space="preserve"> </w:t>
      </w:r>
      <w:r>
        <w:rPr>
          <w:rFonts w:ascii="CMMI10" w:hAnsi="CMMI10"/>
          <w:sz w:val="20"/>
          <w:szCs w:val="20"/>
        </w:rPr>
        <w:t>w</w:t>
      </w:r>
      <w:proofErr w:type="spellStart"/>
      <w:r>
        <w:rPr>
          <w:rFonts w:ascii="CMMI7" w:hAnsi="CMMI7"/>
          <w:position w:val="-2"/>
          <w:sz w:val="14"/>
          <w:szCs w:val="14"/>
        </w:rPr>
        <w:t>dn</w:t>
      </w:r>
      <w:proofErr w:type="spellEnd"/>
      <w:r>
        <w:rPr>
          <w:rFonts w:ascii="CMMI7" w:hAnsi="CMMI7"/>
          <w:position w:val="-2"/>
          <w:sz w:val="14"/>
          <w:szCs w:val="14"/>
        </w:rPr>
        <w:t xml:space="preserve"> </w:t>
      </w:r>
      <w:r>
        <w:rPr>
          <w:rFonts w:ascii="CMSY10" w:hAnsi="CMSY10"/>
          <w:sz w:val="20"/>
          <w:szCs w:val="20"/>
        </w:rPr>
        <w:t xml:space="preserve">∼ </w:t>
      </w:r>
      <w:r w:rsidR="00966D5F">
        <w:rPr>
          <w:rFonts w:ascii="CMMI10" w:hAnsi="CMMI10"/>
          <w:sz w:val="20"/>
          <w:szCs w:val="20"/>
        </w:rPr>
        <w:t>Multinomial</w:t>
      </w:r>
      <w:r w:rsidR="00966D5F"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β</w:t>
      </w:r>
      <w:r>
        <w:rPr>
          <w:rFonts w:ascii="CMMI7" w:hAnsi="CMMI7"/>
          <w:position w:val="-2"/>
          <w:sz w:val="14"/>
          <w:szCs w:val="14"/>
        </w:rPr>
        <w:t>z</w:t>
      </w:r>
      <w:r>
        <w:rPr>
          <w:rFonts w:ascii="CMMI5" w:hAnsi="CMMI5"/>
          <w:position w:val="-6"/>
          <w:sz w:val="10"/>
          <w:szCs w:val="10"/>
        </w:rPr>
        <w:t xml:space="preserve">n </w:t>
      </w:r>
      <w:r>
        <w:rPr>
          <w:rFonts w:ascii="CMR10" w:hAnsi="CMR10"/>
          <w:sz w:val="20"/>
          <w:szCs w:val="20"/>
        </w:rPr>
        <w:t>)</w:t>
      </w:r>
      <w:r w:rsidRPr="00636C26"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</w:rPr>
        <w:t xml:space="preserve">drawn from Dirichlet </w:t>
      </w:r>
      <w:r>
        <w:rPr>
          <w:rFonts w:ascii="CMMI10" w:hAnsi="CMMI10"/>
          <w:sz w:val="20"/>
          <w:szCs w:val="20"/>
        </w:rPr>
        <w:t>β</w:t>
      </w:r>
      <w:r>
        <w:rPr>
          <w:rFonts w:ascii="CMMI7" w:hAnsi="CMMI7"/>
          <w:position w:val="-2"/>
          <w:sz w:val="14"/>
          <w:szCs w:val="14"/>
        </w:rPr>
        <w:t xml:space="preserve">k </w:t>
      </w:r>
      <w:r>
        <w:rPr>
          <w:rFonts w:ascii="CMSY10" w:hAnsi="CMSY10"/>
          <w:sz w:val="20"/>
          <w:szCs w:val="20"/>
        </w:rPr>
        <w:t xml:space="preserve">∼ </w:t>
      </w:r>
      <w:r>
        <w:rPr>
          <w:rFonts w:ascii="CMMI10" w:hAnsi="CMMI10"/>
          <w:sz w:val="20"/>
          <w:szCs w:val="20"/>
        </w:rPr>
        <w:t>Dir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η</w:t>
      </w:r>
      <w:r>
        <w:rPr>
          <w:rFonts w:ascii="CMR10" w:hAnsi="CMR10"/>
          <w:sz w:val="20"/>
          <w:szCs w:val="20"/>
        </w:rPr>
        <w:t>)</w:t>
      </w:r>
      <w:r>
        <w:rPr>
          <w:rFonts w:ascii="CMR10" w:hAnsi="CMR10"/>
          <w:sz w:val="20"/>
          <w:szCs w:val="20"/>
        </w:rPr>
        <w:t>.</w:t>
      </w:r>
    </w:p>
    <w:p w14:paraId="476C9CB8" w14:textId="32B2FDA5" w:rsidR="00FC2F79" w:rsidRDefault="00636C26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Two major algorithms for inferring the model parameters are variational inference [2] and </w:t>
      </w:r>
      <w:proofErr w:type="spellStart"/>
      <w:r>
        <w:rPr>
          <w:rFonts w:ascii="NimbusRomNo9L" w:hAnsi="NimbusRomNo9L"/>
          <w:sz w:val="20"/>
          <w:szCs w:val="20"/>
        </w:rPr>
        <w:t>gibbs</w:t>
      </w:r>
      <w:proofErr w:type="spellEnd"/>
      <w:r>
        <w:rPr>
          <w:rFonts w:ascii="NimbusRomNo9L" w:hAnsi="NimbusRomNo9L"/>
          <w:sz w:val="20"/>
          <w:szCs w:val="20"/>
        </w:rPr>
        <w:t xml:space="preserve"> sampling [4].</w:t>
      </w:r>
      <w:r w:rsidR="00FC2F79">
        <w:rPr>
          <w:rFonts w:ascii="NimbusRomNo9L" w:hAnsi="NimbusRomNo9L"/>
          <w:sz w:val="20"/>
          <w:szCs w:val="20"/>
        </w:rPr>
        <w:t xml:space="preserve"> The former is a simplified approximation method that results in a biased estimate, but is computationally efficient with well-defined numerical convergence criteria, while </w:t>
      </w:r>
      <w:proofErr w:type="spellStart"/>
      <w:r w:rsidR="00FC2F79">
        <w:rPr>
          <w:rFonts w:ascii="NimbusRomNo9L" w:hAnsi="NimbusRomNo9L"/>
          <w:sz w:val="20"/>
          <w:szCs w:val="20"/>
        </w:rPr>
        <w:t xml:space="preserve">the </w:t>
      </w:r>
      <w:proofErr w:type="spellEnd"/>
      <w:r w:rsidR="00FC2F79">
        <w:rPr>
          <w:rFonts w:ascii="NimbusRomNo9L" w:hAnsi="NimbusRomNo9L"/>
          <w:sz w:val="20"/>
          <w:szCs w:val="20"/>
        </w:rPr>
        <w:t xml:space="preserve">latter is a probabilistic technique that converges to an unbiased solution, but its convergence is hard to </w:t>
      </w:r>
      <w:r w:rsidR="00FC2F79">
        <w:rPr>
          <w:rFonts w:ascii="NimbusRomNo9L" w:hAnsi="NimbusRomNo9L"/>
          <w:sz w:val="20"/>
          <w:szCs w:val="20"/>
        </w:rPr>
        <w:t>diagnos</w:t>
      </w:r>
      <w:r w:rsidR="00FC2F79">
        <w:rPr>
          <w:rFonts w:ascii="NimbusRomNo9L" w:hAnsi="NimbusRomNo9L"/>
          <w:sz w:val="20"/>
          <w:szCs w:val="20"/>
        </w:rPr>
        <w:t>e.</w:t>
      </w:r>
      <w:r w:rsidR="00FC2F79">
        <w:rPr>
          <w:rFonts w:ascii="NimbusRomNo9L" w:hAnsi="NimbusRomNo9L"/>
          <w:sz w:val="20"/>
          <w:szCs w:val="20"/>
        </w:rPr>
        <w:t xml:space="preserve"> </w:t>
      </w:r>
      <w:r w:rsidR="0085201A">
        <w:rPr>
          <w:rFonts w:ascii="NimbusRomNo9L" w:hAnsi="NimbusRomNo9L"/>
          <w:sz w:val="20"/>
          <w:szCs w:val="20"/>
        </w:rPr>
        <w:t>Here w</w:t>
      </w:r>
      <w:r w:rsidR="00FC2F79">
        <w:rPr>
          <w:rFonts w:ascii="NimbusRomNo9L" w:hAnsi="NimbusRomNo9L"/>
          <w:sz w:val="20"/>
          <w:szCs w:val="20"/>
        </w:rPr>
        <w:t xml:space="preserve">e </w:t>
      </w:r>
      <w:r w:rsidR="0085201A">
        <w:rPr>
          <w:rFonts w:ascii="NimbusRomNo9L" w:hAnsi="NimbusRomNo9L"/>
          <w:sz w:val="20"/>
          <w:szCs w:val="20"/>
        </w:rPr>
        <w:t>discuss briefly the</w:t>
      </w:r>
      <w:r w:rsidR="00FC2F79">
        <w:rPr>
          <w:rFonts w:ascii="NimbusRomNo9L" w:hAnsi="NimbusRomNo9L"/>
          <w:sz w:val="20"/>
          <w:szCs w:val="20"/>
        </w:rPr>
        <w:t xml:space="preserve"> variational inference EM algorithm</w:t>
      </w:r>
      <w:r w:rsidR="0085201A">
        <w:rPr>
          <w:rFonts w:ascii="NimbusRomNo9L" w:hAnsi="NimbusRomNo9L"/>
          <w:sz w:val="20"/>
          <w:szCs w:val="20"/>
        </w:rPr>
        <w:t xml:space="preserve">, which is </w:t>
      </w:r>
      <w:r w:rsidR="00F27108">
        <w:rPr>
          <w:rFonts w:ascii="NimbusRomNo9L" w:hAnsi="NimbusRomNo9L"/>
          <w:sz w:val="20"/>
          <w:szCs w:val="20"/>
        </w:rPr>
        <w:t>used</w:t>
      </w:r>
      <w:r w:rsidR="00FC2F79">
        <w:rPr>
          <w:rFonts w:ascii="NimbusRomNo9L" w:hAnsi="NimbusRomNo9L"/>
          <w:sz w:val="20"/>
          <w:szCs w:val="20"/>
        </w:rPr>
        <w:t xml:space="preserve"> in </w:t>
      </w:r>
      <w:r w:rsidR="0085201A">
        <w:rPr>
          <w:rFonts w:ascii="NimbusRomNo9L" w:hAnsi="NimbusRomNo9L"/>
          <w:sz w:val="20"/>
          <w:szCs w:val="20"/>
        </w:rPr>
        <w:t>our</w:t>
      </w:r>
      <w:r w:rsidR="00FC2F79">
        <w:rPr>
          <w:rFonts w:ascii="NimbusRomNo9L" w:hAnsi="NimbusRomNo9L"/>
          <w:sz w:val="20"/>
          <w:szCs w:val="20"/>
        </w:rPr>
        <w:t xml:space="preserve"> customer segmentation </w:t>
      </w:r>
      <w:r w:rsidR="00F27108">
        <w:rPr>
          <w:rFonts w:ascii="NimbusRomNo9L" w:hAnsi="NimbusRomNo9L"/>
          <w:sz w:val="20"/>
          <w:szCs w:val="20"/>
        </w:rPr>
        <w:t>implementation</w:t>
      </w:r>
      <w:r w:rsidR="00FC2F79">
        <w:rPr>
          <w:rFonts w:ascii="NimbusRomNo9L" w:hAnsi="NimbusRomNo9L"/>
          <w:sz w:val="20"/>
          <w:szCs w:val="20"/>
        </w:rPr>
        <w:t>.</w:t>
      </w:r>
    </w:p>
    <w:p w14:paraId="2CC516A9" w14:textId="5EFBB591" w:rsidR="00FC2F79" w:rsidRDefault="0085201A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In the</w:t>
      </w:r>
      <w:r w:rsidR="00FC2F79" w:rsidRPr="00FC2F79">
        <w:rPr>
          <w:rFonts w:ascii="NimbusRomNo9L" w:hAnsi="NimbusRomNo9L"/>
          <w:sz w:val="20"/>
          <w:szCs w:val="20"/>
        </w:rPr>
        <w:t xml:space="preserve"> </w:t>
      </w:r>
      <w:r w:rsidR="00FC2F79" w:rsidRPr="00FC2F79">
        <w:rPr>
          <w:rFonts w:ascii="NimbusRomNo9L" w:hAnsi="NimbusRomNo9L"/>
          <w:sz w:val="20"/>
          <w:szCs w:val="20"/>
        </w:rPr>
        <w:t xml:space="preserve">variational </w:t>
      </w:r>
      <w:r w:rsidR="00FC2F79">
        <w:rPr>
          <w:rFonts w:ascii="NimbusRomNo9L" w:hAnsi="NimbusRomNo9L"/>
          <w:sz w:val="20"/>
          <w:szCs w:val="20"/>
        </w:rPr>
        <w:t xml:space="preserve">inference </w:t>
      </w:r>
      <w:r w:rsidR="00FC2F79" w:rsidRPr="00FC2F79">
        <w:rPr>
          <w:rFonts w:ascii="NimbusRomNo9L" w:hAnsi="NimbusRomNo9L"/>
          <w:sz w:val="20"/>
          <w:szCs w:val="20"/>
        </w:rPr>
        <w:t>EM algorithm</w:t>
      </w:r>
      <w:r>
        <w:rPr>
          <w:rFonts w:ascii="NimbusRomNo9L" w:hAnsi="NimbusRomNo9L"/>
          <w:sz w:val="20"/>
          <w:szCs w:val="20"/>
        </w:rPr>
        <w:t xml:space="preserve">, </w:t>
      </w:r>
      <w:r w:rsidR="00FC2F79" w:rsidRPr="00FC2F79"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</w:rPr>
        <w:t xml:space="preserve">the intractable </w:t>
      </w:r>
      <w:r w:rsidR="00FC2F79" w:rsidRPr="00FC2F79">
        <w:rPr>
          <w:rFonts w:ascii="NimbusRomNo9L" w:hAnsi="NimbusRomNo9L"/>
          <w:sz w:val="20"/>
          <w:szCs w:val="20"/>
        </w:rPr>
        <w:t>distribution of the</w:t>
      </w:r>
      <w:r w:rsidR="00FC2F79">
        <w:rPr>
          <w:rFonts w:ascii="NimbusRomNo9L" w:hAnsi="NimbusRomNo9L"/>
          <w:sz w:val="20"/>
          <w:szCs w:val="20"/>
        </w:rPr>
        <w:t xml:space="preserve"> </w:t>
      </w:r>
      <w:r w:rsidR="00FC2F79" w:rsidRPr="00FC2F79">
        <w:rPr>
          <w:rFonts w:ascii="NimbusRomNo9L" w:hAnsi="NimbusRomNo9L"/>
          <w:sz w:val="20"/>
          <w:szCs w:val="20"/>
        </w:rPr>
        <w:t>hidden</w:t>
      </w:r>
      <w:r w:rsidR="00FC2F79" w:rsidRPr="00FC2F79">
        <w:rPr>
          <w:rFonts w:ascii="NimbusRomNo9L" w:hAnsi="NimbusRomNo9L"/>
          <w:sz w:val="20"/>
          <w:szCs w:val="20"/>
        </w:rPr>
        <w:t xml:space="preserve"> </w:t>
      </w:r>
      <w:r w:rsidR="00FC2F79" w:rsidRPr="00FC2F79">
        <w:rPr>
          <w:rFonts w:ascii="NimbusRomNo9L" w:hAnsi="NimbusRomNo9L"/>
          <w:sz w:val="20"/>
          <w:szCs w:val="20"/>
        </w:rPr>
        <w:t>variables given the data P(</w:t>
      </w:r>
      <w:proofErr w:type="spellStart"/>
      <w:r w:rsidR="00FC2F79" w:rsidRPr="00FC2F79">
        <w:rPr>
          <w:rFonts w:ascii="NimbusRomNo9L" w:hAnsi="NimbusRomNo9L"/>
          <w:sz w:val="20"/>
          <w:szCs w:val="20"/>
        </w:rPr>
        <w:t>θ,z|w</w:t>
      </w:r>
      <w:proofErr w:type="spellEnd"/>
      <w:r w:rsidR="00FC2F79" w:rsidRPr="00FC2F79">
        <w:rPr>
          <w:rFonts w:ascii="NimbusRomNo9L" w:hAnsi="NimbusRomNo9L"/>
          <w:sz w:val="20"/>
          <w:szCs w:val="20"/>
        </w:rPr>
        <w:t xml:space="preserve">,α,β) </w:t>
      </w:r>
      <w:r>
        <w:rPr>
          <w:rFonts w:ascii="NimbusRomNo9L" w:hAnsi="NimbusRomNo9L"/>
          <w:sz w:val="20"/>
          <w:szCs w:val="20"/>
        </w:rPr>
        <w:t xml:space="preserve">is approximated </w:t>
      </w:r>
      <w:r w:rsidR="00FC2F79" w:rsidRPr="00FC2F79">
        <w:rPr>
          <w:rFonts w:ascii="NimbusRomNo9L" w:hAnsi="NimbusRomNo9L"/>
          <w:sz w:val="20"/>
          <w:szCs w:val="20"/>
        </w:rPr>
        <w:t>by a</w:t>
      </w:r>
      <w:r>
        <w:rPr>
          <w:rFonts w:ascii="NimbusRomNo9L" w:hAnsi="NimbusRomNo9L"/>
          <w:sz w:val="20"/>
          <w:szCs w:val="20"/>
        </w:rPr>
        <w:t xml:space="preserve"> simplified</w:t>
      </w:r>
      <w:r w:rsidR="00FC2F79" w:rsidRPr="00FC2F79">
        <w:rPr>
          <w:rFonts w:ascii="NimbusRomNo9L" w:hAnsi="NimbusRomNo9L"/>
          <w:sz w:val="20"/>
          <w:szCs w:val="20"/>
        </w:rPr>
        <w:t>, conditionally independent variational distribution as shown below:</w:t>
      </w:r>
    </w:p>
    <w:p w14:paraId="200326BD" w14:textId="77777777" w:rsidR="00FC2F79" w:rsidRDefault="00FC2F79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θ,z|γ,ϕ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d=1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{q(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e>
          </m:nary>
        </m:oMath>
      </m:oMathPara>
    </w:p>
    <w:p w14:paraId="33F1F63B" w14:textId="6EE9A6F5" w:rsidR="00FC2F79" w:rsidRDefault="0085201A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FC2F79"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</w:rPr>
        <w:t>and {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ascii="NimbusRomNo9L" w:hAnsi="NimbusRomNo9L"/>
          <w:sz w:val="20"/>
          <w:szCs w:val="20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ϕ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sub>
        </m:sSub>
      </m:oMath>
      <w:r>
        <w:rPr>
          <w:rFonts w:ascii="NimbusRomNo9L" w:hAnsi="NimbusRomNo9L"/>
          <w:sz w:val="20"/>
          <w:szCs w:val="20"/>
        </w:rPr>
        <w:t xml:space="preserve">} are free variational parameters. In the E-step, given fixed parameter inputs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>
        <w:rPr>
          <w:rFonts w:ascii="NimbusRomNo9L" w:hAnsi="NimbusRomNo9L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β</m:t>
        </m:r>
      </m:oMath>
      <w:r>
        <w:rPr>
          <w:rFonts w:ascii="NimbusRomNo9L" w:hAnsi="NimbusRomNo9L"/>
          <w:sz w:val="20"/>
          <w:szCs w:val="20"/>
        </w:rPr>
        <w:t>,</w:t>
      </w:r>
      <w:r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</w:rPr>
        <w:t>optimal values of</w:t>
      </w:r>
      <w:r w:rsidRPr="00FC2F79">
        <w:rPr>
          <w:rFonts w:ascii="NimbusRomNo9L" w:hAnsi="NimbusRomNo9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>
        <w:rPr>
          <w:rFonts w:ascii="NimbusRomNo9L" w:hAnsi="NimbusRomNo9L"/>
          <w:sz w:val="20"/>
          <w:szCs w:val="20"/>
        </w:rPr>
        <w:t>a</w:t>
      </w:r>
      <w:proofErr w:type="spellStart"/>
      <w:r>
        <w:rPr>
          <w:rFonts w:ascii="NimbusRomNo9L" w:hAnsi="NimbusRomNo9L"/>
          <w:sz w:val="20"/>
          <w:szCs w:val="20"/>
        </w:rPr>
        <w:t>nd</w:t>
      </w:r>
      <w:proofErr w:type="spellEnd"/>
      <w:r>
        <w:rPr>
          <w:rFonts w:ascii="NimbusRomNo9L" w:hAnsi="NimbusRomNo9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>
        <w:rPr>
          <w:rFonts w:ascii="NimbusRomNo9L" w:hAnsi="NimbusRomNo9L"/>
          <w:sz w:val="20"/>
          <w:szCs w:val="20"/>
        </w:rPr>
        <w:t xml:space="preserve"> are found using t</w:t>
      </w:r>
      <w:r w:rsidR="00FC2F79" w:rsidRPr="00FC2F79">
        <w:rPr>
          <w:rFonts w:ascii="NimbusRomNo9L" w:hAnsi="NimbusRomNo9L"/>
          <w:sz w:val="20"/>
          <w:szCs w:val="20"/>
        </w:rPr>
        <w:t>he algorithm as follows</w:t>
      </w:r>
      <w:r>
        <w:rPr>
          <w:rFonts w:ascii="NimbusRomNo9L" w:hAnsi="NimbusRomNo9L"/>
          <w:sz w:val="20"/>
          <w:szCs w:val="20"/>
        </w:rPr>
        <w:t>. The</w:t>
      </w:r>
      <w:r>
        <w:rPr>
          <w:rFonts w:ascii="NimbusRomNo9L" w:hAnsi="NimbusRomNo9L"/>
          <w:sz w:val="20"/>
          <w:szCs w:val="20"/>
        </w:rPr>
        <w:t xml:space="preserve"> algorithm indicates a requirement of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+1)</m:t>
        </m:r>
        <m:r>
          <w:rPr>
            <w:rFonts w:ascii="Cambria Math" w:hAnsi="Cambria Math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>
        <w:rPr>
          <w:rFonts w:ascii="NimbusRomNo9L" w:hAnsi="NimbusRomNo9L"/>
          <w:sz w:val="20"/>
          <w:szCs w:val="20"/>
        </w:rPr>
        <w:t xml:space="preserve"> operations for a single document</w:t>
      </w:r>
      <w:r>
        <w:rPr>
          <w:rFonts w:ascii="NimbusRomNo9L" w:hAnsi="NimbusRomNo9L"/>
          <w:sz w:val="20"/>
          <w:szCs w:val="20"/>
        </w:rPr>
        <w:t xml:space="preserve">. Since empirical experiment suggests the number of iterations required is in the order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>
        <w:rPr>
          <w:rFonts w:ascii="NimbusRomNo9L" w:hAnsi="NimbusRomNo9L"/>
          <w:sz w:val="20"/>
          <w:szCs w:val="20"/>
        </w:rPr>
        <w:t xml:space="preserve"> to achieve convergence, </w:t>
      </w:r>
      <w:r>
        <w:rPr>
          <w:rFonts w:ascii="NimbusRomNo9L" w:hAnsi="NimbusRomNo9L"/>
          <w:sz w:val="20"/>
          <w:szCs w:val="20"/>
        </w:rPr>
        <w:t xml:space="preserve">the total number of operations is roughly </w:t>
      </w:r>
      <m:oMath>
        <m:r>
          <w:rPr>
            <w:rFonts w:ascii="Cambria Math" w:hAnsi="Cambria Math"/>
            <w:sz w:val="20"/>
            <w:szCs w:val="20"/>
          </w:rPr>
          <m:t>M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NimbusRomNo9L" w:hAnsi="NimbusRomNo9L"/>
          <w:sz w:val="20"/>
          <w:szCs w:val="20"/>
        </w:rPr>
        <w:t xml:space="preserve"> </w:t>
      </w:r>
      <w:r>
        <w:rPr>
          <w:rFonts w:ascii="NimbusRomNo9L" w:hAnsi="NimbusRomNo9L"/>
          <w:sz w:val="20"/>
          <w:szCs w:val="20"/>
        </w:rPr>
        <w:t>for a corpus of size M</w:t>
      </w:r>
      <w:r>
        <w:rPr>
          <w:rFonts w:ascii="NimbusRomNo9L" w:hAnsi="NimbusRomNo9L"/>
          <w:sz w:val="20"/>
          <w:szCs w:val="20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5"/>
      </w:tblGrid>
      <w:tr w:rsidR="0085201A" w14:paraId="01D13ECA" w14:textId="77777777" w:rsidTr="00FC2F79">
        <w:trPr>
          <w:jc w:val="center"/>
        </w:trPr>
        <w:tc>
          <w:tcPr>
            <w:tcW w:w="5485" w:type="dxa"/>
          </w:tcPr>
          <w:p w14:paraId="63CB1AD5" w14:textId="040DDFDF" w:rsidR="0085201A" w:rsidRP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 xml:space="preserve">E-step with fixed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oMath>
            <w:r>
              <w:rPr>
                <w:rFonts w:ascii="NimbusRomNo9L" w:hAnsi="NimbusRomNo9L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oMath>
            <w:r>
              <w:rPr>
                <w:rFonts w:ascii="NimbusRomNo9L" w:hAnsi="NimbusRomNo9L"/>
                <w:sz w:val="20"/>
                <w:szCs w:val="20"/>
              </w:rPr>
              <w:t xml:space="preserve"> inputs:</w:t>
            </w:r>
          </w:p>
        </w:tc>
      </w:tr>
      <w:tr w:rsidR="00FC2F79" w14:paraId="63DC8F5B" w14:textId="77777777" w:rsidTr="00FC2F79">
        <w:trPr>
          <w:jc w:val="center"/>
        </w:trPr>
        <w:tc>
          <w:tcPr>
            <w:tcW w:w="5485" w:type="dxa"/>
          </w:tcPr>
          <w:p w14:paraId="647FF98B" w14:textId="7568D4C6" w:rsidR="00FC2F79" w:rsidRP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1</w:t>
            </w:r>
            <w:r w:rsidR="00FC2F79" w:rsidRPr="00FC2F79">
              <w:rPr>
                <w:rFonts w:ascii="NimbusRomNo9L" w:hAnsi="NimbusRomNo9L"/>
                <w:sz w:val="20"/>
                <w:szCs w:val="20"/>
              </w:rPr>
              <w:t>.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>initialize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p>
              </m:sSubSup>
            </m:oMath>
            <w:r w:rsidR="00FC2F79">
              <w:rPr>
                <w:rFonts w:ascii="NimbusRomNo9L" w:hAnsi="NimbusRomNo9L"/>
                <w:sz w:val="20"/>
                <w:szCs w:val="20"/>
              </w:rPr>
              <w:t xml:space="preserve">:=1/K for all </w:t>
            </w:r>
            <w:r w:rsidR="00DD267E">
              <w:rPr>
                <w:rFonts w:ascii="NimbusRomNo9L" w:hAnsi="NimbusRomNo9L"/>
                <w:sz w:val="20"/>
                <w:szCs w:val="20"/>
              </w:rPr>
              <w:t xml:space="preserve">word n 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and topic </w:t>
            </w:r>
            <w:proofErr w:type="spellStart"/>
            <w:r w:rsidR="00FC2F79">
              <w:rPr>
                <w:rFonts w:ascii="NimbusRomNo9L" w:hAnsi="NimbusRomNo9L"/>
                <w:sz w:val="20"/>
                <w:szCs w:val="20"/>
              </w:rPr>
              <w:t>i</w:t>
            </w:r>
            <w:proofErr w:type="spellEnd"/>
          </w:p>
          <w:p w14:paraId="1C95279C" w14:textId="0E62E04F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2</w:t>
            </w:r>
            <w:r w:rsidR="00FC2F79" w:rsidRPr="00FC2F79">
              <w:rPr>
                <w:rFonts w:ascii="NimbusRomNo9L" w:hAnsi="NimbusRomNo9L"/>
                <w:sz w:val="20"/>
                <w:szCs w:val="20"/>
              </w:rPr>
              <w:t>.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 xml:space="preserve">initialize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="00FC2F79">
              <w:rPr>
                <w:rFonts w:ascii="NimbusRomNo9L" w:hAnsi="NimbusRomNo9L"/>
                <w:sz w:val="20"/>
                <w:szCs w:val="20"/>
              </w:rPr>
              <w:t>:=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+N/K</m:t>
              </m:r>
            </m:oMath>
            <w:r w:rsidR="00FC2F79">
              <w:rPr>
                <w:rFonts w:ascii="NimbusRomNo9L" w:hAnsi="NimbusRomNo9L"/>
                <w:sz w:val="20"/>
                <w:szCs w:val="20"/>
              </w:rPr>
              <w:t xml:space="preserve"> for all topic </w:t>
            </w:r>
            <w:proofErr w:type="spellStart"/>
            <w:r w:rsidR="00FC2F79">
              <w:rPr>
                <w:rFonts w:ascii="NimbusRomNo9L" w:hAnsi="NimbusRomNo9L"/>
                <w:sz w:val="20"/>
                <w:szCs w:val="20"/>
              </w:rPr>
              <w:t>i</w:t>
            </w:r>
            <w:proofErr w:type="spellEnd"/>
          </w:p>
          <w:p w14:paraId="211D448B" w14:textId="045B9C6D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3</w:t>
            </w:r>
            <w:r w:rsidR="00FC2F79">
              <w:rPr>
                <w:rFonts w:ascii="NimbusRomNo9L" w:hAnsi="NimbusRomNo9L"/>
                <w:sz w:val="20"/>
                <w:szCs w:val="20"/>
              </w:rPr>
              <w:t>.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>repeat</w:t>
            </w:r>
          </w:p>
          <w:p w14:paraId="7ADB5D29" w14:textId="36535F56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4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. 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 xml:space="preserve">       for </w:t>
            </w:r>
            <w:r w:rsidR="00DD267E">
              <w:rPr>
                <w:rFonts w:ascii="NimbusRomNo9L" w:hAnsi="NimbusRomNo9L"/>
                <w:sz w:val="20"/>
                <w:szCs w:val="20"/>
              </w:rPr>
              <w:t>n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=1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</m:oMath>
          </w:p>
          <w:p w14:paraId="4C91F7D6" w14:textId="59278D49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5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. 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 xml:space="preserve">              for </w:t>
            </w:r>
            <w:proofErr w:type="spellStart"/>
            <w:r w:rsidR="00FC2F79">
              <w:rPr>
                <w:rFonts w:ascii="NimbusRomNo9L" w:hAnsi="NimbusRomNo9L"/>
                <w:sz w:val="20"/>
                <w:szCs w:val="20"/>
              </w:rPr>
              <w:t>i</w:t>
            </w:r>
            <w:proofErr w:type="spellEnd"/>
            <w:r w:rsidR="00FC2F79">
              <w:rPr>
                <w:rFonts w:ascii="NimbusRomNo9L" w:hAnsi="NimbusRomNo9L"/>
                <w:sz w:val="20"/>
                <w:szCs w:val="20"/>
              </w:rPr>
              <w:t>=1 to K</w:t>
            </w:r>
          </w:p>
          <w:p w14:paraId="16DDB605" w14:textId="2A851B84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6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. 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 xml:space="preserve">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exp⁡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Ψ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))</m:t>
              </m:r>
              <m:r>
                <w:rPr>
                  <w:rStyle w:val="FootnoteReference"/>
                  <w:rFonts w:ascii="Cambria Math" w:hAnsi="Cambria Math"/>
                  <w:i/>
                  <w:sz w:val="20"/>
                  <w:szCs w:val="20"/>
                </w:rPr>
                <w:footnoteReference w:id="1"/>
              </m:r>
            </m:oMath>
            <w:r w:rsidR="00FC2F79">
              <w:rPr>
                <w:rFonts w:ascii="NimbusRomNo9L" w:hAnsi="NimbusRomNo9L"/>
                <w:sz w:val="20"/>
                <w:szCs w:val="20"/>
              </w:rPr>
              <w:tab/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</w:r>
          </w:p>
          <w:p w14:paraId="529C9929" w14:textId="06BD465B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7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. 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 xml:space="preserve">              normalize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t+1</m:t>
                  </m:r>
                </m:sup>
              </m:sSubSup>
            </m:oMath>
            <w:r w:rsidR="00FC2F79">
              <w:rPr>
                <w:rFonts w:ascii="NimbusRomNo9L" w:hAnsi="NimbusRomNo9L"/>
                <w:sz w:val="20"/>
                <w:szCs w:val="20"/>
              </w:rPr>
              <w:t xml:space="preserve"> to sum to 1</w:t>
            </w:r>
          </w:p>
          <w:p w14:paraId="5CAC8E56" w14:textId="3DCCD573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8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. 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t+1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≔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α+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t+1</m:t>
                      </m:r>
                    </m:sup>
                  </m:sSubSup>
                </m:e>
              </m:nary>
            </m:oMath>
          </w:p>
          <w:p w14:paraId="62DD6E47" w14:textId="17BA0C43" w:rsidR="00FC2F79" w:rsidRDefault="0085201A" w:rsidP="0085201A">
            <w:pPr>
              <w:pStyle w:val="NormalWeb"/>
              <w:spacing w:before="0" w:beforeAutospacing="0" w:after="0" w:afterAutospacing="0"/>
              <w:jc w:val="both"/>
              <w:rPr>
                <w:rFonts w:ascii="NimbusRomNo9L" w:hAnsi="NimbusRomNo9L"/>
                <w:sz w:val="20"/>
                <w:szCs w:val="20"/>
              </w:rPr>
            </w:pPr>
            <w:r>
              <w:rPr>
                <w:rFonts w:ascii="NimbusRomNo9L" w:hAnsi="NimbusRomNo9L"/>
                <w:sz w:val="20"/>
                <w:szCs w:val="20"/>
              </w:rPr>
              <w:t>9</w:t>
            </w:r>
            <w:r w:rsidR="00FC2F79">
              <w:rPr>
                <w:rFonts w:ascii="NimbusRomNo9L" w:hAnsi="NimbusRomNo9L"/>
                <w:sz w:val="20"/>
                <w:szCs w:val="20"/>
              </w:rPr>
              <w:t xml:space="preserve">. </w:t>
            </w:r>
            <w:r w:rsidR="00FC2F79">
              <w:rPr>
                <w:rFonts w:ascii="NimbusRomNo9L" w:hAnsi="NimbusRomNo9L"/>
                <w:sz w:val="20"/>
                <w:szCs w:val="20"/>
              </w:rPr>
              <w:tab/>
              <w:t>until converge</w:t>
            </w:r>
          </w:p>
        </w:tc>
      </w:tr>
    </w:tbl>
    <w:p w14:paraId="1980C58F" w14:textId="5DDC1021" w:rsidR="0085201A" w:rsidRDefault="0085201A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The M-step is completed by maximizing the resulting lower bound on the log likelihood with respect to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>
        <w:rPr>
          <w:rFonts w:ascii="NimbusRomNo9L" w:hAnsi="NimbusRomNo9L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β</m:t>
        </m:r>
      </m:oMath>
      <w:r>
        <w:rPr>
          <w:rFonts w:ascii="NimbusRomNo9L" w:hAnsi="NimbusRomNo9L"/>
          <w:sz w:val="20"/>
          <w:szCs w:val="20"/>
        </w:rPr>
        <w:t xml:space="preserve">. The two steps repeat until the lower bound of likelihood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d=1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logp(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</w:rPr>
              <m:t>α, β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>
        <w:rPr>
          <w:rFonts w:ascii="NimbusRomNo9L" w:hAnsi="NimbusRomNo9L"/>
          <w:sz w:val="20"/>
          <w:szCs w:val="20"/>
        </w:rPr>
        <w:t xml:space="preserve"> converges</w:t>
      </w:r>
      <w:r>
        <w:rPr>
          <w:rStyle w:val="FootnoteReference"/>
          <w:rFonts w:ascii="NimbusRomNo9L" w:hAnsi="NimbusRomNo9L"/>
          <w:sz w:val="20"/>
          <w:szCs w:val="20"/>
        </w:rPr>
        <w:footnoteReference w:id="2"/>
      </w:r>
      <w:r>
        <w:rPr>
          <w:rFonts w:ascii="NimbusRomNo9L" w:hAnsi="NimbusRomNo9L"/>
          <w:sz w:val="20"/>
          <w:szCs w:val="20"/>
        </w:rPr>
        <w:t xml:space="preserve">. The complexity of the M-step is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VK)</m:t>
        </m:r>
      </m:oMath>
      <w:r>
        <w:rPr>
          <w:rFonts w:ascii="NimbusRomNo9L" w:hAnsi="NimbusRomNo9L"/>
          <w:sz w:val="20"/>
          <w:szCs w:val="20"/>
        </w:rPr>
        <w:t>, where V is the total vocabulary in the corpus.</w:t>
      </w:r>
    </w:p>
    <w:p w14:paraId="2EA3F8CA" w14:textId="18790506" w:rsidR="00FC2F79" w:rsidRDefault="0085201A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When applied to customer wire transfer data, we regard </w:t>
      </w:r>
      <w:r>
        <w:rPr>
          <w:rFonts w:ascii="NimbusRomNo9L" w:hAnsi="NimbusRomNo9L"/>
          <w:sz w:val="20"/>
          <w:szCs w:val="20"/>
        </w:rPr>
        <w:t xml:space="preserve">data of each </w:t>
      </w:r>
      <w:r>
        <w:rPr>
          <w:rFonts w:ascii="NimbusRomNo9L" w:hAnsi="NimbusRomNo9L"/>
          <w:sz w:val="20"/>
          <w:szCs w:val="20"/>
        </w:rPr>
        <w:t>customer as</w:t>
      </w:r>
      <w:r>
        <w:rPr>
          <w:rFonts w:ascii="NimbusRomNo9L" w:hAnsi="NimbusRomNo9L"/>
          <w:sz w:val="20"/>
          <w:szCs w:val="20"/>
        </w:rPr>
        <w:t xml:space="preserve"> a</w:t>
      </w:r>
      <w:r>
        <w:rPr>
          <w:rFonts w:ascii="NimbusRomNo9L" w:hAnsi="NimbusRomNo9L"/>
          <w:sz w:val="20"/>
          <w:szCs w:val="20"/>
        </w:rPr>
        <w:t xml:space="preserve"> document and </w:t>
      </w:r>
      <w:r>
        <w:rPr>
          <w:rFonts w:ascii="NimbusRomNo9L" w:hAnsi="NimbusRomNo9L"/>
          <w:sz w:val="20"/>
          <w:szCs w:val="20"/>
        </w:rPr>
        <w:t xml:space="preserve">each </w:t>
      </w:r>
      <w:r>
        <w:rPr>
          <w:rFonts w:ascii="NimbusRomNo9L" w:hAnsi="NimbusRomNo9L"/>
          <w:sz w:val="20"/>
          <w:szCs w:val="20"/>
        </w:rPr>
        <w:t xml:space="preserve">transaction as </w:t>
      </w:r>
      <w:r>
        <w:rPr>
          <w:rFonts w:ascii="NimbusRomNo9L" w:hAnsi="NimbusRomNo9L"/>
          <w:sz w:val="20"/>
          <w:szCs w:val="20"/>
        </w:rPr>
        <w:t xml:space="preserve">a </w:t>
      </w:r>
      <w:r>
        <w:rPr>
          <w:rFonts w:ascii="NimbusRomNo9L" w:hAnsi="NimbusRomNo9L"/>
          <w:sz w:val="20"/>
          <w:szCs w:val="20"/>
        </w:rPr>
        <w:t xml:space="preserve">word, LDA then learns the “topics” of the customers, formed by the type of transactions they make. </w:t>
      </w:r>
      <w:r>
        <w:rPr>
          <w:rFonts w:ascii="NimbusRomNo9L" w:hAnsi="NimbusRomNo9L"/>
          <w:sz w:val="20"/>
          <w:szCs w:val="20"/>
        </w:rPr>
        <w:t>Our c</w:t>
      </w:r>
      <w:r w:rsidR="00FC2F79">
        <w:rPr>
          <w:rFonts w:ascii="NimbusRomNo9L" w:hAnsi="NimbusRomNo9L"/>
          <w:sz w:val="20"/>
          <w:szCs w:val="20"/>
        </w:rPr>
        <w:t>ustomer segmentation experiment</w:t>
      </w:r>
      <w:r>
        <w:rPr>
          <w:rFonts w:ascii="NimbusRomNo9L" w:hAnsi="NimbusRomNo9L"/>
          <w:sz w:val="20"/>
          <w:szCs w:val="20"/>
        </w:rPr>
        <w:t>s are implemented using</w:t>
      </w:r>
      <w:r w:rsidR="00FC2F79">
        <w:rPr>
          <w:rFonts w:ascii="NimbusRomNo9L" w:hAnsi="NimbusRomNo9L"/>
          <w:sz w:val="20"/>
          <w:szCs w:val="20"/>
        </w:rPr>
        <w:t xml:space="preserve"> </w:t>
      </w:r>
      <w:commentRangeStart w:id="1"/>
      <w:r w:rsidR="00FC2F79">
        <w:rPr>
          <w:rFonts w:ascii="NimbusRomNo9L" w:hAnsi="NimbusRomNo9L"/>
          <w:sz w:val="20"/>
          <w:szCs w:val="20"/>
        </w:rPr>
        <w:t>genism LDA</w:t>
      </w:r>
      <w:commentRangeEnd w:id="1"/>
      <w:r w:rsidR="00FC2F79" w:rsidRPr="00FC2F79">
        <w:rPr>
          <w:rFonts w:ascii="NimbusRomNo9L" w:hAnsi="NimbusRomNo9L"/>
          <w:sz w:val="20"/>
          <w:szCs w:val="20"/>
        </w:rPr>
        <w:commentReference w:id="1"/>
      </w:r>
      <w:r>
        <w:rPr>
          <w:rFonts w:ascii="NimbusRomNo9L" w:hAnsi="NimbusRomNo9L"/>
          <w:sz w:val="20"/>
          <w:szCs w:val="20"/>
        </w:rPr>
        <w:t xml:space="preserve"> </w:t>
      </w:r>
      <w:r w:rsidR="00DE397A">
        <w:rPr>
          <w:rFonts w:ascii="NimbusRomNo9L" w:hAnsi="NimbusRomNo9L"/>
          <w:sz w:val="20"/>
          <w:szCs w:val="20"/>
        </w:rPr>
        <w:t>package</w:t>
      </w:r>
      <w:r w:rsidR="00FC2F79">
        <w:rPr>
          <w:rFonts w:ascii="NimbusRomNo9L" w:hAnsi="NimbusRomNo9L"/>
          <w:sz w:val="20"/>
          <w:szCs w:val="20"/>
        </w:rPr>
        <w:t xml:space="preserve"> </w:t>
      </w:r>
      <w:r w:rsidR="00FC2F79" w:rsidRPr="00FC2F79">
        <w:rPr>
          <w:rFonts w:ascii="NimbusRomNo9L" w:hAnsi="NimbusRomNo9L"/>
          <w:sz w:val="20"/>
          <w:szCs w:val="20"/>
        </w:rPr>
        <w:t xml:space="preserve">based on </w:t>
      </w:r>
      <w:r w:rsidR="00FC2F79" w:rsidRPr="00FC2F79">
        <w:rPr>
          <w:rFonts w:ascii="NimbusRomNo9L" w:hAnsi="NimbusRomNo9L"/>
          <w:sz w:val="20"/>
          <w:szCs w:val="20"/>
        </w:rPr>
        <w:lastRenderedPageBreak/>
        <w:t xml:space="preserve">onlineldavb.py script, by Hoffman, </w:t>
      </w:r>
      <w:proofErr w:type="spellStart"/>
      <w:r w:rsidR="00FC2F79" w:rsidRPr="00FC2F79">
        <w:rPr>
          <w:rFonts w:ascii="NimbusRomNo9L" w:hAnsi="NimbusRomNo9L"/>
          <w:sz w:val="20"/>
          <w:szCs w:val="20"/>
        </w:rPr>
        <w:t>Blei</w:t>
      </w:r>
      <w:proofErr w:type="spellEnd"/>
      <w:r w:rsidR="00FC2F79" w:rsidRPr="00FC2F79">
        <w:rPr>
          <w:rFonts w:ascii="NimbusRomNo9L" w:hAnsi="NimbusRomNo9L"/>
          <w:sz w:val="20"/>
          <w:szCs w:val="20"/>
        </w:rPr>
        <w:t>, Bach: Online Learning for Latent Dirichlet Allocation, NIPS 2010</w:t>
      </w:r>
      <w:r w:rsidR="00FC2F79">
        <w:rPr>
          <w:rFonts w:ascii="NimbusRomNo9L" w:hAnsi="NimbusRomNo9L"/>
          <w:sz w:val="20"/>
          <w:szCs w:val="20"/>
        </w:rPr>
        <w:t xml:space="preserve"> has been used. The </w:t>
      </w:r>
      <w:r w:rsidR="00DE397A">
        <w:rPr>
          <w:rFonts w:ascii="NimbusRomNo9L" w:hAnsi="NimbusRomNo9L"/>
          <w:sz w:val="20"/>
          <w:szCs w:val="20"/>
        </w:rPr>
        <w:t xml:space="preserve">package </w:t>
      </w:r>
      <w:r w:rsidR="00FC2F79">
        <w:rPr>
          <w:rFonts w:ascii="NimbusRomNo9L" w:hAnsi="NimbusRomNo9L"/>
          <w:sz w:val="20"/>
          <w:szCs w:val="20"/>
        </w:rPr>
        <w:t>allows for single processer, multicore parallelization as well as online learning modules.</w:t>
      </w:r>
    </w:p>
    <w:p w14:paraId="638C2A7B" w14:textId="77777777" w:rsidR="00FC2F79" w:rsidRPr="00FC2F79" w:rsidRDefault="00FC2F79" w:rsidP="0085201A">
      <w:pPr>
        <w:spacing w:before="100" w:beforeAutospacing="1" w:after="100" w:afterAutospacing="1"/>
        <w:jc w:val="both"/>
        <w:rPr>
          <w:rFonts w:ascii="NimbusRomNo9L" w:eastAsia="Times New Roman" w:hAnsi="NimbusRomNo9L" w:cs="Times New Roman"/>
          <w:sz w:val="20"/>
          <w:szCs w:val="20"/>
          <w:u w:val="single"/>
        </w:rPr>
      </w:pPr>
      <w:r w:rsidRPr="00FC2F79">
        <w:rPr>
          <w:rFonts w:ascii="NimbusRomNo9L" w:eastAsia="Times New Roman" w:hAnsi="NimbusRomNo9L" w:cs="Times New Roman"/>
          <w:sz w:val="20"/>
          <w:szCs w:val="20"/>
          <w:u w:val="single"/>
        </w:rPr>
        <w:t>Reference</w:t>
      </w:r>
    </w:p>
    <w:p w14:paraId="1346AD5E" w14:textId="77777777" w:rsidR="00636C26" w:rsidRPr="00636C26" w:rsidRDefault="00636C26" w:rsidP="0085201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636C26">
        <w:rPr>
          <w:rFonts w:ascii="NimbusRomNo9L" w:eastAsia="Times New Roman" w:hAnsi="NimbusRomNo9L" w:cs="Times New Roman"/>
          <w:sz w:val="20"/>
          <w:szCs w:val="20"/>
        </w:rPr>
        <w:t xml:space="preserve">[2]  D. M. </w:t>
      </w:r>
      <w:proofErr w:type="spellStart"/>
      <w:r w:rsidRPr="00636C26">
        <w:rPr>
          <w:rFonts w:ascii="NimbusRomNo9L" w:eastAsia="Times New Roman" w:hAnsi="NimbusRomNo9L" w:cs="Times New Roman"/>
          <w:sz w:val="20"/>
          <w:szCs w:val="20"/>
        </w:rPr>
        <w:t>Blei</w:t>
      </w:r>
      <w:proofErr w:type="spellEnd"/>
      <w:r w:rsidRPr="00636C26">
        <w:rPr>
          <w:rFonts w:ascii="NimbusRomNo9L" w:eastAsia="Times New Roman" w:hAnsi="NimbusRomNo9L" w:cs="Times New Roman"/>
          <w:sz w:val="20"/>
          <w:szCs w:val="20"/>
        </w:rPr>
        <w:t xml:space="preserve">, A. Y. Ng, and M. I. Jordan. Latent </w:t>
      </w:r>
      <w:proofErr w:type="spellStart"/>
      <w:r w:rsidRPr="00636C26">
        <w:rPr>
          <w:rFonts w:ascii="NimbusRomNo9L" w:eastAsia="Times New Roman" w:hAnsi="NimbusRomNo9L" w:cs="Times New Roman"/>
          <w:sz w:val="20"/>
          <w:szCs w:val="20"/>
        </w:rPr>
        <w:t>dirichlet</w:t>
      </w:r>
      <w:proofErr w:type="spellEnd"/>
      <w:r w:rsidRPr="00636C26">
        <w:rPr>
          <w:rFonts w:ascii="NimbusRomNo9L" w:eastAsia="Times New Roman" w:hAnsi="NimbusRomNo9L" w:cs="Times New Roman"/>
          <w:sz w:val="20"/>
          <w:szCs w:val="20"/>
        </w:rPr>
        <w:t xml:space="preserve"> allocation. </w:t>
      </w:r>
      <w:r w:rsidRPr="00636C26">
        <w:rPr>
          <w:rFonts w:ascii="NimbusRomNo9L" w:eastAsia="Times New Roman" w:hAnsi="NimbusRomNo9L" w:cs="Times New Roman"/>
          <w:i/>
          <w:iCs/>
          <w:sz w:val="20"/>
          <w:szCs w:val="20"/>
        </w:rPr>
        <w:t>J. Mach. Learn. Res.</w:t>
      </w:r>
      <w:r w:rsidRPr="00636C26">
        <w:rPr>
          <w:rFonts w:ascii="NimbusRomNo9L" w:eastAsia="Times New Roman" w:hAnsi="NimbusRomNo9L" w:cs="Times New Roman"/>
          <w:sz w:val="20"/>
          <w:szCs w:val="20"/>
        </w:rPr>
        <w:t xml:space="preserve">, 3:993–1022, Mar. 2003. </w:t>
      </w:r>
    </w:p>
    <w:p w14:paraId="1975AC38" w14:textId="77777777" w:rsidR="00636C26" w:rsidRPr="00636C26" w:rsidRDefault="00636C26" w:rsidP="0085201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636C26">
        <w:rPr>
          <w:rFonts w:ascii="NimbusRomNo9L" w:eastAsia="Times New Roman" w:hAnsi="NimbusRomNo9L" w:cs="Times New Roman"/>
          <w:sz w:val="20"/>
          <w:szCs w:val="20"/>
        </w:rPr>
        <w:t xml:space="preserve">[4]  T. Griffiths and M. </w:t>
      </w:r>
      <w:proofErr w:type="spellStart"/>
      <w:r w:rsidRPr="00636C26">
        <w:rPr>
          <w:rFonts w:ascii="NimbusRomNo9L" w:eastAsia="Times New Roman" w:hAnsi="NimbusRomNo9L" w:cs="Times New Roman"/>
          <w:sz w:val="20"/>
          <w:szCs w:val="20"/>
        </w:rPr>
        <w:t>Steyvers</w:t>
      </w:r>
      <w:proofErr w:type="spellEnd"/>
      <w:r w:rsidRPr="00636C26">
        <w:rPr>
          <w:rFonts w:ascii="NimbusRomNo9L" w:eastAsia="Times New Roman" w:hAnsi="NimbusRomNo9L" w:cs="Times New Roman"/>
          <w:sz w:val="20"/>
          <w:szCs w:val="20"/>
        </w:rPr>
        <w:t xml:space="preserve">. Finding scientific topics. </w:t>
      </w:r>
      <w:r w:rsidRPr="00636C26">
        <w:rPr>
          <w:rFonts w:ascii="NimbusRomNo9L" w:eastAsia="Times New Roman" w:hAnsi="NimbusRomNo9L" w:cs="Times New Roman"/>
          <w:i/>
          <w:iCs/>
          <w:sz w:val="20"/>
          <w:szCs w:val="20"/>
        </w:rPr>
        <w:t>Proceedings of the National Academy of Sciences of the United States of America</w:t>
      </w:r>
      <w:r w:rsidRPr="00636C26">
        <w:rPr>
          <w:rFonts w:ascii="NimbusRomNo9L" w:eastAsia="Times New Roman" w:hAnsi="NimbusRomNo9L" w:cs="Times New Roman"/>
          <w:sz w:val="20"/>
          <w:szCs w:val="20"/>
        </w:rPr>
        <w:t>, 101(</w:t>
      </w:r>
      <w:proofErr w:type="spellStart"/>
      <w:r w:rsidRPr="00636C26">
        <w:rPr>
          <w:rFonts w:ascii="NimbusRomNo9L" w:eastAsia="Times New Roman" w:hAnsi="NimbusRomNo9L" w:cs="Times New Roman"/>
          <w:sz w:val="20"/>
          <w:szCs w:val="20"/>
        </w:rPr>
        <w:t>Suppl</w:t>
      </w:r>
      <w:proofErr w:type="spellEnd"/>
      <w:r w:rsidRPr="00636C26">
        <w:rPr>
          <w:rFonts w:ascii="NimbusRomNo9L" w:eastAsia="Times New Roman" w:hAnsi="NimbusRomNo9L" w:cs="Times New Roman"/>
          <w:sz w:val="20"/>
          <w:szCs w:val="20"/>
        </w:rPr>
        <w:t xml:space="preserve"> 1):5228–5235, 2004. </w:t>
      </w:r>
    </w:p>
    <w:p w14:paraId="525C953E" w14:textId="77777777" w:rsidR="00C83E04" w:rsidRDefault="00CB6DDD" w:rsidP="0085201A">
      <w:pPr>
        <w:jc w:val="both"/>
      </w:pPr>
    </w:p>
    <w:sectPr w:rsidR="00C83E04" w:rsidSect="00DB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iaoyue Wu" w:date="2019-08-24T19:16:00Z" w:initials="XW">
    <w:p w14:paraId="6F51F963" w14:textId="77777777" w:rsidR="00FC2F79" w:rsidRDefault="00FC2F79">
      <w:pPr>
        <w:pStyle w:val="CommentText"/>
      </w:pPr>
      <w:r>
        <w:rPr>
          <w:rStyle w:val="CommentReference"/>
        </w:rPr>
        <w:annotationRef/>
      </w:r>
      <w:r>
        <w:t>Can be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51F9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51F963" w16cid:durableId="210C0B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05BD" w14:textId="77777777" w:rsidR="00CB6DDD" w:rsidRDefault="00CB6DDD" w:rsidP="0085201A">
      <w:r>
        <w:separator/>
      </w:r>
    </w:p>
  </w:endnote>
  <w:endnote w:type="continuationSeparator" w:id="0">
    <w:p w14:paraId="496B4DB3" w14:textId="77777777" w:rsidR="00CB6DDD" w:rsidRDefault="00CB6DDD" w:rsidP="0085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5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63AC3" w14:textId="77777777" w:rsidR="00CB6DDD" w:rsidRDefault="00CB6DDD" w:rsidP="0085201A">
      <w:r>
        <w:separator/>
      </w:r>
    </w:p>
  </w:footnote>
  <w:footnote w:type="continuationSeparator" w:id="0">
    <w:p w14:paraId="5D322BE1" w14:textId="77777777" w:rsidR="00CB6DDD" w:rsidRDefault="00CB6DDD" w:rsidP="0085201A">
      <w:r>
        <w:continuationSeparator/>
      </w:r>
    </w:p>
  </w:footnote>
  <w:footnote w:id="1">
    <w:p w14:paraId="4F7D54C5" w14:textId="1004527F" w:rsidR="0085201A" w:rsidRPr="0085201A" w:rsidRDefault="0085201A" w:rsidP="0085201A">
      <w:pPr>
        <w:pStyle w:val="NormalWeb"/>
        <w:jc w:val="both"/>
        <w:rPr>
          <w:rFonts w:ascii="NimbusRomNo9L" w:hAnsi="NimbusRomNo9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85201A">
        <w:rPr>
          <w:rFonts w:asciiTheme="minorHAnsi" w:eastAsiaTheme="minorEastAsia" w:hAnsiTheme="minorHAnsi" w:cstheme="minorBidi"/>
          <w:sz w:val="20"/>
          <w:szCs w:val="20"/>
        </w:rPr>
        <w:t>ψ is the Digamma function</w:t>
      </w:r>
      <w:r w:rsidRPr="0085201A">
        <w:rPr>
          <w:rFonts w:asciiTheme="minorHAnsi" w:eastAsiaTheme="minorEastAsia" w:hAnsiTheme="minorHAnsi" w:cstheme="minorBidi"/>
          <w:sz w:val="20"/>
          <w:szCs w:val="20"/>
        </w:rPr>
        <w:t xml:space="preserve">. </w:t>
      </w:r>
      <w:r w:rsidRPr="0085201A">
        <w:rPr>
          <w:rFonts w:asciiTheme="minorHAnsi" w:eastAsiaTheme="minorEastAsia" w:hAnsiTheme="minorHAnsi" w:cstheme="minorBidi"/>
          <w:sz w:val="20"/>
          <w:szCs w:val="20"/>
        </w:rPr>
        <w:t xml:space="preserve">φ and γ are the variational parameters as defined </w:t>
      </w:r>
      <w:r w:rsidRPr="0085201A">
        <w:rPr>
          <w:rFonts w:asciiTheme="minorHAnsi" w:eastAsiaTheme="minorEastAsia" w:hAnsiTheme="minorHAnsi" w:cstheme="minorBidi"/>
          <w:sz w:val="20"/>
          <w:szCs w:val="20"/>
        </w:rPr>
        <w:t>previously.</w:t>
      </w:r>
    </w:p>
  </w:footnote>
  <w:footnote w:id="2">
    <w:p w14:paraId="5E63A6C4" w14:textId="21E2F2BB" w:rsidR="0085201A" w:rsidRDefault="0085201A" w:rsidP="008520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Again variational inference provides a tractable lower bound on the log likelihood, which can be maximized with respect to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A35"/>
    <w:multiLevelType w:val="multilevel"/>
    <w:tmpl w:val="A010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26"/>
    <w:rsid w:val="00207697"/>
    <w:rsid w:val="00636C26"/>
    <w:rsid w:val="00777F02"/>
    <w:rsid w:val="0085201A"/>
    <w:rsid w:val="00966D5F"/>
    <w:rsid w:val="00CB6DDD"/>
    <w:rsid w:val="00CE5EEC"/>
    <w:rsid w:val="00DB06D1"/>
    <w:rsid w:val="00DD267E"/>
    <w:rsid w:val="00DE397A"/>
    <w:rsid w:val="00F27108"/>
    <w:rsid w:val="00F4145B"/>
    <w:rsid w:val="00F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C14FE"/>
  <w15:chartTrackingRefBased/>
  <w15:docId w15:val="{814EA589-4D9D-514B-90A9-7D8B1D5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6C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C2F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2F79"/>
  </w:style>
  <w:style w:type="character" w:styleId="CommentReference">
    <w:name w:val="annotation reference"/>
    <w:basedOn w:val="DefaultParagraphFont"/>
    <w:uiPriority w:val="99"/>
    <w:semiHidden/>
    <w:unhideWhenUsed/>
    <w:rsid w:val="00FC2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F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F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79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2F79"/>
    <w:rPr>
      <w:color w:val="808080"/>
    </w:rPr>
  </w:style>
  <w:style w:type="table" w:styleId="TableGrid">
    <w:name w:val="Table Grid"/>
    <w:basedOn w:val="TableNormal"/>
    <w:uiPriority w:val="39"/>
    <w:rsid w:val="00FC2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20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0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0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B76804-09A2-7B46-939E-26AD7268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Xiaoyue Wu</dc:creator>
  <cp:keywords/>
  <dc:description/>
  <cp:lastModifiedBy>Xiaoyue Wu</cp:lastModifiedBy>
  <cp:revision>10</cp:revision>
  <dcterms:created xsi:type="dcterms:W3CDTF">2019-08-24T13:09:00Z</dcterms:created>
  <dcterms:modified xsi:type="dcterms:W3CDTF">2019-08-25T02:57:00Z</dcterms:modified>
</cp:coreProperties>
</file>