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D6A4A"/>
          <w:sz w:val="52"/>
          <w:szCs w:val="52"/>
        </w:rPr>
        <w:t xml:space="preserve">NHIS KNOWLEDGE BASE</w:t>
      </w:r>
    </w:p>
    <w:p>
      <w:pPr>
        <w:spacing w:after="60"/>
        <w:jc w:val="center"/>
      </w:pPr>
      <w:r>
        <w:rPr>
          <w:rFonts w:ascii="Arial" w:cs="Arial" w:eastAsia="Arial" w:hAnsi="Arial"/>
          <w:color w:val="5A5A5A"/>
          <w:sz w:val="32"/>
          <w:szCs w:val="32"/>
        </w:rPr>
        <w:t xml:space="preserve">Benefits Package — Chunked &amp; Tagged</w:t>
      </w:r>
    </w:p>
    <w:p>
      <w:pPr>
        <w:spacing w:after="60"/>
        <w:jc w:val="center"/>
      </w:pPr>
      <w:r>
        <w:rPr>
          <w:rFonts w:ascii="Arial" w:cs="Arial" w:eastAsia="Arial" w:hAnsi="Arial"/>
          <w:color w:val="5A5A5A"/>
          <w:sz w:val="22"/>
          <w:szCs w:val="22"/>
        </w:rPr>
        <w:t xml:space="preserve">Source: nhis.gov.gh/benefits   |   Verified: April 2026</w:t>
      </w:r>
    </w:p>
    <w:p>
      <w:pPr>
        <w:spacing w:after="400"/>
        <w:jc w:val="center"/>
      </w:pPr>
      <w:r>
        <w:rPr>
          <w:rFonts w:ascii="Arial" w:cs="Arial" w:eastAsia="Arial" w:hAnsi="Arial"/>
          <w:color w:val="5A5A5A"/>
          <w:sz w:val="22"/>
          <w:szCs w:val="22"/>
        </w:rPr>
        <w:t xml:space="preserve">Component: NHIS Patient Rights &amp; Entitlement Agent</w:t>
      </w:r>
    </w:p>
    <w:p>
      <w:pPr>
        <w:pBdr>
          <w:bottom w:val="single" w:color="1D6A4A" w:sz="6" w:space="1"/>
        </w:pBdr>
        <w:spacing w:after="80" w:before="80"/>
      </w:pPr>
      <w:r>
        <w:t xml:space="preserve"/>
      </w:r>
    </w:p>
    <w:p>
      <w:pPr>
        <w:spacing w:after="0" w:before="200"/>
      </w:pPr>
      <w:r>
        <w:t xml:space="preserve"/>
      </w:r>
    </w:p>
    <w:p>
      <w:pPr>
        <w:spacing w:after="120"/>
      </w:pPr>
      <w:r>
        <w:rPr>
          <w:rFonts w:ascii="Arial" w:cs="Arial" w:eastAsia="Arial" w:hAnsi="Arial"/>
          <w:b/>
          <w:bCs/>
          <w:color w:val="1D6A4A"/>
          <w:sz w:val="28"/>
          <w:szCs w:val="28"/>
        </w:rPr>
        <w:t xml:space="preserve">What this document is</w:t>
      </w:r>
    </w:p>
    <w:p>
      <w:pPr>
        <w:spacing w:after="120"/>
      </w:pPr>
      <w:r>
        <w:rPr>
          <w:rFonts w:ascii="Arial" w:cs="Arial" w:eastAsia="Arial" w:hAnsi="Arial"/>
          <w:color w:val="1A1A1A"/>
          <w:sz w:val="22"/>
          <w:szCs w:val="22"/>
        </w:rPr>
        <w:t xml:space="preserve">This is the Knowledge Base source document for the NHIS Patient Rights Agent. It takes the raw content from the NHIA benefits page and breaks it into individual 'chunks' — each one labelled with a metadata tag (ID, category, subcategory, source, date). These chunks are what get loaded into the vector database for the agent to search from when a patient asks a question.</w:t>
      </w:r>
    </w:p>
    <w:p>
      <w:pPr>
        <w:spacing w:after="200"/>
      </w:pPr>
      <w:r>
        <w:rPr>
          <w:rFonts w:ascii="Arial" w:cs="Arial" w:eastAsia="Arial" w:hAnsi="Arial"/>
          <w:color w:val="1A1A1A"/>
          <w:sz w:val="22"/>
          <w:szCs w:val="22"/>
        </w:rPr>
        <w:t xml:space="preserve">Each coloured box below is one chunk. The green bar at the top of every chunk contains the metadata tag — copy this exactly when loading into your database.</w:t>
      </w:r>
    </w:p>
    <w:p>
      <w:pPr>
        <w:spacing w:after="80"/>
      </w:pPr>
      <w:r>
        <w:rPr>
          <w:rFonts w:ascii="Arial" w:cs="Arial" w:eastAsia="Arial" w:hAnsi="Arial"/>
          <w:b/>
          <w:bCs/>
          <w:color w:val="1D6A4A"/>
          <w:sz w:val="22"/>
          <w:szCs w:val="22"/>
        </w:rPr>
        <w:t xml:space="preserve">Colour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D6A4A"/>
                <w:sz w:val="20"/>
                <w:szCs w:val="20"/>
              </w:rPr>
              <w:t xml:space="preserve">Green = Coverage (covered services)</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8B1A10"/>
                <w:sz w:val="20"/>
                <w:szCs w:val="20"/>
              </w:rPr>
              <w:t xml:space="preserve">Red = Exclusions (NOT covered)</w:t>
            </w:r>
          </w:p>
        </w:tc>
        <w:tc>
          <w:tcPr>
            <w:tcW w:type="dxa" w:w="234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color w:val="7A4F00"/>
                <w:sz w:val="20"/>
                <w:szCs w:val="20"/>
              </w:rPr>
              <w:t xml:space="preserve">Amber = Notes / caveats</w:t>
            </w:r>
          </w:p>
        </w:tc>
        <w:tc>
          <w:tcPr>
            <w:tcW w:type="dxa" w:w="234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color w:val="0C4A7C"/>
                <w:sz w:val="20"/>
                <w:szCs w:val="20"/>
              </w:rPr>
              <w:t xml:space="preserve">Blue = Contact / escalation</w:t>
            </w:r>
          </w:p>
        </w:tc>
      </w:tr>
    </w:tbl>
    <w:p>
      <w:pPr>
        <w:spacing w:after="0" w:before="240"/>
      </w:pPr>
      <w:r>
        <w:t xml:space="preserve"/>
      </w:r>
    </w:p>
    <w:p>
      <w:pPr>
        <w:pBdr>
          <w:bottom w:val="single" w:color="1D6A4A" w:sz="6" w:space="1"/>
        </w:pBdr>
        <w:spacing w:after="80" w:before="80"/>
      </w:pPr>
      <w:r>
        <w:t xml:space="preserve"/>
      </w:r>
    </w:p>
    <w:p>
      <w:pPr>
        <w:spacing w:after="0" w:before="120"/>
      </w:pPr>
      <w:r>
        <w:t xml:space="preserve"/>
      </w:r>
    </w:p>
    <w:p>
      <w:pPr>
        <w:pBdr>
          <w:bottom w:val="single" w:color="1D6A4A" w:sz="6" w:space="1"/>
        </w:pBdr>
        <w:shd w:fill="1D6A4A" w:val="clear"/>
        <w:spacing w:after="160" w:before="300"/>
        <w:ind w:left="200" w:right="200"/>
      </w:pPr>
      <w:r>
        <w:rPr>
          <w:rFonts w:ascii="Arial" w:cs="Arial" w:eastAsia="Arial" w:hAnsi="Arial"/>
          <w:b/>
          <w:bCs/>
          <w:color w:val="FFFFFF"/>
          <w:sz w:val="28"/>
          <w:szCs w:val="28"/>
        </w:rPr>
        <w:t xml:space="preserve">SECTION 1 — OUTPATIENT SERVICES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A" w:sz="4"/>
              <w:left w:val="single" w:color="1D6A4A" w:sz="12"/>
              <w:bottom w:val="none" w:color="FFFFFF" w:sz="0"/>
              <w:right w:val="single" w:color="1D6A4A" w:sz="4"/>
            </w:tcBorders>
            <w:shd w:fill="1D6A4A" w:val="clear"/>
            <w:tcMar>
              <w:top w:type="dxa" w:w="60"/>
              <w:left w:type="dxa" w:w="140"/>
              <w:bottom w:type="dxa" w:w="60"/>
              <w:right w:type="dxa" w:w="140"/>
            </w:tcMar>
          </w:tcPr>
          <w:p>
            <w:r>
              <w:rPr>
                <w:rFonts w:ascii="Arial" w:cs="Arial" w:eastAsia="Arial" w:hAnsi="Arial"/>
                <w:b/>
                <w:bCs/>
                <w:color w:val="FFFFFF"/>
                <w:sz w:val="18"/>
                <w:szCs w:val="18"/>
              </w:rPr>
              <w:t xml:space="preserve">ID: coverage_opd_001   </w:t>
            </w:r>
            <w:r>
              <w:rPr>
                <w:rFonts w:ascii="Arial" w:cs="Arial" w:eastAsia="Arial" w:hAnsi="Arial"/>
                <w:color w:val="FFFFFF"/>
                <w:sz w:val="18"/>
                <w:szCs w:val="18"/>
              </w:rPr>
              <w:t xml:space="preserve">[category: coverage]  </w:t>
            </w:r>
            <w:r>
              <w:rPr>
                <w:rFonts w:ascii="Arial" w:cs="Arial" w:eastAsia="Arial" w:hAnsi="Arial"/>
                <w:color w:val="FFFFFF"/>
                <w:sz w:val="18"/>
                <w:szCs w:val="18"/>
              </w:rPr>
              <w:t xml:space="preserve">[subcategory: outpatient:general]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1D6A4A" w:sz="12"/>
              <w:bottom w:val="none" w:color="FFFFFF" w:sz="0"/>
              <w:right w:val="single" w:color="1D6A4A" w:sz="4"/>
            </w:tcBorders>
            <w:shd w:fill="E8F5EE" w:val="clear"/>
            <w:tcMar>
              <w:top w:type="dxa" w:w="80"/>
              <w:left w:type="dxa" w:w="140"/>
              <w:bottom w:type="dxa" w:w="40"/>
              <w:right w:type="dxa" w:w="140"/>
            </w:tcMar>
          </w:tcPr>
          <w:p>
            <w:r>
              <w:rPr>
                <w:rFonts w:ascii="Arial" w:cs="Arial" w:eastAsia="Arial" w:hAnsi="Arial"/>
                <w:b/>
                <w:bCs/>
                <w:color w:val="1D6A4A"/>
                <w:sz w:val="24"/>
                <w:szCs w:val="24"/>
              </w:rPr>
              <w:t xml:space="preserve">General outpatient conditions covered</w:t>
            </w:r>
          </w:p>
        </w:tc>
      </w:tr>
      <w:tr>
        <w:tc>
          <w:tcPr>
            <w:tcW w:type="dxa" w:w="9360"/>
            <w:tcBorders>
              <w:top w:val="none" w:color="FFFFFF" w:sz="0"/>
              <w:left w:val="single" w:color="1D6A4A" w:sz="12"/>
              <w:bottom w:val="single" w:color="1D6A4A" w:sz="4"/>
              <w:right w:val="single" w:color="1D6A4A" w:sz="4"/>
            </w:tcBorders>
            <w:shd w:fill="E8F5EE" w:val="clear"/>
            <w:tcMar>
              <w:top w:type="dxa" w:w="40"/>
              <w:left w:type="dxa" w:w="140"/>
              <w:bottom w:type="dxa" w:w="120"/>
              <w:right w:type="dxa" w:w="140"/>
            </w:tcMar>
          </w:tcPr>
          <w:p>
            <w:pPr>
              <w:spacing w:after="80"/>
            </w:pPr>
            <w:r>
              <w:rPr>
                <w:rFonts w:ascii="Arial" w:cs="Arial" w:eastAsia="Arial" w:hAnsi="Arial"/>
                <w:color w:val="1A1A1A"/>
                <w:sz w:val="22"/>
                <w:szCs w:val="22"/>
              </w:rPr>
              <w:t xml:space="preserve">NHIS covers consultations (including specialist reviews) and treatment for the following conditions at outpatient facilities:</w:t>
            </w:r>
          </w:p>
          <w:p>
            <w:pPr>
              <w:pStyle w:val="ListParagraph"/>
              <w:numPr>
                <w:ilvl w:val="0"/>
                <w:numId w:val="2"/>
              </w:numPr>
            </w:pPr>
            <w:r>
              <w:rPr>
                <w:rFonts w:ascii="Arial" w:cs="Arial" w:eastAsia="Arial" w:hAnsi="Arial"/>
                <w:color w:val="1A1A1A"/>
                <w:sz w:val="22"/>
                <w:szCs w:val="22"/>
              </w:rPr>
              <w:t xml:space="preserve">Malaria</w:t>
            </w:r>
          </w:p>
          <w:p>
            <w:pPr>
              <w:pStyle w:val="ListParagraph"/>
              <w:numPr>
                <w:ilvl w:val="0"/>
                <w:numId w:val="2"/>
              </w:numPr>
            </w:pPr>
            <w:r>
              <w:rPr>
                <w:rFonts w:ascii="Arial" w:cs="Arial" w:eastAsia="Arial" w:hAnsi="Arial"/>
                <w:color w:val="1A1A1A"/>
                <w:sz w:val="22"/>
                <w:szCs w:val="22"/>
              </w:rPr>
              <w:t xml:space="preserve">Acute respiratory tract infection</w:t>
            </w:r>
          </w:p>
          <w:p>
            <w:pPr>
              <w:pStyle w:val="ListParagraph"/>
              <w:numPr>
                <w:ilvl w:val="0"/>
                <w:numId w:val="2"/>
              </w:numPr>
            </w:pPr>
            <w:r>
              <w:rPr>
                <w:rFonts w:ascii="Arial" w:cs="Arial" w:eastAsia="Arial" w:hAnsi="Arial"/>
                <w:color w:val="1A1A1A"/>
                <w:sz w:val="22"/>
                <w:szCs w:val="22"/>
              </w:rPr>
              <w:t xml:space="preserve">Diarrhoeal disease</w:t>
            </w:r>
          </w:p>
          <w:p>
            <w:pPr>
              <w:pStyle w:val="ListParagraph"/>
              <w:numPr>
                <w:ilvl w:val="0"/>
                <w:numId w:val="2"/>
              </w:numPr>
            </w:pPr>
            <w:r>
              <w:rPr>
                <w:rFonts w:ascii="Arial" w:cs="Arial" w:eastAsia="Arial" w:hAnsi="Arial"/>
                <w:color w:val="1A1A1A"/>
                <w:sz w:val="22"/>
                <w:szCs w:val="22"/>
              </w:rPr>
              <w:t xml:space="preserve">Skin diseases and ulcers</w:t>
            </w:r>
          </w:p>
          <w:p>
            <w:pPr>
              <w:pStyle w:val="ListParagraph"/>
              <w:numPr>
                <w:ilvl w:val="0"/>
                <w:numId w:val="2"/>
              </w:numPr>
            </w:pPr>
            <w:r>
              <w:rPr>
                <w:rFonts w:ascii="Arial" w:cs="Arial" w:eastAsia="Arial" w:hAnsi="Arial"/>
                <w:color w:val="1A1A1A"/>
                <w:sz w:val="22"/>
                <w:szCs w:val="22"/>
              </w:rPr>
              <w:t xml:space="preserve">Hypertension</w:t>
            </w:r>
          </w:p>
          <w:p>
            <w:pPr>
              <w:pStyle w:val="ListParagraph"/>
              <w:numPr>
                <w:ilvl w:val="0"/>
                <w:numId w:val="2"/>
              </w:numPr>
            </w:pPr>
            <w:r>
              <w:rPr>
                <w:rFonts w:ascii="Arial" w:cs="Arial" w:eastAsia="Arial" w:hAnsi="Arial"/>
                <w:color w:val="1A1A1A"/>
                <w:sz w:val="22"/>
                <w:szCs w:val="22"/>
              </w:rPr>
              <w:t xml:space="preserve">Acute eye infections</w:t>
            </w:r>
          </w:p>
          <w:p>
            <w:pPr>
              <w:pStyle w:val="ListParagraph"/>
              <w:numPr>
                <w:ilvl w:val="0"/>
                <w:numId w:val="2"/>
              </w:numPr>
            </w:pPr>
            <w:r>
              <w:rPr>
                <w:rFonts w:ascii="Arial" w:cs="Arial" w:eastAsia="Arial" w:hAnsi="Arial"/>
                <w:color w:val="1A1A1A"/>
                <w:sz w:val="22"/>
                <w:szCs w:val="22"/>
              </w:rPr>
              <w:t xml:space="preserve">Rheumatism</w:t>
            </w:r>
          </w:p>
          <w:p>
            <w:pPr>
              <w:pStyle w:val="ListParagraph"/>
              <w:numPr>
                <w:ilvl w:val="0"/>
                <w:numId w:val="2"/>
              </w:numPr>
            </w:pPr>
            <w:r>
              <w:rPr>
                <w:rFonts w:ascii="Arial" w:cs="Arial" w:eastAsia="Arial" w:hAnsi="Arial"/>
                <w:color w:val="1A1A1A"/>
                <w:sz w:val="22"/>
                <w:szCs w:val="22"/>
              </w:rPr>
              <w:t xml:space="preserve">Anaemia</w:t>
            </w:r>
          </w:p>
          <w:p>
            <w:pPr>
              <w:pStyle w:val="ListParagraph"/>
              <w:numPr>
                <w:ilvl w:val="0"/>
                <w:numId w:val="2"/>
              </w:numPr>
            </w:pPr>
            <w:r>
              <w:rPr>
                <w:rFonts w:ascii="Arial" w:cs="Arial" w:eastAsia="Arial" w:hAnsi="Arial"/>
                <w:color w:val="1A1A1A"/>
                <w:sz w:val="22"/>
                <w:szCs w:val="22"/>
              </w:rPr>
              <w:t xml:space="preserve">Intestinal worm disorders</w:t>
            </w:r>
          </w:p>
          <w:p>
            <w:pPr>
              <w:pStyle w:val="ListParagraph"/>
              <w:numPr>
                <w:ilvl w:val="0"/>
                <w:numId w:val="2"/>
              </w:numPr>
            </w:pPr>
            <w:r>
              <w:rPr>
                <w:rFonts w:ascii="Arial" w:cs="Arial" w:eastAsia="Arial" w:hAnsi="Arial"/>
                <w:color w:val="1A1A1A"/>
                <w:sz w:val="22"/>
                <w:szCs w:val="22"/>
              </w:rPr>
              <w:t xml:space="preserve">Acute ear infections</w:t>
            </w:r>
          </w:p>
          <w:p>
            <w:pPr>
              <w:pStyle w:val="ListParagraph"/>
              <w:numPr>
                <w:ilvl w:val="0"/>
                <w:numId w:val="2"/>
              </w:numPr>
            </w:pPr>
            <w:r>
              <w:rPr>
                <w:rFonts w:ascii="Arial" w:cs="Arial" w:eastAsia="Arial" w:hAnsi="Arial"/>
                <w:color w:val="1A1A1A"/>
                <w:sz w:val="22"/>
                <w:szCs w:val="22"/>
              </w:rPr>
              <w:t xml:space="preserve">Typhoid fever</w:t>
            </w:r>
          </w:p>
          <w:p>
            <w:pPr>
              <w:pStyle w:val="ListParagraph"/>
              <w:numPr>
                <w:ilvl w:val="0"/>
                <w:numId w:val="2"/>
              </w:numPr>
            </w:pPr>
            <w:r>
              <w:rPr>
                <w:rFonts w:ascii="Arial" w:cs="Arial" w:eastAsia="Arial" w:hAnsi="Arial"/>
                <w:color w:val="1A1A1A"/>
                <w:sz w:val="22"/>
                <w:szCs w:val="22"/>
              </w:rPr>
              <w:t xml:space="preserve">Dental caries</w:t>
            </w:r>
          </w:p>
          <w:p>
            <w:pPr>
              <w:pStyle w:val="ListParagraph"/>
              <w:numPr>
                <w:ilvl w:val="0"/>
                <w:numId w:val="2"/>
              </w:numPr>
            </w:pPr>
            <w:r>
              <w:rPr>
                <w:rFonts w:ascii="Arial" w:cs="Arial" w:eastAsia="Arial" w:hAnsi="Arial"/>
                <w:color w:val="1A1A1A"/>
                <w:sz w:val="22"/>
                <w:szCs w:val="22"/>
              </w:rPr>
              <w:t xml:space="preserve">Diabetes mellitus</w:t>
            </w:r>
          </w:p>
          <w:p>
            <w:pPr>
              <w:pStyle w:val="ListParagraph"/>
              <w:numPr>
                <w:ilvl w:val="0"/>
                <w:numId w:val="2"/>
              </w:numPr>
            </w:pPr>
            <w:r>
              <w:rPr>
                <w:rFonts w:ascii="Arial" w:cs="Arial" w:eastAsia="Arial" w:hAnsi="Arial"/>
                <w:color w:val="1A1A1A"/>
                <w:sz w:val="22"/>
                <w:szCs w:val="22"/>
              </w:rPr>
              <w:t xml:space="preserve">Sexually transmitted infections (STIs)</w:t>
            </w:r>
          </w:p>
          <w:p>
            <w:pPr>
              <w:pStyle w:val="ListParagraph"/>
              <w:numPr>
                <w:ilvl w:val="0"/>
                <w:numId w:val="2"/>
              </w:numPr>
            </w:pPr>
            <w:r>
              <w:rPr>
                <w:rFonts w:ascii="Arial" w:cs="Arial" w:eastAsia="Arial" w:hAnsi="Arial"/>
                <w:color w:val="1A1A1A"/>
                <w:sz w:val="22"/>
                <w:szCs w:val="22"/>
              </w:rPr>
              <w:t xml:space="preserve">Asthma</w:t>
            </w:r>
          </w:p>
          <w:p>
            <w:pPr>
              <w:pStyle w:val="ListParagraph"/>
              <w:numPr>
                <w:ilvl w:val="0"/>
                <w:numId w:val="2"/>
              </w:numPr>
            </w:pPr>
            <w:r>
              <w:rPr>
                <w:rFonts w:ascii="Arial" w:cs="Arial" w:eastAsia="Arial" w:hAnsi="Arial"/>
                <w:color w:val="1A1A1A"/>
                <w:sz w:val="22"/>
                <w:szCs w:val="22"/>
              </w:rPr>
              <w:t xml:space="preserve">Other general and specialist conditions approved by the Minister of Health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A" w:sz="4"/>
              <w:left w:val="single" w:color="1D6A4A" w:sz="12"/>
              <w:bottom w:val="none" w:color="FFFFFF" w:sz="0"/>
              <w:right w:val="single" w:color="1D6A4A" w:sz="4"/>
            </w:tcBorders>
            <w:shd w:fill="1D6A4A" w:val="clear"/>
            <w:tcMar>
              <w:top w:type="dxa" w:w="60"/>
              <w:left w:type="dxa" w:w="140"/>
              <w:bottom w:type="dxa" w:w="60"/>
              <w:right w:type="dxa" w:w="140"/>
            </w:tcMar>
          </w:tcPr>
          <w:p>
            <w:r>
              <w:rPr>
                <w:rFonts w:ascii="Arial" w:cs="Arial" w:eastAsia="Arial" w:hAnsi="Arial"/>
                <w:b/>
                <w:bCs/>
                <w:color w:val="FFFFFF"/>
                <w:sz w:val="18"/>
                <w:szCs w:val="18"/>
              </w:rPr>
              <w:t xml:space="preserve">ID: coverage_opd_002   </w:t>
            </w:r>
            <w:r>
              <w:rPr>
                <w:rFonts w:ascii="Arial" w:cs="Arial" w:eastAsia="Arial" w:hAnsi="Arial"/>
                <w:color w:val="FFFFFF"/>
                <w:sz w:val="18"/>
                <w:szCs w:val="18"/>
              </w:rPr>
              <w:t xml:space="preserve">[category: coverage]  </w:t>
            </w:r>
            <w:r>
              <w:rPr>
                <w:rFonts w:ascii="Arial" w:cs="Arial" w:eastAsia="Arial" w:hAnsi="Arial"/>
                <w:color w:val="FFFFFF"/>
                <w:sz w:val="18"/>
                <w:szCs w:val="18"/>
              </w:rPr>
              <w:t xml:space="preserve">[subcategory: outpatient:investigations]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1D6A4A" w:sz="12"/>
              <w:bottom w:val="none" w:color="FFFFFF" w:sz="0"/>
              <w:right w:val="single" w:color="1D6A4A" w:sz="4"/>
            </w:tcBorders>
            <w:shd w:fill="E8F5EE" w:val="clear"/>
            <w:tcMar>
              <w:top w:type="dxa" w:w="80"/>
              <w:left w:type="dxa" w:w="140"/>
              <w:bottom w:type="dxa" w:w="40"/>
              <w:right w:type="dxa" w:w="140"/>
            </w:tcMar>
          </w:tcPr>
          <w:p>
            <w:r>
              <w:rPr>
                <w:rFonts w:ascii="Arial" w:cs="Arial" w:eastAsia="Arial" w:hAnsi="Arial"/>
                <w:b/>
                <w:bCs/>
                <w:color w:val="1D6A4A"/>
                <w:sz w:val="24"/>
                <w:szCs w:val="24"/>
              </w:rPr>
              <w:t xml:space="preserve">Outpatient investigations and diagnostics</w:t>
            </w:r>
          </w:p>
        </w:tc>
      </w:tr>
      <w:tr>
        <w:tc>
          <w:tcPr>
            <w:tcW w:type="dxa" w:w="9360"/>
            <w:tcBorders>
              <w:top w:val="none" w:color="FFFFFF" w:sz="0"/>
              <w:left w:val="single" w:color="1D6A4A" w:sz="12"/>
              <w:bottom w:val="single" w:color="1D6A4A" w:sz="4"/>
              <w:right w:val="single" w:color="1D6A4A" w:sz="4"/>
            </w:tcBorders>
            <w:shd w:fill="E8F5EE" w:val="clear"/>
            <w:tcMar>
              <w:top w:type="dxa" w:w="40"/>
              <w:left w:type="dxa" w:w="140"/>
              <w:bottom w:type="dxa" w:w="120"/>
              <w:right w:type="dxa" w:w="140"/>
            </w:tcMar>
          </w:tcPr>
          <w:p>
            <w:pPr>
              <w:spacing w:after="80"/>
            </w:pPr>
            <w:r>
              <w:rPr>
                <w:rFonts w:ascii="Arial" w:cs="Arial" w:eastAsia="Arial" w:hAnsi="Arial"/>
                <w:color w:val="1A1A1A"/>
                <w:sz w:val="22"/>
                <w:szCs w:val="22"/>
              </w:rPr>
              <w:t xml:space="preserve">The following diagnostic services are covered under NHIS for outpatient and specialist visits at accredited facilities. No co-payment is required for these.</w:t>
            </w:r>
          </w:p>
          <w:p>
            <w:pPr>
              <w:pStyle w:val="ListParagraph"/>
              <w:numPr>
                <w:ilvl w:val="0"/>
                <w:numId w:val="2"/>
              </w:numPr>
            </w:pPr>
            <w:r>
              <w:rPr>
                <w:rFonts w:ascii="Arial" w:cs="Arial" w:eastAsia="Arial" w:hAnsi="Arial"/>
                <w:color w:val="1A1A1A"/>
                <w:sz w:val="22"/>
                <w:szCs w:val="22"/>
              </w:rPr>
              <w:t xml:space="preserve">Laboratory investigations (blood tests, urine tests, etc.)</w:t>
            </w:r>
          </w:p>
          <w:p>
            <w:pPr>
              <w:pStyle w:val="ListParagraph"/>
              <w:numPr>
                <w:ilvl w:val="0"/>
                <w:numId w:val="2"/>
              </w:numPr>
            </w:pPr>
            <w:r>
              <w:rPr>
                <w:rFonts w:ascii="Arial" w:cs="Arial" w:eastAsia="Arial" w:hAnsi="Arial"/>
                <w:color w:val="1A1A1A"/>
                <w:sz w:val="22"/>
                <w:szCs w:val="22"/>
              </w:rPr>
              <w:t xml:space="preserve">X-rays</w:t>
            </w:r>
          </w:p>
          <w:p>
            <w:pPr>
              <w:pStyle w:val="ListParagraph"/>
              <w:numPr>
                <w:ilvl w:val="0"/>
                <w:numId w:val="2"/>
              </w:numPr>
            </w:pPr>
            <w:r>
              <w:rPr>
                <w:rFonts w:ascii="Arial" w:cs="Arial" w:eastAsia="Arial" w:hAnsi="Arial"/>
                <w:color w:val="1A1A1A"/>
                <w:sz w:val="22"/>
                <w:szCs w:val="22"/>
              </w:rPr>
              <w:t xml:space="preserve">Ultrasound scans (for general and specialist outpatient care)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A" w:sz="4"/>
              <w:left w:val="single" w:color="1D6A4A" w:sz="12"/>
              <w:bottom w:val="none" w:color="FFFFFF" w:sz="0"/>
              <w:right w:val="single" w:color="1D6A4A" w:sz="4"/>
            </w:tcBorders>
            <w:shd w:fill="1D6A4A" w:val="clear"/>
            <w:tcMar>
              <w:top w:type="dxa" w:w="60"/>
              <w:left w:type="dxa" w:w="140"/>
              <w:bottom w:type="dxa" w:w="60"/>
              <w:right w:type="dxa" w:w="140"/>
            </w:tcMar>
          </w:tcPr>
          <w:p>
            <w:r>
              <w:rPr>
                <w:rFonts w:ascii="Arial" w:cs="Arial" w:eastAsia="Arial" w:hAnsi="Arial"/>
                <w:b/>
                <w:bCs/>
                <w:color w:val="FFFFFF"/>
                <w:sz w:val="18"/>
                <w:szCs w:val="18"/>
              </w:rPr>
              <w:t xml:space="preserve">ID: coverage_opd_003   </w:t>
            </w:r>
            <w:r>
              <w:rPr>
                <w:rFonts w:ascii="Arial" w:cs="Arial" w:eastAsia="Arial" w:hAnsi="Arial"/>
                <w:color w:val="FFFFFF"/>
                <w:sz w:val="18"/>
                <w:szCs w:val="18"/>
              </w:rPr>
              <w:t xml:space="preserve">[category: coverage]  </w:t>
            </w:r>
            <w:r>
              <w:rPr>
                <w:rFonts w:ascii="Arial" w:cs="Arial" w:eastAsia="Arial" w:hAnsi="Arial"/>
                <w:color w:val="FFFFFF"/>
                <w:sz w:val="18"/>
                <w:szCs w:val="18"/>
              </w:rPr>
              <w:t xml:space="preserve">[subcategory: outpatient:surgical]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1D6A4A" w:sz="12"/>
              <w:bottom w:val="none" w:color="FFFFFF" w:sz="0"/>
              <w:right w:val="single" w:color="1D6A4A" w:sz="4"/>
            </w:tcBorders>
            <w:shd w:fill="E8F5EE" w:val="clear"/>
            <w:tcMar>
              <w:top w:type="dxa" w:w="80"/>
              <w:left w:type="dxa" w:w="140"/>
              <w:bottom w:type="dxa" w:w="40"/>
              <w:right w:type="dxa" w:w="140"/>
            </w:tcMar>
          </w:tcPr>
          <w:p>
            <w:r>
              <w:rPr>
                <w:rFonts w:ascii="Arial" w:cs="Arial" w:eastAsia="Arial" w:hAnsi="Arial"/>
                <w:b/>
                <w:bCs/>
                <w:color w:val="1D6A4A"/>
                <w:sz w:val="24"/>
                <w:szCs w:val="24"/>
              </w:rPr>
              <w:t xml:space="preserve">Outpatient and day surgical operations</w:t>
            </w:r>
          </w:p>
        </w:tc>
      </w:tr>
      <w:tr>
        <w:tc>
          <w:tcPr>
            <w:tcW w:type="dxa" w:w="9360"/>
            <w:tcBorders>
              <w:top w:val="none" w:color="FFFFFF" w:sz="0"/>
              <w:left w:val="single" w:color="1D6A4A" w:sz="12"/>
              <w:bottom w:val="single" w:color="1D6A4A" w:sz="4"/>
              <w:right w:val="single" w:color="1D6A4A" w:sz="4"/>
            </w:tcBorders>
            <w:shd w:fill="E8F5EE" w:val="clear"/>
            <w:tcMar>
              <w:top w:type="dxa" w:w="40"/>
              <w:left w:type="dxa" w:w="140"/>
              <w:bottom w:type="dxa" w:w="120"/>
              <w:right w:type="dxa" w:w="140"/>
            </w:tcMar>
          </w:tcPr>
          <w:p>
            <w:pPr>
              <w:spacing w:after="80"/>
            </w:pPr>
            <w:r>
              <w:rPr>
                <w:rFonts w:ascii="Arial" w:cs="Arial" w:eastAsia="Arial" w:hAnsi="Arial"/>
                <w:color w:val="1A1A1A"/>
                <w:sz w:val="22"/>
                <w:szCs w:val="22"/>
              </w:rPr>
              <w:t xml:space="preserve">The following surgical procedures can be performed on an outpatient or day-case basis and are fully covered under NHIS:</w:t>
            </w:r>
          </w:p>
          <w:p>
            <w:pPr>
              <w:pStyle w:val="ListParagraph"/>
              <w:numPr>
                <w:ilvl w:val="0"/>
                <w:numId w:val="2"/>
              </w:numPr>
            </w:pPr>
            <w:r>
              <w:rPr>
                <w:rFonts w:ascii="Arial" w:cs="Arial" w:eastAsia="Arial" w:hAnsi="Arial"/>
                <w:color w:val="1A1A1A"/>
                <w:sz w:val="22"/>
                <w:szCs w:val="22"/>
              </w:rPr>
              <w:t xml:space="preserve">Hernia repairs</w:t>
            </w:r>
          </w:p>
          <w:p>
            <w:pPr>
              <w:pStyle w:val="ListParagraph"/>
              <w:numPr>
                <w:ilvl w:val="0"/>
                <w:numId w:val="2"/>
              </w:numPr>
            </w:pPr>
            <w:r>
              <w:rPr>
                <w:rFonts w:ascii="Arial" w:cs="Arial" w:eastAsia="Arial" w:hAnsi="Arial"/>
                <w:color w:val="1A1A1A"/>
                <w:sz w:val="22"/>
                <w:szCs w:val="22"/>
              </w:rPr>
              <w:t xml:space="preserve">Incision and drainage of abscesses</w:t>
            </w:r>
          </w:p>
          <w:p>
            <w:pPr>
              <w:pStyle w:val="ListParagraph"/>
              <w:numPr>
                <w:ilvl w:val="0"/>
                <w:numId w:val="2"/>
              </w:numPr>
            </w:pPr>
            <w:r>
              <w:rPr>
                <w:rFonts w:ascii="Arial" w:cs="Arial" w:eastAsia="Arial" w:hAnsi="Arial"/>
                <w:color w:val="1A1A1A"/>
                <w:sz w:val="22"/>
                <w:szCs w:val="22"/>
              </w:rPr>
              <w:t xml:space="preserve">Excision of lumps</w:t>
            </w:r>
          </w:p>
          <w:p>
            <w:pPr>
              <w:pStyle w:val="ListParagraph"/>
              <w:numPr>
                <w:ilvl w:val="0"/>
                <w:numId w:val="2"/>
              </w:numPr>
            </w:pPr>
            <w:r>
              <w:rPr>
                <w:rFonts w:ascii="Arial" w:cs="Arial" w:eastAsia="Arial" w:hAnsi="Arial"/>
                <w:color w:val="1A1A1A"/>
                <w:sz w:val="22"/>
                <w:szCs w:val="22"/>
              </w:rPr>
              <w:t xml:space="preserve">Haemorrhoidectomy (surgical removal of haemorrhoids)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A" w:sz="4"/>
              <w:left w:val="single" w:color="1D6A4A" w:sz="12"/>
              <w:bottom w:val="none" w:color="FFFFFF" w:sz="0"/>
              <w:right w:val="single" w:color="1D6A4A" w:sz="4"/>
            </w:tcBorders>
            <w:shd w:fill="1D6A4A" w:val="clear"/>
            <w:tcMar>
              <w:top w:type="dxa" w:w="60"/>
              <w:left w:type="dxa" w:w="140"/>
              <w:bottom w:type="dxa" w:w="60"/>
              <w:right w:type="dxa" w:w="140"/>
            </w:tcMar>
          </w:tcPr>
          <w:p>
            <w:r>
              <w:rPr>
                <w:rFonts w:ascii="Arial" w:cs="Arial" w:eastAsia="Arial" w:hAnsi="Arial"/>
                <w:b/>
                <w:bCs/>
                <w:color w:val="FFFFFF"/>
                <w:sz w:val="18"/>
                <w:szCs w:val="18"/>
              </w:rPr>
              <w:t xml:space="preserve">ID: coverage_opd_004   </w:t>
            </w:r>
            <w:r>
              <w:rPr>
                <w:rFonts w:ascii="Arial" w:cs="Arial" w:eastAsia="Arial" w:hAnsi="Arial"/>
                <w:color w:val="FFFFFF"/>
                <w:sz w:val="18"/>
                <w:szCs w:val="18"/>
              </w:rPr>
              <w:t xml:space="preserve">[category: coverage]  </w:t>
            </w:r>
            <w:r>
              <w:rPr>
                <w:rFonts w:ascii="Arial" w:cs="Arial" w:eastAsia="Arial" w:hAnsi="Arial"/>
                <w:color w:val="FFFFFF"/>
                <w:sz w:val="18"/>
                <w:szCs w:val="18"/>
              </w:rPr>
              <w:t xml:space="preserve">[subcategory: outpatient:hiv]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1D6A4A" w:sz="12"/>
              <w:bottom w:val="none" w:color="FFFFFF" w:sz="0"/>
              <w:right w:val="single" w:color="1D6A4A" w:sz="4"/>
            </w:tcBorders>
            <w:shd w:fill="E8F5EE" w:val="clear"/>
            <w:tcMar>
              <w:top w:type="dxa" w:w="80"/>
              <w:left w:type="dxa" w:w="140"/>
              <w:bottom w:type="dxa" w:w="40"/>
              <w:right w:type="dxa" w:w="140"/>
            </w:tcMar>
          </w:tcPr>
          <w:p>
            <w:r>
              <w:rPr>
                <w:rFonts w:ascii="Arial" w:cs="Arial" w:eastAsia="Arial" w:hAnsi="Arial"/>
                <w:b/>
                <w:bCs/>
                <w:color w:val="1D6A4A"/>
                <w:sz w:val="24"/>
                <w:szCs w:val="24"/>
              </w:rPr>
              <w:t xml:space="preserve">HIV/AIDS — symptomatic outpatient treatment</w:t>
            </w:r>
          </w:p>
        </w:tc>
      </w:tr>
      <w:tr>
        <w:tc>
          <w:tcPr>
            <w:tcW w:type="dxa" w:w="9360"/>
            <w:tcBorders>
              <w:top w:val="none" w:color="FFFFFF" w:sz="0"/>
              <w:left w:val="single" w:color="1D6A4A" w:sz="12"/>
              <w:bottom w:val="single" w:color="1D6A4A" w:sz="4"/>
              <w:right w:val="single" w:color="1D6A4A" w:sz="4"/>
            </w:tcBorders>
            <w:shd w:fill="E8F5EE" w:val="clear"/>
            <w:tcMar>
              <w:top w:type="dxa" w:w="40"/>
              <w:left w:type="dxa" w:w="140"/>
              <w:bottom w:type="dxa" w:w="120"/>
              <w:right w:type="dxa" w:w="140"/>
            </w:tcMar>
          </w:tcPr>
          <w:p>
            <w:pPr>
              <w:spacing w:after="0"/>
            </w:pPr>
            <w:r>
              <w:rPr>
                <w:rFonts w:ascii="Arial" w:cs="Arial" w:eastAsia="Arial" w:hAnsi="Arial"/>
                <w:color w:val="1A1A1A"/>
                <w:sz w:val="22"/>
                <w:szCs w:val="22"/>
              </w:rPr>
              <w:t xml:space="preserve">NHIS covers HIV/AIDS symptomatic treatment for opportunistic infections at the outpatient level. This means treatment for the infections that arise because of HIV is covered. IMPORTANT: HIV antiretroviral (ARV) medicines themselves are NOT on the NHIS medicines list and are not covered — they are provided through the separate National AIDS Programme. Do not confuse symptomatic treatment of opportunistic infections with ARV coverage.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A" w:sz="4"/>
              <w:left w:val="single" w:color="1D6A4A" w:sz="12"/>
              <w:bottom w:val="none" w:color="FFFFFF" w:sz="0"/>
              <w:right w:val="single" w:color="1D6A4A" w:sz="4"/>
            </w:tcBorders>
            <w:shd w:fill="1D6A4A" w:val="clear"/>
            <w:tcMar>
              <w:top w:type="dxa" w:w="60"/>
              <w:left w:type="dxa" w:w="140"/>
              <w:bottom w:type="dxa" w:w="60"/>
              <w:right w:type="dxa" w:w="140"/>
            </w:tcMar>
          </w:tcPr>
          <w:p>
            <w:r>
              <w:rPr>
                <w:rFonts w:ascii="Arial" w:cs="Arial" w:eastAsia="Arial" w:hAnsi="Arial"/>
                <w:b/>
                <w:bCs/>
                <w:color w:val="FFFFFF"/>
                <w:sz w:val="18"/>
                <w:szCs w:val="18"/>
              </w:rPr>
              <w:t xml:space="preserve">ID: coverage_opd_005   </w:t>
            </w:r>
            <w:r>
              <w:rPr>
                <w:rFonts w:ascii="Arial" w:cs="Arial" w:eastAsia="Arial" w:hAnsi="Arial"/>
                <w:color w:val="FFFFFF"/>
                <w:sz w:val="18"/>
                <w:szCs w:val="18"/>
              </w:rPr>
              <w:t xml:space="preserve">[category: coverage]  </w:t>
            </w:r>
            <w:r>
              <w:rPr>
                <w:rFonts w:ascii="Arial" w:cs="Arial" w:eastAsia="Arial" w:hAnsi="Arial"/>
                <w:color w:val="FFFFFF"/>
                <w:sz w:val="18"/>
                <w:szCs w:val="18"/>
              </w:rPr>
              <w:t xml:space="preserve">[subcategory: outpatient:physiotherapy]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1D6A4A" w:sz="12"/>
              <w:bottom w:val="none" w:color="FFFFFF" w:sz="0"/>
              <w:right w:val="single" w:color="1D6A4A" w:sz="4"/>
            </w:tcBorders>
            <w:shd w:fill="E8F5EE" w:val="clear"/>
            <w:tcMar>
              <w:top w:type="dxa" w:w="80"/>
              <w:left w:type="dxa" w:w="140"/>
              <w:bottom w:type="dxa" w:w="40"/>
              <w:right w:type="dxa" w:w="140"/>
            </w:tcMar>
          </w:tcPr>
          <w:p>
            <w:r>
              <w:rPr>
                <w:rFonts w:ascii="Arial" w:cs="Arial" w:eastAsia="Arial" w:hAnsi="Arial"/>
                <w:b/>
                <w:bCs/>
                <w:color w:val="1D6A4A"/>
                <w:sz w:val="24"/>
                <w:szCs w:val="24"/>
              </w:rPr>
              <w:t xml:space="preserve">Outpatient physiotherapy</w:t>
            </w:r>
          </w:p>
        </w:tc>
      </w:tr>
      <w:tr>
        <w:tc>
          <w:tcPr>
            <w:tcW w:type="dxa" w:w="9360"/>
            <w:tcBorders>
              <w:top w:val="none" w:color="FFFFFF" w:sz="0"/>
              <w:left w:val="single" w:color="1D6A4A" w:sz="12"/>
              <w:bottom w:val="single" w:color="1D6A4A" w:sz="4"/>
              <w:right w:val="single" w:color="1D6A4A" w:sz="4"/>
            </w:tcBorders>
            <w:shd w:fill="E8F5EE" w:val="clear"/>
            <w:tcMar>
              <w:top w:type="dxa" w:w="40"/>
              <w:left w:type="dxa" w:w="140"/>
              <w:bottom w:type="dxa" w:w="120"/>
              <w:right w:type="dxa" w:w="140"/>
            </w:tcMar>
          </w:tcPr>
          <w:p>
            <w:pPr>
              <w:spacing w:after="0"/>
            </w:pPr>
            <w:r>
              <w:rPr>
                <w:rFonts w:ascii="Arial" w:cs="Arial" w:eastAsia="Arial" w:hAnsi="Arial"/>
                <w:color w:val="1A1A1A"/>
                <w:sz w:val="22"/>
                <w:szCs w:val="22"/>
              </w:rPr>
              <w:t xml:space="preserve">Outpatient physiotherapy is covered under NHIS at accredited facilities that offer this service. This includes standard physiotherapy sessions prescribed following injury, surgery, or a medical condition. Note: rehabilitation services other than physiotherapy are excluded (see exclusions section).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A" w:sz="4"/>
              <w:left w:val="single" w:color="1D6A4A" w:sz="12"/>
              <w:bottom w:val="none" w:color="FFFFFF" w:sz="0"/>
              <w:right w:val="single" w:color="1D6A4A" w:sz="4"/>
            </w:tcBorders>
            <w:shd w:fill="1D6A4A" w:val="clear"/>
            <w:tcMar>
              <w:top w:type="dxa" w:w="60"/>
              <w:left w:type="dxa" w:w="140"/>
              <w:bottom w:type="dxa" w:w="60"/>
              <w:right w:type="dxa" w:w="140"/>
            </w:tcMar>
          </w:tcPr>
          <w:p>
            <w:r>
              <w:rPr>
                <w:rFonts w:ascii="Arial" w:cs="Arial" w:eastAsia="Arial" w:hAnsi="Arial"/>
                <w:b/>
                <w:bCs/>
                <w:color w:val="FFFFFF"/>
                <w:sz w:val="18"/>
                <w:szCs w:val="18"/>
              </w:rPr>
              <w:t xml:space="preserve">ID: coverage_opd_006   </w:t>
            </w:r>
            <w:r>
              <w:rPr>
                <w:rFonts w:ascii="Arial" w:cs="Arial" w:eastAsia="Arial" w:hAnsi="Arial"/>
                <w:color w:val="FFFFFF"/>
                <w:sz w:val="18"/>
                <w:szCs w:val="18"/>
              </w:rPr>
              <w:t xml:space="preserve">[category: coverage]  </w:t>
            </w:r>
            <w:r>
              <w:rPr>
                <w:rFonts w:ascii="Arial" w:cs="Arial" w:eastAsia="Arial" w:hAnsi="Arial"/>
                <w:color w:val="FFFFFF"/>
                <w:sz w:val="18"/>
                <w:szCs w:val="18"/>
              </w:rPr>
              <w:t xml:space="preserve">[subcategory: outpatient:medicines]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1D6A4A" w:sz="12"/>
              <w:bottom w:val="none" w:color="FFFFFF" w:sz="0"/>
              <w:right w:val="single" w:color="1D6A4A" w:sz="4"/>
            </w:tcBorders>
            <w:shd w:fill="E8F5EE" w:val="clear"/>
            <w:tcMar>
              <w:top w:type="dxa" w:w="80"/>
              <w:left w:type="dxa" w:w="140"/>
              <w:bottom w:type="dxa" w:w="40"/>
              <w:right w:type="dxa" w:w="140"/>
            </w:tcMar>
          </w:tcPr>
          <w:p>
            <w:r>
              <w:rPr>
                <w:rFonts w:ascii="Arial" w:cs="Arial" w:eastAsia="Arial" w:hAnsi="Arial"/>
                <w:b/>
                <w:bCs/>
                <w:color w:val="1D6A4A"/>
                <w:sz w:val="24"/>
                <w:szCs w:val="24"/>
              </w:rPr>
              <w:t xml:space="preserve">Outpatient medicines</w:t>
            </w:r>
          </w:p>
        </w:tc>
      </w:tr>
      <w:tr>
        <w:tc>
          <w:tcPr>
            <w:tcW w:type="dxa" w:w="9360"/>
            <w:tcBorders>
              <w:top w:val="none" w:color="FFFFFF" w:sz="0"/>
              <w:left w:val="single" w:color="1D6A4A" w:sz="12"/>
              <w:bottom w:val="single" w:color="1D6A4A" w:sz="4"/>
              <w:right w:val="single" w:color="1D6A4A" w:sz="4"/>
            </w:tcBorders>
            <w:shd w:fill="E8F5EE" w:val="clear"/>
            <w:tcMar>
              <w:top w:type="dxa" w:w="40"/>
              <w:left w:type="dxa" w:w="140"/>
              <w:bottom w:type="dxa" w:w="120"/>
              <w:right w:type="dxa" w:w="140"/>
            </w:tcMar>
          </w:tcPr>
          <w:p>
            <w:pPr>
              <w:spacing w:after="80"/>
            </w:pPr>
            <w:r>
              <w:rPr>
                <w:rFonts w:ascii="Arial" w:cs="Arial" w:eastAsia="Arial" w:hAnsi="Arial"/>
                <w:color w:val="1A1A1A"/>
                <w:sz w:val="22"/>
                <w:szCs w:val="22"/>
              </w:rPr>
              <w:t xml:space="preserve">Medicines prescribed at outpatient visits are covered if and only if they appear on the official NHIS Medicines List. Two types of medicines are covered:</w:t>
            </w:r>
          </w:p>
          <w:p>
            <w:pPr>
              <w:pStyle w:val="ListParagraph"/>
              <w:numPr>
                <w:ilvl w:val="0"/>
                <w:numId w:val="2"/>
              </w:numPr>
            </w:pPr>
            <w:r>
              <w:rPr>
                <w:rFonts w:ascii="Arial" w:cs="Arial" w:eastAsia="Arial" w:hAnsi="Arial"/>
                <w:color w:val="1A1A1A"/>
                <w:sz w:val="22"/>
                <w:szCs w:val="22"/>
              </w:rPr>
              <w:t xml:space="preserve">Prescription medicines on the NHIS Medicines List (551 medicines as of March 2025)</w:t>
            </w:r>
          </w:p>
          <w:p>
            <w:pPr>
              <w:pStyle w:val="ListParagraph"/>
              <w:numPr>
                <w:ilvl w:val="0"/>
                <w:numId w:val="2"/>
              </w:numPr>
            </w:pPr>
            <w:r>
              <w:rPr>
                <w:rFonts w:ascii="Arial" w:cs="Arial" w:eastAsia="Arial" w:hAnsi="Arial"/>
                <w:color w:val="1A1A1A"/>
                <w:sz w:val="22"/>
                <w:szCs w:val="22"/>
              </w:rPr>
              <w:t xml:space="preserve">Traditional medicines approved by the Food and Drugs Board and prescribed by an accredited medical or traditional medicine practitioner</w:t>
            </w:r>
          </w:p>
        </w:tc>
      </w:tr>
    </w:tbl>
    <w:p>
      <w:pPr>
        <w:spacing w:after="0" w:before="240"/>
      </w:pPr>
      <w:r>
        <w:t xml:space="preserve"/>
      </w:r>
    </w:p>
    <w:p>
      <w:pPr>
        <w:pBdr>
          <w:bottom w:val="single" w:color="1D6A4A" w:sz="6" w:space="1"/>
        </w:pBdr>
        <w:shd w:fill="1D6A4A" w:val="clear"/>
        <w:spacing w:after="160" w:before="300"/>
        <w:ind w:left="200" w:right="200"/>
      </w:pPr>
      <w:r>
        <w:rPr>
          <w:rFonts w:ascii="Arial" w:cs="Arial" w:eastAsia="Arial" w:hAnsi="Arial"/>
          <w:b/>
          <w:bCs/>
          <w:color w:val="FFFFFF"/>
          <w:sz w:val="28"/>
          <w:szCs w:val="28"/>
        </w:rPr>
        <w:t xml:space="preserve">SECTION 2 — INPATIENT SERVICES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A" w:sz="4"/>
              <w:left w:val="single" w:color="1D6A4A" w:sz="12"/>
              <w:bottom w:val="none" w:color="FFFFFF" w:sz="0"/>
              <w:right w:val="single" w:color="1D6A4A" w:sz="4"/>
            </w:tcBorders>
            <w:shd w:fill="1D6A4A" w:val="clear"/>
            <w:tcMar>
              <w:top w:type="dxa" w:w="60"/>
              <w:left w:type="dxa" w:w="140"/>
              <w:bottom w:type="dxa" w:w="60"/>
              <w:right w:type="dxa" w:w="140"/>
            </w:tcMar>
          </w:tcPr>
          <w:p>
            <w:r>
              <w:rPr>
                <w:rFonts w:ascii="Arial" w:cs="Arial" w:eastAsia="Arial" w:hAnsi="Arial"/>
                <w:b/>
                <w:bCs/>
                <w:color w:val="FFFFFF"/>
                <w:sz w:val="18"/>
                <w:szCs w:val="18"/>
              </w:rPr>
              <w:t xml:space="preserve">ID: coverage_inp_001   </w:t>
            </w:r>
            <w:r>
              <w:rPr>
                <w:rFonts w:ascii="Arial" w:cs="Arial" w:eastAsia="Arial" w:hAnsi="Arial"/>
                <w:color w:val="FFFFFF"/>
                <w:sz w:val="18"/>
                <w:szCs w:val="18"/>
              </w:rPr>
              <w:t xml:space="preserve">[category: coverage]  </w:t>
            </w:r>
            <w:r>
              <w:rPr>
                <w:rFonts w:ascii="Arial" w:cs="Arial" w:eastAsia="Arial" w:hAnsi="Arial"/>
                <w:color w:val="FFFFFF"/>
                <w:sz w:val="18"/>
                <w:szCs w:val="18"/>
              </w:rPr>
              <w:t xml:space="preserve">[subcategory: inpatient:general]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1D6A4A" w:sz="12"/>
              <w:bottom w:val="none" w:color="FFFFFF" w:sz="0"/>
              <w:right w:val="single" w:color="1D6A4A" w:sz="4"/>
            </w:tcBorders>
            <w:shd w:fill="E8F5EE" w:val="clear"/>
            <w:tcMar>
              <w:top w:type="dxa" w:w="80"/>
              <w:left w:type="dxa" w:w="140"/>
              <w:bottom w:type="dxa" w:w="40"/>
              <w:right w:type="dxa" w:w="140"/>
            </w:tcMar>
          </w:tcPr>
          <w:p>
            <w:r>
              <w:rPr>
                <w:rFonts w:ascii="Arial" w:cs="Arial" w:eastAsia="Arial" w:hAnsi="Arial"/>
                <w:b/>
                <w:bCs/>
                <w:color w:val="1D6A4A"/>
                <w:sz w:val="24"/>
                <w:szCs w:val="24"/>
              </w:rPr>
              <w:t xml:space="preserve">General inpatient care</w:t>
            </w:r>
          </w:p>
        </w:tc>
      </w:tr>
      <w:tr>
        <w:tc>
          <w:tcPr>
            <w:tcW w:type="dxa" w:w="9360"/>
            <w:tcBorders>
              <w:top w:val="none" w:color="FFFFFF" w:sz="0"/>
              <w:left w:val="single" w:color="1D6A4A" w:sz="12"/>
              <w:bottom w:val="single" w:color="1D6A4A" w:sz="4"/>
              <w:right w:val="single" w:color="1D6A4A" w:sz="4"/>
            </w:tcBorders>
            <w:shd w:fill="E8F5EE" w:val="clear"/>
            <w:tcMar>
              <w:top w:type="dxa" w:w="40"/>
              <w:left w:type="dxa" w:w="140"/>
              <w:bottom w:type="dxa" w:w="120"/>
              <w:right w:type="dxa" w:w="140"/>
            </w:tcMar>
          </w:tcPr>
          <w:p>
            <w:pPr>
              <w:spacing w:after="80"/>
            </w:pPr>
            <w:r>
              <w:rPr>
                <w:rFonts w:ascii="Arial" w:cs="Arial" w:eastAsia="Arial" w:hAnsi="Arial"/>
                <w:color w:val="1A1A1A"/>
                <w:sz w:val="22"/>
                <w:szCs w:val="22"/>
              </w:rPr>
              <w:t xml:space="preserve">When admitted to hospital, the following are covered in full under NHIS at any accredited facility:</w:t>
            </w:r>
          </w:p>
          <w:p>
            <w:pPr>
              <w:pStyle w:val="ListParagraph"/>
              <w:numPr>
                <w:ilvl w:val="0"/>
                <w:numId w:val="2"/>
              </w:numPr>
            </w:pPr>
            <w:r>
              <w:rPr>
                <w:rFonts w:ascii="Arial" w:cs="Arial" w:eastAsia="Arial" w:hAnsi="Arial"/>
                <w:color w:val="1A1A1A"/>
                <w:sz w:val="22"/>
                <w:szCs w:val="22"/>
              </w:rPr>
              <w:t xml:space="preserve">General and specialist inpatient care</w:t>
            </w:r>
          </w:p>
          <w:p>
            <w:pPr>
              <w:pStyle w:val="ListParagraph"/>
              <w:numPr>
                <w:ilvl w:val="0"/>
                <w:numId w:val="2"/>
              </w:numPr>
            </w:pPr>
            <w:r>
              <w:rPr>
                <w:rFonts w:ascii="Arial" w:cs="Arial" w:eastAsia="Arial" w:hAnsi="Arial"/>
                <w:color w:val="1A1A1A"/>
                <w:sz w:val="22"/>
                <w:szCs w:val="22"/>
              </w:rPr>
              <w:t xml:space="preserve">Laboratory investigations, X-rays, and ultrasound scans</w:t>
            </w:r>
          </w:p>
          <w:p>
            <w:pPr>
              <w:pStyle w:val="ListParagraph"/>
              <w:numPr>
                <w:ilvl w:val="0"/>
                <w:numId w:val="2"/>
              </w:numPr>
            </w:pPr>
            <w:r>
              <w:rPr>
                <w:rFonts w:ascii="Arial" w:cs="Arial" w:eastAsia="Arial" w:hAnsi="Arial"/>
                <w:color w:val="1A1A1A"/>
                <w:sz w:val="22"/>
                <w:szCs w:val="22"/>
              </w:rPr>
              <w:t xml:space="preserve">Accommodation in the general ward</w:t>
            </w:r>
          </w:p>
          <w:p>
            <w:pPr>
              <w:pStyle w:val="ListParagraph"/>
              <w:numPr>
                <w:ilvl w:val="0"/>
                <w:numId w:val="2"/>
              </w:numPr>
            </w:pPr>
            <w:r>
              <w:rPr>
                <w:rFonts w:ascii="Arial" w:cs="Arial" w:eastAsia="Arial" w:hAnsi="Arial"/>
                <w:color w:val="1A1A1A"/>
                <w:sz w:val="22"/>
                <w:szCs w:val="22"/>
              </w:rPr>
              <w:t xml:space="preserve">Feeding (where available at the facility)</w:t>
            </w:r>
          </w:p>
          <w:p>
            <w:pPr>
              <w:pStyle w:val="ListParagraph"/>
              <w:numPr>
                <w:ilvl w:val="0"/>
                <w:numId w:val="2"/>
              </w:numPr>
            </w:pPr>
            <w:r>
              <w:rPr>
                <w:rFonts w:ascii="Arial" w:cs="Arial" w:eastAsia="Arial" w:hAnsi="Arial"/>
                <w:color w:val="1A1A1A"/>
                <w:sz w:val="22"/>
                <w:szCs w:val="22"/>
              </w:rPr>
              <w:t xml:space="preserve">Inpatient physiotherapy</w:t>
            </w:r>
          </w:p>
          <w:p>
            <w:pPr>
              <w:pStyle w:val="ListParagraph"/>
              <w:numPr>
                <w:ilvl w:val="0"/>
                <w:numId w:val="2"/>
              </w:numPr>
            </w:pPr>
            <w:r>
              <w:rPr>
                <w:rFonts w:ascii="Arial" w:cs="Arial" w:eastAsia="Arial" w:hAnsi="Arial"/>
                <w:color w:val="1A1A1A"/>
                <w:sz w:val="22"/>
                <w:szCs w:val="22"/>
              </w:rPr>
              <w:t xml:space="preserve">Processing for blood and blood products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A" w:sz="4"/>
              <w:left w:val="single" w:color="1D6A4A" w:sz="12"/>
              <w:bottom w:val="none" w:color="FFFFFF" w:sz="0"/>
              <w:right w:val="single" w:color="1D6A4A" w:sz="4"/>
            </w:tcBorders>
            <w:shd w:fill="1D6A4A" w:val="clear"/>
            <w:tcMar>
              <w:top w:type="dxa" w:w="60"/>
              <w:left w:type="dxa" w:w="140"/>
              <w:bottom w:type="dxa" w:w="60"/>
              <w:right w:type="dxa" w:w="140"/>
            </w:tcMar>
          </w:tcPr>
          <w:p>
            <w:r>
              <w:rPr>
                <w:rFonts w:ascii="Arial" w:cs="Arial" w:eastAsia="Arial" w:hAnsi="Arial"/>
                <w:b/>
                <w:bCs/>
                <w:color w:val="FFFFFF"/>
                <w:sz w:val="18"/>
                <w:szCs w:val="18"/>
              </w:rPr>
              <w:t xml:space="preserve">ID: coverage_inp_002   </w:t>
            </w:r>
            <w:r>
              <w:rPr>
                <w:rFonts w:ascii="Arial" w:cs="Arial" w:eastAsia="Arial" w:hAnsi="Arial"/>
                <w:color w:val="FFFFFF"/>
                <w:sz w:val="18"/>
                <w:szCs w:val="18"/>
              </w:rPr>
              <w:t xml:space="preserve">[category: coverage]  </w:t>
            </w:r>
            <w:r>
              <w:rPr>
                <w:rFonts w:ascii="Arial" w:cs="Arial" w:eastAsia="Arial" w:hAnsi="Arial"/>
                <w:color w:val="FFFFFF"/>
                <w:sz w:val="18"/>
                <w:szCs w:val="18"/>
              </w:rPr>
              <w:t xml:space="preserve">[subcategory: inpatient:surgical]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1D6A4A" w:sz="12"/>
              <w:bottom w:val="none" w:color="FFFFFF" w:sz="0"/>
              <w:right w:val="single" w:color="1D6A4A" w:sz="4"/>
            </w:tcBorders>
            <w:shd w:fill="E8F5EE" w:val="clear"/>
            <w:tcMar>
              <w:top w:type="dxa" w:w="80"/>
              <w:left w:type="dxa" w:w="140"/>
              <w:bottom w:type="dxa" w:w="40"/>
              <w:right w:type="dxa" w:w="140"/>
            </w:tcMar>
          </w:tcPr>
          <w:p>
            <w:r>
              <w:rPr>
                <w:rFonts w:ascii="Arial" w:cs="Arial" w:eastAsia="Arial" w:hAnsi="Arial"/>
                <w:b/>
                <w:bCs/>
                <w:color w:val="1D6A4A"/>
                <w:sz w:val="24"/>
                <w:szCs w:val="24"/>
              </w:rPr>
              <w:t xml:space="preserve">Inpatient surgical operations</w:t>
            </w:r>
          </w:p>
        </w:tc>
      </w:tr>
      <w:tr>
        <w:tc>
          <w:tcPr>
            <w:tcW w:type="dxa" w:w="9360"/>
            <w:tcBorders>
              <w:top w:val="none" w:color="FFFFFF" w:sz="0"/>
              <w:left w:val="single" w:color="1D6A4A" w:sz="12"/>
              <w:bottom w:val="single" w:color="1D6A4A" w:sz="4"/>
              <w:right w:val="single" w:color="1D6A4A" w:sz="4"/>
            </w:tcBorders>
            <w:shd w:fill="E8F5EE" w:val="clear"/>
            <w:tcMar>
              <w:top w:type="dxa" w:w="40"/>
              <w:left w:type="dxa" w:w="140"/>
              <w:bottom w:type="dxa" w:w="120"/>
              <w:right w:type="dxa" w:w="140"/>
            </w:tcMar>
          </w:tcPr>
          <w:p>
            <w:pPr>
              <w:spacing w:after="0"/>
            </w:pPr>
            <w:r>
              <w:rPr>
                <w:rFonts w:ascii="Arial" w:cs="Arial" w:eastAsia="Arial" w:hAnsi="Arial"/>
                <w:color w:val="1A1A1A"/>
                <w:sz w:val="22"/>
                <w:szCs w:val="22"/>
              </w:rPr>
              <w:t xml:space="preserve">Most surgical operations performed on an inpatient basis are covered under NHIS. This includes major operations such as appendicectomy (removal of the appendix). The general principle is that surgery required to treat a covered condition is itself covered.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A" w:sz="4"/>
              <w:left w:val="single" w:color="1D6A4A" w:sz="12"/>
              <w:bottom w:val="none" w:color="FFFFFF" w:sz="0"/>
              <w:right w:val="single" w:color="1D6A4A" w:sz="4"/>
            </w:tcBorders>
            <w:shd w:fill="1D6A4A" w:val="clear"/>
            <w:tcMar>
              <w:top w:type="dxa" w:w="60"/>
              <w:left w:type="dxa" w:w="140"/>
              <w:bottom w:type="dxa" w:w="60"/>
              <w:right w:type="dxa" w:w="140"/>
            </w:tcMar>
          </w:tcPr>
          <w:p>
            <w:r>
              <w:rPr>
                <w:rFonts w:ascii="Arial" w:cs="Arial" w:eastAsia="Arial" w:hAnsi="Arial"/>
                <w:b/>
                <w:bCs/>
                <w:color w:val="FFFFFF"/>
                <w:sz w:val="18"/>
                <w:szCs w:val="18"/>
              </w:rPr>
              <w:t xml:space="preserve">ID: coverage_inp_003   </w:t>
            </w:r>
            <w:r>
              <w:rPr>
                <w:rFonts w:ascii="Arial" w:cs="Arial" w:eastAsia="Arial" w:hAnsi="Arial"/>
                <w:color w:val="FFFFFF"/>
                <w:sz w:val="18"/>
                <w:szCs w:val="18"/>
              </w:rPr>
              <w:t xml:space="preserve">[category: coverage]  </w:t>
            </w:r>
            <w:r>
              <w:rPr>
                <w:rFonts w:ascii="Arial" w:cs="Arial" w:eastAsia="Arial" w:hAnsi="Arial"/>
                <w:color w:val="FFFFFF"/>
                <w:sz w:val="18"/>
                <w:szCs w:val="18"/>
              </w:rPr>
              <w:t xml:space="preserve">[subcategory: inpatient:cancer]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1D6A4A" w:sz="12"/>
              <w:bottom w:val="none" w:color="FFFFFF" w:sz="0"/>
              <w:right w:val="single" w:color="1D6A4A" w:sz="4"/>
            </w:tcBorders>
            <w:shd w:fill="E8F5EE" w:val="clear"/>
            <w:tcMar>
              <w:top w:type="dxa" w:w="80"/>
              <w:left w:type="dxa" w:w="140"/>
              <w:bottom w:type="dxa" w:w="40"/>
              <w:right w:type="dxa" w:w="140"/>
            </w:tcMar>
          </w:tcPr>
          <w:p>
            <w:r>
              <w:rPr>
                <w:rFonts w:ascii="Arial" w:cs="Arial" w:eastAsia="Arial" w:hAnsi="Arial"/>
                <w:b/>
                <w:bCs/>
                <w:color w:val="1D6A4A"/>
                <w:sz w:val="24"/>
                <w:szCs w:val="24"/>
              </w:rPr>
              <w:t xml:space="preserve">Cancer — what is and is not covered for inpatients</w:t>
            </w:r>
          </w:p>
        </w:tc>
      </w:tr>
      <w:tr>
        <w:tc>
          <w:tcPr>
            <w:tcW w:type="dxa" w:w="9360"/>
            <w:tcBorders>
              <w:top w:val="none" w:color="FFFFFF" w:sz="0"/>
              <w:left w:val="single" w:color="1D6A4A" w:sz="12"/>
              <w:bottom w:val="single" w:color="1D6A4A" w:sz="4"/>
              <w:right w:val="single" w:color="1D6A4A" w:sz="4"/>
            </w:tcBorders>
            <w:shd w:fill="E8F5EE" w:val="clear"/>
            <w:tcMar>
              <w:top w:type="dxa" w:w="40"/>
              <w:left w:type="dxa" w:w="140"/>
              <w:bottom w:type="dxa" w:w="120"/>
              <w:right w:type="dxa" w:w="140"/>
            </w:tcMar>
          </w:tcPr>
          <w:p>
            <w:pPr>
              <w:spacing w:after="80"/>
            </w:pPr>
            <w:r>
              <w:rPr>
                <w:rFonts w:ascii="Arial" w:cs="Arial" w:eastAsia="Arial" w:hAnsi="Arial"/>
                <w:color w:val="1A1A1A"/>
                <w:sz w:val="22"/>
                <w:szCs w:val="22"/>
              </w:rPr>
              <w:t xml:space="preserve">NHIS has a specific and limited cancer coverage policy that patients must understand clearly:</w:t>
            </w:r>
          </w:p>
          <w:p>
            <w:pPr>
              <w:pStyle w:val="ListParagraph"/>
              <w:numPr>
                <w:ilvl w:val="0"/>
                <w:numId w:val="2"/>
              </w:numPr>
            </w:pPr>
            <w:r>
              <w:rPr>
                <w:rFonts w:ascii="Arial" w:cs="Arial" w:eastAsia="Arial" w:hAnsi="Arial"/>
                <w:color w:val="1A1A1A"/>
                <w:sz w:val="22"/>
                <w:szCs w:val="22"/>
              </w:rPr>
              <w:t xml:space="preserve">COVERED: Cervical cancer treatment (fully covered)</w:t>
            </w:r>
          </w:p>
          <w:p>
            <w:pPr>
              <w:pStyle w:val="ListParagraph"/>
              <w:numPr>
                <w:ilvl w:val="0"/>
                <w:numId w:val="2"/>
              </w:numPr>
            </w:pPr>
            <w:r>
              <w:rPr>
                <w:rFonts w:ascii="Arial" w:cs="Arial" w:eastAsia="Arial" w:hAnsi="Arial"/>
                <w:color w:val="1A1A1A"/>
                <w:sz w:val="22"/>
                <w:szCs w:val="22"/>
              </w:rPr>
              <w:t xml:space="preserve">COVERED: Breast cancer treatment (fully covered)</w:t>
            </w:r>
          </w:p>
          <w:p>
            <w:pPr>
              <w:pStyle w:val="ListParagraph"/>
              <w:numPr>
                <w:ilvl w:val="0"/>
                <w:numId w:val="2"/>
              </w:numPr>
            </w:pPr>
            <w:r>
              <w:rPr>
                <w:rFonts w:ascii="Arial" w:cs="Arial" w:eastAsia="Arial" w:hAnsi="Arial"/>
                <w:color w:val="1A1A1A"/>
                <w:sz w:val="22"/>
                <w:szCs w:val="22"/>
              </w:rPr>
              <w:t xml:space="preserve">COVERED: Diagnosis and treatment of complications arising from other cancers — for example, anaemia caused by cancer, or bowel obstruction from a tumour</w:t>
            </w:r>
          </w:p>
          <w:p>
            <w:pPr>
              <w:pStyle w:val="ListParagraph"/>
              <w:numPr>
                <w:ilvl w:val="0"/>
                <w:numId w:val="2"/>
              </w:numPr>
            </w:pPr>
            <w:r>
              <w:rPr>
                <w:rFonts w:ascii="Arial" w:cs="Arial" w:eastAsia="Arial" w:hAnsi="Arial"/>
                <w:color w:val="1A1A1A"/>
                <w:sz w:val="22"/>
                <w:szCs w:val="22"/>
              </w:rPr>
              <w:t xml:space="preserve">NOT COVERED: Treatment of cancers other than cervical and breast cancer (see exclusions)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A" w:sz="4"/>
              <w:left w:val="single" w:color="1D6A4A" w:sz="12"/>
              <w:bottom w:val="none" w:color="FFFFFF" w:sz="0"/>
              <w:right w:val="single" w:color="1D6A4A" w:sz="4"/>
            </w:tcBorders>
            <w:shd w:fill="1D6A4A" w:val="clear"/>
            <w:tcMar>
              <w:top w:type="dxa" w:w="60"/>
              <w:left w:type="dxa" w:w="140"/>
              <w:bottom w:type="dxa" w:w="60"/>
              <w:right w:type="dxa" w:w="140"/>
            </w:tcMar>
          </w:tcPr>
          <w:p>
            <w:r>
              <w:rPr>
                <w:rFonts w:ascii="Arial" w:cs="Arial" w:eastAsia="Arial" w:hAnsi="Arial"/>
                <w:b/>
                <w:bCs/>
                <w:color w:val="FFFFFF"/>
                <w:sz w:val="18"/>
                <w:szCs w:val="18"/>
              </w:rPr>
              <w:t xml:space="preserve">ID: coverage_inp_004   </w:t>
            </w:r>
            <w:r>
              <w:rPr>
                <w:rFonts w:ascii="Arial" w:cs="Arial" w:eastAsia="Arial" w:hAnsi="Arial"/>
                <w:color w:val="FFFFFF"/>
                <w:sz w:val="18"/>
                <w:szCs w:val="18"/>
              </w:rPr>
              <w:t xml:space="preserve">[category: coverage]  </w:t>
            </w:r>
            <w:r>
              <w:rPr>
                <w:rFonts w:ascii="Arial" w:cs="Arial" w:eastAsia="Arial" w:hAnsi="Arial"/>
                <w:color w:val="FFFFFF"/>
                <w:sz w:val="18"/>
                <w:szCs w:val="18"/>
              </w:rPr>
              <w:t xml:space="preserve">[subcategory: inpatient:medicines]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1D6A4A" w:sz="12"/>
              <w:bottom w:val="none" w:color="FFFFFF" w:sz="0"/>
              <w:right w:val="single" w:color="1D6A4A" w:sz="4"/>
            </w:tcBorders>
            <w:shd w:fill="E8F5EE" w:val="clear"/>
            <w:tcMar>
              <w:top w:type="dxa" w:w="80"/>
              <w:left w:type="dxa" w:w="140"/>
              <w:bottom w:type="dxa" w:w="40"/>
              <w:right w:type="dxa" w:w="140"/>
            </w:tcMar>
          </w:tcPr>
          <w:p>
            <w:r>
              <w:rPr>
                <w:rFonts w:ascii="Arial" w:cs="Arial" w:eastAsia="Arial" w:hAnsi="Arial"/>
                <w:b/>
                <w:bCs/>
                <w:color w:val="1D6A4A"/>
                <w:sz w:val="24"/>
                <w:szCs w:val="24"/>
              </w:rPr>
              <w:t xml:space="preserve">Inpatient medicines</w:t>
            </w:r>
          </w:p>
        </w:tc>
      </w:tr>
      <w:tr>
        <w:tc>
          <w:tcPr>
            <w:tcW w:type="dxa" w:w="9360"/>
            <w:tcBorders>
              <w:top w:val="none" w:color="FFFFFF" w:sz="0"/>
              <w:left w:val="single" w:color="1D6A4A" w:sz="12"/>
              <w:bottom w:val="single" w:color="1D6A4A" w:sz="4"/>
              <w:right w:val="single" w:color="1D6A4A" w:sz="4"/>
            </w:tcBorders>
            <w:shd w:fill="E8F5EE" w:val="clear"/>
            <w:tcMar>
              <w:top w:type="dxa" w:w="40"/>
              <w:left w:type="dxa" w:w="140"/>
              <w:bottom w:type="dxa" w:w="120"/>
              <w:right w:type="dxa" w:w="140"/>
            </w:tcMar>
          </w:tcPr>
          <w:p>
            <w:pPr>
              <w:spacing w:after="0"/>
            </w:pPr>
            <w:r>
              <w:rPr>
                <w:rFonts w:ascii="Arial" w:cs="Arial" w:eastAsia="Arial" w:hAnsi="Arial"/>
                <w:color w:val="1A1A1A"/>
                <w:sz w:val="22"/>
                <w:szCs w:val="22"/>
              </w:rPr>
              <w:t xml:space="preserve">Medicines administered during an inpatient stay are covered if they are on the NHIS Medicines List or are traditional medicines approved by the Food and Drugs Board and prescribed by an accredited practitioner. Any medicine not on the NHIS list is not covered and should not be charged to your NHIS card.</w:t>
            </w:r>
          </w:p>
        </w:tc>
      </w:tr>
    </w:tbl>
    <w:p>
      <w:pPr>
        <w:spacing w:after="0" w:before="240"/>
      </w:pPr>
      <w:r>
        <w:t xml:space="preserve"/>
      </w:r>
    </w:p>
    <w:p>
      <w:pPr>
        <w:pBdr>
          <w:bottom w:val="single" w:color="1D6A4A" w:sz="6" w:space="1"/>
        </w:pBdr>
        <w:shd w:fill="1D6A4A" w:val="clear"/>
        <w:spacing w:after="160" w:before="300"/>
        <w:ind w:left="200" w:right="200"/>
      </w:pPr>
      <w:r>
        <w:rPr>
          <w:rFonts w:ascii="Arial" w:cs="Arial" w:eastAsia="Arial" w:hAnsi="Arial"/>
          <w:b/>
          <w:bCs/>
          <w:color w:val="FFFFFF"/>
          <w:sz w:val="28"/>
          <w:szCs w:val="28"/>
        </w:rPr>
        <w:t xml:space="preserve">SECTION 3 — MATERNITY CARE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A" w:sz="4"/>
              <w:left w:val="single" w:color="1D6A4A" w:sz="12"/>
              <w:bottom w:val="none" w:color="FFFFFF" w:sz="0"/>
              <w:right w:val="single" w:color="1D6A4A" w:sz="4"/>
            </w:tcBorders>
            <w:shd w:fill="1D6A4A" w:val="clear"/>
            <w:tcMar>
              <w:top w:type="dxa" w:w="60"/>
              <w:left w:type="dxa" w:w="140"/>
              <w:bottom w:type="dxa" w:w="60"/>
              <w:right w:type="dxa" w:w="140"/>
            </w:tcMar>
          </w:tcPr>
          <w:p>
            <w:r>
              <w:rPr>
                <w:rFonts w:ascii="Arial" w:cs="Arial" w:eastAsia="Arial" w:hAnsi="Arial"/>
                <w:b/>
                <w:bCs/>
                <w:color w:val="FFFFFF"/>
                <w:sz w:val="18"/>
                <w:szCs w:val="18"/>
              </w:rPr>
              <w:t xml:space="preserve">ID: coverage_mat_001   </w:t>
            </w:r>
            <w:r>
              <w:rPr>
                <w:rFonts w:ascii="Arial" w:cs="Arial" w:eastAsia="Arial" w:hAnsi="Arial"/>
                <w:color w:val="FFFFFF"/>
                <w:sz w:val="18"/>
                <w:szCs w:val="18"/>
              </w:rPr>
              <w:t xml:space="preserve">[category: coverage]  </w:t>
            </w:r>
            <w:r>
              <w:rPr>
                <w:rFonts w:ascii="Arial" w:cs="Arial" w:eastAsia="Arial" w:hAnsi="Arial"/>
                <w:color w:val="FFFFFF"/>
                <w:sz w:val="18"/>
                <w:szCs w:val="18"/>
              </w:rPr>
              <w:t xml:space="preserve">[subcategory: maternity:full]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1D6A4A" w:sz="12"/>
              <w:bottom w:val="none" w:color="FFFFFF" w:sz="0"/>
              <w:right w:val="single" w:color="1D6A4A" w:sz="4"/>
            </w:tcBorders>
            <w:shd w:fill="E8F5EE" w:val="clear"/>
            <w:tcMar>
              <w:top w:type="dxa" w:w="80"/>
              <w:left w:type="dxa" w:w="140"/>
              <w:bottom w:type="dxa" w:w="40"/>
              <w:right w:type="dxa" w:w="140"/>
            </w:tcMar>
          </w:tcPr>
          <w:p>
            <w:r>
              <w:rPr>
                <w:rFonts w:ascii="Arial" w:cs="Arial" w:eastAsia="Arial" w:hAnsi="Arial"/>
                <w:b/>
                <w:bCs/>
                <w:color w:val="1D6A4A"/>
                <w:sz w:val="24"/>
                <w:szCs w:val="24"/>
              </w:rPr>
              <w:t xml:space="preserve">Full maternity care — all stages covered at no cost</w:t>
            </w:r>
          </w:p>
        </w:tc>
      </w:tr>
      <w:tr>
        <w:tc>
          <w:tcPr>
            <w:tcW w:type="dxa" w:w="9360"/>
            <w:tcBorders>
              <w:top w:val="none" w:color="FFFFFF" w:sz="0"/>
              <w:left w:val="single" w:color="1D6A4A" w:sz="12"/>
              <w:bottom w:val="single" w:color="1D6A4A" w:sz="4"/>
              <w:right w:val="single" w:color="1D6A4A" w:sz="4"/>
            </w:tcBorders>
            <w:shd w:fill="E8F5EE" w:val="clear"/>
            <w:tcMar>
              <w:top w:type="dxa" w:w="40"/>
              <w:left w:type="dxa" w:w="140"/>
              <w:bottom w:type="dxa" w:w="120"/>
              <w:right w:type="dxa" w:w="140"/>
            </w:tcMar>
          </w:tcPr>
          <w:p>
            <w:pPr>
              <w:spacing w:after="80"/>
            </w:pPr>
            <w:r>
              <w:rPr>
                <w:rFonts w:ascii="Arial" w:cs="Arial" w:eastAsia="Arial" w:hAnsi="Arial"/>
                <w:color w:val="1A1A1A"/>
                <w:sz w:val="22"/>
                <w:szCs w:val="22"/>
              </w:rPr>
              <w:t xml:space="preserve">NHIS provides complete maternity care coverage at no cost to the patient. All of the following are covered in full at any NHIA-accredited facility. No co-payment is required at any stage:</w:t>
            </w:r>
          </w:p>
          <w:p>
            <w:pPr>
              <w:pStyle w:val="ListParagraph"/>
              <w:numPr>
                <w:ilvl w:val="0"/>
                <w:numId w:val="2"/>
              </w:numPr>
            </w:pPr>
            <w:r>
              <w:rPr>
                <w:rFonts w:ascii="Arial" w:cs="Arial" w:eastAsia="Arial" w:hAnsi="Arial"/>
                <w:color w:val="1A1A1A"/>
                <w:sz w:val="22"/>
                <w:szCs w:val="22"/>
              </w:rPr>
              <w:t xml:space="preserve">Antenatal care (all antenatal visits throughout the pregnancy)</w:t>
            </w:r>
          </w:p>
          <w:p>
            <w:pPr>
              <w:pStyle w:val="ListParagraph"/>
              <w:numPr>
                <w:ilvl w:val="0"/>
                <w:numId w:val="2"/>
              </w:numPr>
            </w:pPr>
            <w:r>
              <w:rPr>
                <w:rFonts w:ascii="Arial" w:cs="Arial" w:eastAsia="Arial" w:hAnsi="Arial"/>
                <w:color w:val="1A1A1A"/>
                <w:sz w:val="22"/>
                <w:szCs w:val="22"/>
              </w:rPr>
              <w:t xml:space="preserve">Normal delivery</w:t>
            </w:r>
          </w:p>
          <w:p>
            <w:pPr>
              <w:pStyle w:val="ListParagraph"/>
              <w:numPr>
                <w:ilvl w:val="0"/>
                <w:numId w:val="2"/>
              </w:numPr>
            </w:pPr>
            <w:r>
              <w:rPr>
                <w:rFonts w:ascii="Arial" w:cs="Arial" w:eastAsia="Arial" w:hAnsi="Arial"/>
                <w:color w:val="1A1A1A"/>
                <w:sz w:val="22"/>
                <w:szCs w:val="22"/>
              </w:rPr>
              <w:t xml:space="preserve">Assisted delivery</w:t>
            </w:r>
          </w:p>
          <w:p>
            <w:pPr>
              <w:pStyle w:val="ListParagraph"/>
              <w:numPr>
                <w:ilvl w:val="0"/>
                <w:numId w:val="2"/>
              </w:numPr>
            </w:pPr>
            <w:r>
              <w:rPr>
                <w:rFonts w:ascii="Arial" w:cs="Arial" w:eastAsia="Arial" w:hAnsi="Arial"/>
                <w:color w:val="1A1A1A"/>
                <w:sz w:val="22"/>
                <w:szCs w:val="22"/>
              </w:rPr>
              <w:t xml:space="preserve">Caesarean section (C-section) — fully covered, no additional charge</w:t>
            </w:r>
          </w:p>
          <w:p>
            <w:pPr>
              <w:pStyle w:val="ListParagraph"/>
              <w:numPr>
                <w:ilvl w:val="0"/>
                <w:numId w:val="2"/>
              </w:numPr>
            </w:pPr>
            <w:r>
              <w:rPr>
                <w:rFonts w:ascii="Arial" w:cs="Arial" w:eastAsia="Arial" w:hAnsi="Arial"/>
                <w:color w:val="1A1A1A"/>
                <w:sz w:val="22"/>
                <w:szCs w:val="22"/>
              </w:rPr>
              <w:t xml:space="preserve">Post-natal care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4"/>
              <w:left w:val="single" w:color="7A4F00" w:sz="12"/>
              <w:bottom w:val="none" w:color="FFFFFF" w:sz="0"/>
              <w:right w:val="single" w:color="7A4F00" w:sz="4"/>
            </w:tcBorders>
            <w:shd w:fill="7A4F00" w:val="clear"/>
            <w:tcMar>
              <w:top w:type="dxa" w:w="60"/>
              <w:left w:type="dxa" w:w="140"/>
              <w:bottom w:type="dxa" w:w="60"/>
              <w:right w:type="dxa" w:w="140"/>
            </w:tcMar>
          </w:tcPr>
          <w:p>
            <w:r>
              <w:rPr>
                <w:rFonts w:ascii="Arial" w:cs="Arial" w:eastAsia="Arial" w:hAnsi="Arial"/>
                <w:b/>
                <w:bCs/>
                <w:color w:val="FFFFFF"/>
                <w:sz w:val="18"/>
                <w:szCs w:val="18"/>
              </w:rPr>
              <w:t xml:space="preserve">ID: coverage_mat_002   </w:t>
            </w:r>
            <w:r>
              <w:rPr>
                <w:rFonts w:ascii="Arial" w:cs="Arial" w:eastAsia="Arial" w:hAnsi="Arial"/>
                <w:color w:val="FFFFFF"/>
                <w:sz w:val="18"/>
                <w:szCs w:val="18"/>
              </w:rPr>
              <w:t xml:space="preserve">[category: coverage]  </w:t>
            </w:r>
            <w:r>
              <w:rPr>
                <w:rFonts w:ascii="Arial" w:cs="Arial" w:eastAsia="Arial" w:hAnsi="Arial"/>
                <w:color w:val="FFFFFF"/>
                <w:sz w:val="18"/>
                <w:szCs w:val="18"/>
              </w:rPr>
              <w:t xml:space="preserve">[subcategory: maternity:dispute]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7A4F00" w:sz="12"/>
              <w:bottom w:val="none" w:color="FFFFFF" w:sz="0"/>
              <w:right w:val="single" w:color="7A4F00" w:sz="4"/>
            </w:tcBorders>
            <w:shd w:fill="FEF3E2" w:val="clear"/>
            <w:tcMar>
              <w:top w:type="dxa" w:w="80"/>
              <w:left w:type="dxa" w:w="140"/>
              <w:bottom w:type="dxa" w:w="40"/>
              <w:right w:type="dxa" w:w="140"/>
            </w:tcMar>
          </w:tcPr>
          <w:p>
            <w:r>
              <w:rPr>
                <w:rFonts w:ascii="Arial" w:cs="Arial" w:eastAsia="Arial" w:hAnsi="Arial"/>
                <w:b/>
                <w:bCs/>
                <w:color w:val="7A4F00"/>
                <w:sz w:val="24"/>
                <w:szCs w:val="24"/>
              </w:rPr>
              <w:t xml:space="preserve">Maternity — common dispute scenario</w:t>
            </w:r>
          </w:p>
        </w:tc>
      </w:tr>
      <w:tr>
        <w:tc>
          <w:tcPr>
            <w:tcW w:type="dxa" w:w="9360"/>
            <w:tcBorders>
              <w:top w:val="none" w:color="FFFFFF" w:sz="0"/>
              <w:left w:val="single" w:color="7A4F00" w:sz="12"/>
              <w:bottom w:val="single" w:color="7A4F00" w:sz="4"/>
              <w:right w:val="single" w:color="7A4F00" w:sz="4"/>
            </w:tcBorders>
            <w:shd w:fill="FEF3E2" w:val="clear"/>
            <w:tcMar>
              <w:top w:type="dxa" w:w="40"/>
              <w:left w:type="dxa" w:w="140"/>
              <w:bottom w:type="dxa" w:w="120"/>
              <w:right w:type="dxa" w:w="140"/>
            </w:tcMar>
          </w:tcPr>
          <w:p>
            <w:pPr>
              <w:spacing w:after="0"/>
            </w:pPr>
            <w:r>
              <w:rPr>
                <w:rFonts w:ascii="Arial" w:cs="Arial" w:eastAsia="Arial" w:hAnsi="Arial"/>
                <w:color w:val="1A1A1A"/>
                <w:sz w:val="22"/>
                <w:szCs w:val="22"/>
              </w:rPr>
              <w:t xml:space="preserve">If a facility asks you to pay for a delivery or caesarean section, this is incorrect. NHIS covers all maternity care including C-sections with no co-payment. If this happens: (1) Politely show your valid NHIS card and ask to speak with the administrator, (2) if unresolved, call the NHIA helpline on 0544446447. Do not leave the facility without escalating — you are entitled to this care at no cost.</w:t>
            </w:r>
          </w:p>
        </w:tc>
      </w:tr>
    </w:tbl>
    <w:p>
      <w:pPr>
        <w:spacing w:after="0" w:before="240"/>
      </w:pPr>
      <w:r>
        <w:t xml:space="preserve"/>
      </w:r>
    </w:p>
    <w:p>
      <w:pPr>
        <w:pBdr>
          <w:bottom w:val="single" w:color="1D6A4A" w:sz="6" w:space="1"/>
        </w:pBdr>
        <w:shd w:fill="1D6A4A" w:val="clear"/>
        <w:spacing w:after="160" w:before="300"/>
        <w:ind w:left="200" w:right="200"/>
      </w:pPr>
      <w:r>
        <w:rPr>
          <w:rFonts w:ascii="Arial" w:cs="Arial" w:eastAsia="Arial" w:hAnsi="Arial"/>
          <w:b/>
          <w:bCs/>
          <w:color w:val="FFFFFF"/>
          <w:sz w:val="28"/>
          <w:szCs w:val="28"/>
        </w:rPr>
        <w:t xml:space="preserve">SECTION 4 — ORAL HEALTH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A" w:sz="4"/>
              <w:left w:val="single" w:color="1D6A4A" w:sz="12"/>
              <w:bottom w:val="none" w:color="FFFFFF" w:sz="0"/>
              <w:right w:val="single" w:color="1D6A4A" w:sz="4"/>
            </w:tcBorders>
            <w:shd w:fill="1D6A4A" w:val="clear"/>
            <w:tcMar>
              <w:top w:type="dxa" w:w="60"/>
              <w:left w:type="dxa" w:w="140"/>
              <w:bottom w:type="dxa" w:w="60"/>
              <w:right w:type="dxa" w:w="140"/>
            </w:tcMar>
          </w:tcPr>
          <w:p>
            <w:r>
              <w:rPr>
                <w:rFonts w:ascii="Arial" w:cs="Arial" w:eastAsia="Arial" w:hAnsi="Arial"/>
                <w:b/>
                <w:bCs/>
                <w:color w:val="FFFFFF"/>
                <w:sz w:val="18"/>
                <w:szCs w:val="18"/>
              </w:rPr>
              <w:t xml:space="preserve">ID: coverage_oral_001   </w:t>
            </w:r>
            <w:r>
              <w:rPr>
                <w:rFonts w:ascii="Arial" w:cs="Arial" w:eastAsia="Arial" w:hAnsi="Arial"/>
                <w:color w:val="FFFFFF"/>
                <w:sz w:val="18"/>
                <w:szCs w:val="18"/>
              </w:rPr>
              <w:t xml:space="preserve">[category: coverage]  </w:t>
            </w:r>
            <w:r>
              <w:rPr>
                <w:rFonts w:ascii="Arial" w:cs="Arial" w:eastAsia="Arial" w:hAnsi="Arial"/>
                <w:color w:val="FFFFFF"/>
                <w:sz w:val="18"/>
                <w:szCs w:val="18"/>
              </w:rPr>
              <w:t xml:space="preserve">[subcategory: oral_health]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1D6A4A" w:sz="12"/>
              <w:bottom w:val="none" w:color="FFFFFF" w:sz="0"/>
              <w:right w:val="single" w:color="1D6A4A" w:sz="4"/>
            </w:tcBorders>
            <w:shd w:fill="E8F5EE" w:val="clear"/>
            <w:tcMar>
              <w:top w:type="dxa" w:w="80"/>
              <w:left w:type="dxa" w:w="140"/>
              <w:bottom w:type="dxa" w:w="40"/>
              <w:right w:type="dxa" w:w="140"/>
            </w:tcMar>
          </w:tcPr>
          <w:p>
            <w:r>
              <w:rPr>
                <w:rFonts w:ascii="Arial" w:cs="Arial" w:eastAsia="Arial" w:hAnsi="Arial"/>
                <w:b/>
                <w:bCs/>
                <w:color w:val="1D6A4A"/>
                <w:sz w:val="24"/>
                <w:szCs w:val="24"/>
              </w:rPr>
              <w:t xml:space="preserve">Oral health services covered</w:t>
            </w:r>
          </w:p>
        </w:tc>
      </w:tr>
      <w:tr>
        <w:tc>
          <w:tcPr>
            <w:tcW w:type="dxa" w:w="9360"/>
            <w:tcBorders>
              <w:top w:val="none" w:color="FFFFFF" w:sz="0"/>
              <w:left w:val="single" w:color="1D6A4A" w:sz="12"/>
              <w:bottom w:val="single" w:color="1D6A4A" w:sz="4"/>
              <w:right w:val="single" w:color="1D6A4A" w:sz="4"/>
            </w:tcBorders>
            <w:shd w:fill="E8F5EE" w:val="clear"/>
            <w:tcMar>
              <w:top w:type="dxa" w:w="40"/>
              <w:left w:type="dxa" w:w="140"/>
              <w:bottom w:type="dxa" w:w="120"/>
              <w:right w:type="dxa" w:w="140"/>
            </w:tcMar>
          </w:tcPr>
          <w:p>
            <w:pPr>
              <w:spacing w:after="80"/>
            </w:pPr>
            <w:r>
              <w:rPr>
                <w:rFonts w:ascii="Arial" w:cs="Arial" w:eastAsia="Arial" w:hAnsi="Arial"/>
                <w:color w:val="1A1A1A"/>
                <w:sz w:val="22"/>
                <w:szCs w:val="22"/>
              </w:rPr>
              <w:t xml:space="preserve">The following dental services are covered under NHIS:</w:t>
            </w:r>
          </w:p>
          <w:p>
            <w:pPr>
              <w:pStyle w:val="ListParagraph"/>
              <w:numPr>
                <w:ilvl w:val="0"/>
                <w:numId w:val="2"/>
              </w:numPr>
            </w:pPr>
            <w:r>
              <w:rPr>
                <w:rFonts w:ascii="Arial" w:cs="Arial" w:eastAsia="Arial" w:hAnsi="Arial"/>
                <w:color w:val="1A1A1A"/>
                <w:sz w:val="22"/>
                <w:szCs w:val="22"/>
              </w:rPr>
              <w:t xml:space="preserve">Pain relief — incision and drainage, tooth extraction, temporary pain relief</w:t>
            </w:r>
          </w:p>
          <w:p>
            <w:pPr>
              <w:pStyle w:val="ListParagraph"/>
              <w:numPr>
                <w:ilvl w:val="0"/>
                <w:numId w:val="2"/>
              </w:numPr>
            </w:pPr>
            <w:r>
              <w:rPr>
                <w:rFonts w:ascii="Arial" w:cs="Arial" w:eastAsia="Arial" w:hAnsi="Arial"/>
                <w:color w:val="1A1A1A"/>
                <w:sz w:val="22"/>
                <w:szCs w:val="22"/>
              </w:rPr>
              <w:t xml:space="preserve">Dental restoration — simple amalgam fillings and temporary dressing</w:t>
            </w:r>
          </w:p>
        </w:tc>
      </w:tr>
    </w:tbl>
    <w:p>
      <w:pPr>
        <w:spacing w:after="0" w:before="240"/>
      </w:pPr>
      <w:r>
        <w:t xml:space="preserve"/>
      </w:r>
    </w:p>
    <w:p>
      <w:pPr>
        <w:pBdr>
          <w:bottom w:val="single" w:color="1D6A4A" w:sz="6" w:space="1"/>
        </w:pBdr>
        <w:shd w:fill="1D6A4A" w:val="clear"/>
        <w:spacing w:after="160" w:before="300"/>
        <w:ind w:left="200" w:right="200"/>
      </w:pPr>
      <w:r>
        <w:rPr>
          <w:rFonts w:ascii="Arial" w:cs="Arial" w:eastAsia="Arial" w:hAnsi="Arial"/>
          <w:b/>
          <w:bCs/>
          <w:color w:val="FFFFFF"/>
          <w:sz w:val="28"/>
          <w:szCs w:val="28"/>
        </w:rPr>
        <w:t xml:space="preserve">SECTION 5 — EYE CARE SERVICES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A" w:sz="4"/>
              <w:left w:val="single" w:color="1D6A4A" w:sz="12"/>
              <w:bottom w:val="none" w:color="FFFFFF" w:sz="0"/>
              <w:right w:val="single" w:color="1D6A4A" w:sz="4"/>
            </w:tcBorders>
            <w:shd w:fill="1D6A4A" w:val="clear"/>
            <w:tcMar>
              <w:top w:type="dxa" w:w="60"/>
              <w:left w:type="dxa" w:w="140"/>
              <w:bottom w:type="dxa" w:w="60"/>
              <w:right w:type="dxa" w:w="140"/>
            </w:tcMar>
          </w:tcPr>
          <w:p>
            <w:r>
              <w:rPr>
                <w:rFonts w:ascii="Arial" w:cs="Arial" w:eastAsia="Arial" w:hAnsi="Arial"/>
                <w:b/>
                <w:bCs/>
                <w:color w:val="FFFFFF"/>
                <w:sz w:val="18"/>
                <w:szCs w:val="18"/>
              </w:rPr>
              <w:t xml:space="preserve">ID: coverage_eye_001   </w:t>
            </w:r>
            <w:r>
              <w:rPr>
                <w:rFonts w:ascii="Arial" w:cs="Arial" w:eastAsia="Arial" w:hAnsi="Arial"/>
                <w:color w:val="FFFFFF"/>
                <w:sz w:val="18"/>
                <w:szCs w:val="18"/>
              </w:rPr>
              <w:t xml:space="preserve">[category: coverage]  </w:t>
            </w:r>
            <w:r>
              <w:rPr>
                <w:rFonts w:ascii="Arial" w:cs="Arial" w:eastAsia="Arial" w:hAnsi="Arial"/>
                <w:color w:val="FFFFFF"/>
                <w:sz w:val="18"/>
                <w:szCs w:val="18"/>
              </w:rPr>
              <w:t xml:space="preserve">[subcategory: eye_care]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1D6A4A" w:sz="12"/>
              <w:bottom w:val="none" w:color="FFFFFF" w:sz="0"/>
              <w:right w:val="single" w:color="1D6A4A" w:sz="4"/>
            </w:tcBorders>
            <w:shd w:fill="E8F5EE" w:val="clear"/>
            <w:tcMar>
              <w:top w:type="dxa" w:w="80"/>
              <w:left w:type="dxa" w:w="140"/>
              <w:bottom w:type="dxa" w:w="40"/>
              <w:right w:type="dxa" w:w="140"/>
            </w:tcMar>
          </w:tcPr>
          <w:p>
            <w:r>
              <w:rPr>
                <w:rFonts w:ascii="Arial" w:cs="Arial" w:eastAsia="Arial" w:hAnsi="Arial"/>
                <w:b/>
                <w:bCs/>
                <w:color w:val="1D6A4A"/>
                <w:sz w:val="24"/>
                <w:szCs w:val="24"/>
              </w:rPr>
              <w:t xml:space="preserve">Eye care services covered</w:t>
            </w:r>
          </w:p>
        </w:tc>
      </w:tr>
      <w:tr>
        <w:tc>
          <w:tcPr>
            <w:tcW w:type="dxa" w:w="9360"/>
            <w:tcBorders>
              <w:top w:val="none" w:color="FFFFFF" w:sz="0"/>
              <w:left w:val="single" w:color="1D6A4A" w:sz="12"/>
              <w:bottom w:val="single" w:color="1D6A4A" w:sz="4"/>
              <w:right w:val="single" w:color="1D6A4A" w:sz="4"/>
            </w:tcBorders>
            <w:shd w:fill="E8F5EE" w:val="clear"/>
            <w:tcMar>
              <w:top w:type="dxa" w:w="40"/>
              <w:left w:type="dxa" w:w="140"/>
              <w:bottom w:type="dxa" w:w="120"/>
              <w:right w:type="dxa" w:w="140"/>
            </w:tcMar>
          </w:tcPr>
          <w:p>
            <w:pPr>
              <w:spacing w:after="80"/>
            </w:pPr>
            <w:r>
              <w:rPr>
                <w:rFonts w:ascii="Arial" w:cs="Arial" w:eastAsia="Arial" w:hAnsi="Arial"/>
                <w:color w:val="1A1A1A"/>
                <w:sz w:val="22"/>
                <w:szCs w:val="22"/>
              </w:rPr>
              <w:t xml:space="preserve">The following eye care services are covered under NHIS at accredited facilities:</w:t>
            </w:r>
          </w:p>
          <w:p>
            <w:pPr>
              <w:pStyle w:val="ListParagraph"/>
              <w:numPr>
                <w:ilvl w:val="0"/>
                <w:numId w:val="2"/>
              </w:numPr>
            </w:pPr>
            <w:r>
              <w:rPr>
                <w:rFonts w:ascii="Arial" w:cs="Arial" w:eastAsia="Arial" w:hAnsi="Arial"/>
                <w:color w:val="1A1A1A"/>
                <w:sz w:val="22"/>
                <w:szCs w:val="22"/>
              </w:rPr>
              <w:t xml:space="preserve">Refraction (eye test to determine prescription for glasses)</w:t>
            </w:r>
          </w:p>
          <w:p>
            <w:pPr>
              <w:pStyle w:val="ListParagraph"/>
              <w:numPr>
                <w:ilvl w:val="0"/>
                <w:numId w:val="2"/>
              </w:numPr>
            </w:pPr>
            <w:r>
              <w:rPr>
                <w:rFonts w:ascii="Arial" w:cs="Arial" w:eastAsia="Arial" w:hAnsi="Arial"/>
                <w:color w:val="1A1A1A"/>
                <w:sz w:val="22"/>
                <w:szCs w:val="22"/>
              </w:rPr>
              <w:t xml:space="preserve">Visual fields assessment</w:t>
            </w:r>
          </w:p>
          <w:p>
            <w:pPr>
              <w:pStyle w:val="ListParagraph"/>
              <w:numPr>
                <w:ilvl w:val="0"/>
                <w:numId w:val="2"/>
              </w:numPr>
            </w:pPr>
            <w:r>
              <w:rPr>
                <w:rFonts w:ascii="Arial" w:cs="Arial" w:eastAsia="Arial" w:hAnsi="Arial"/>
                <w:color w:val="1A1A1A"/>
                <w:sz w:val="22"/>
                <w:szCs w:val="22"/>
              </w:rPr>
              <w:t xml:space="preserve">Eye scan</w:t>
            </w:r>
          </w:p>
          <w:p>
            <w:pPr>
              <w:pStyle w:val="ListParagraph"/>
              <w:numPr>
                <w:ilvl w:val="0"/>
                <w:numId w:val="2"/>
              </w:numPr>
            </w:pPr>
            <w:r>
              <w:rPr>
                <w:rFonts w:ascii="Arial" w:cs="Arial" w:eastAsia="Arial" w:hAnsi="Arial"/>
                <w:color w:val="1A1A1A"/>
                <w:sz w:val="22"/>
                <w:szCs w:val="22"/>
              </w:rPr>
              <w:t xml:space="preserve">Keratometry (measuring the curvature of the cornea's anterior surface)</w:t>
            </w:r>
          </w:p>
          <w:p>
            <w:pPr>
              <w:pStyle w:val="ListParagraph"/>
              <w:numPr>
                <w:ilvl w:val="0"/>
                <w:numId w:val="2"/>
              </w:numPr>
            </w:pPr>
            <w:r>
              <w:rPr>
                <w:rFonts w:ascii="Arial" w:cs="Arial" w:eastAsia="Arial" w:hAnsi="Arial"/>
                <w:color w:val="1A1A1A"/>
                <w:sz w:val="22"/>
                <w:szCs w:val="22"/>
              </w:rPr>
              <w:t xml:space="preserve">Cataract removal surgery</w:t>
            </w:r>
          </w:p>
          <w:p>
            <w:pPr>
              <w:pStyle w:val="ListParagraph"/>
              <w:numPr>
                <w:ilvl w:val="0"/>
                <w:numId w:val="2"/>
              </w:numPr>
            </w:pPr>
            <w:r>
              <w:rPr>
                <w:rFonts w:ascii="Arial" w:cs="Arial" w:eastAsia="Arial" w:hAnsi="Arial"/>
                <w:color w:val="1A1A1A"/>
                <w:sz w:val="22"/>
                <w:szCs w:val="22"/>
              </w:rPr>
              <w:t xml:space="preserve">Eyelid surgery</w:t>
            </w:r>
          </w:p>
        </w:tc>
      </w:tr>
    </w:tbl>
    <w:p>
      <w:pPr>
        <w:spacing w:after="0" w:before="240"/>
      </w:pPr>
      <w:r>
        <w:t xml:space="preserve"/>
      </w:r>
    </w:p>
    <w:p>
      <w:pPr>
        <w:pBdr>
          <w:bottom w:val="single" w:color="1D6A4A" w:sz="6" w:space="1"/>
        </w:pBdr>
        <w:shd w:fill="1D6A4A" w:val="clear"/>
        <w:spacing w:after="160" w:before="300"/>
        <w:ind w:left="200" w:right="200"/>
      </w:pPr>
      <w:r>
        <w:rPr>
          <w:rFonts w:ascii="Arial" w:cs="Arial" w:eastAsia="Arial" w:hAnsi="Arial"/>
          <w:b/>
          <w:bCs/>
          <w:color w:val="FFFFFF"/>
          <w:sz w:val="28"/>
          <w:szCs w:val="28"/>
        </w:rPr>
        <w:t xml:space="preserve">SECTION 6 — EMERGENCY SERVICES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A" w:sz="4"/>
              <w:left w:val="single" w:color="1D6A4A" w:sz="12"/>
              <w:bottom w:val="none" w:color="FFFFFF" w:sz="0"/>
              <w:right w:val="single" w:color="1D6A4A" w:sz="4"/>
            </w:tcBorders>
            <w:shd w:fill="1D6A4A" w:val="clear"/>
            <w:tcMar>
              <w:top w:type="dxa" w:w="60"/>
              <w:left w:type="dxa" w:w="140"/>
              <w:bottom w:type="dxa" w:w="60"/>
              <w:right w:type="dxa" w:w="140"/>
            </w:tcMar>
          </w:tcPr>
          <w:p>
            <w:r>
              <w:rPr>
                <w:rFonts w:ascii="Arial" w:cs="Arial" w:eastAsia="Arial" w:hAnsi="Arial"/>
                <w:b/>
                <w:bCs/>
                <w:color w:val="FFFFFF"/>
                <w:sz w:val="18"/>
                <w:szCs w:val="18"/>
              </w:rPr>
              <w:t xml:space="preserve">ID: coverage_emg_001   </w:t>
            </w:r>
            <w:r>
              <w:rPr>
                <w:rFonts w:ascii="Arial" w:cs="Arial" w:eastAsia="Arial" w:hAnsi="Arial"/>
                <w:color w:val="FFFFFF"/>
                <w:sz w:val="18"/>
                <w:szCs w:val="18"/>
              </w:rPr>
              <w:t xml:space="preserve">[category: coverage]  </w:t>
            </w:r>
            <w:r>
              <w:rPr>
                <w:rFonts w:ascii="Arial" w:cs="Arial" w:eastAsia="Arial" w:hAnsi="Arial"/>
                <w:color w:val="FFFFFF"/>
                <w:sz w:val="18"/>
                <w:szCs w:val="18"/>
              </w:rPr>
              <w:t xml:space="preserve">[subcategory: emergency]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1D6A4A" w:sz="12"/>
              <w:bottom w:val="none" w:color="FFFFFF" w:sz="0"/>
              <w:right w:val="single" w:color="1D6A4A" w:sz="4"/>
            </w:tcBorders>
            <w:shd w:fill="E8F5EE" w:val="clear"/>
            <w:tcMar>
              <w:top w:type="dxa" w:w="80"/>
              <w:left w:type="dxa" w:w="140"/>
              <w:bottom w:type="dxa" w:w="40"/>
              <w:right w:type="dxa" w:w="140"/>
            </w:tcMar>
          </w:tcPr>
          <w:p>
            <w:r>
              <w:rPr>
                <w:rFonts w:ascii="Arial" w:cs="Arial" w:eastAsia="Arial" w:hAnsi="Arial"/>
                <w:b/>
                <w:bCs/>
                <w:color w:val="1D6A4A"/>
                <w:sz w:val="24"/>
                <w:szCs w:val="24"/>
              </w:rPr>
              <w:t xml:space="preserve">All emergencies are covered</w:t>
            </w:r>
          </w:p>
        </w:tc>
      </w:tr>
      <w:tr>
        <w:tc>
          <w:tcPr>
            <w:tcW w:type="dxa" w:w="9360"/>
            <w:tcBorders>
              <w:top w:val="none" w:color="FFFFFF" w:sz="0"/>
              <w:left w:val="single" w:color="1D6A4A" w:sz="12"/>
              <w:bottom w:val="single" w:color="1D6A4A" w:sz="4"/>
              <w:right w:val="single" w:color="1D6A4A" w:sz="4"/>
            </w:tcBorders>
            <w:shd w:fill="E8F5EE" w:val="clear"/>
            <w:tcMar>
              <w:top w:type="dxa" w:w="40"/>
              <w:left w:type="dxa" w:w="140"/>
              <w:bottom w:type="dxa" w:w="120"/>
              <w:right w:type="dxa" w:w="140"/>
            </w:tcMar>
          </w:tcPr>
          <w:p>
            <w:pPr>
              <w:spacing w:after="80"/>
            </w:pPr>
            <w:r>
              <w:rPr>
                <w:rFonts w:ascii="Arial" w:cs="Arial" w:eastAsia="Arial" w:hAnsi="Arial"/>
                <w:color w:val="1A1A1A"/>
                <w:sz w:val="22"/>
                <w:szCs w:val="22"/>
              </w:rPr>
              <w:t xml:space="preserve">NHIS covers all emergency health situations that demand urgent intervention. This is a broad, comprehensive category — you cannot be refused emergency care or asked to pay upfront because of your NHIS status. Emergency types covered include:</w:t>
            </w:r>
          </w:p>
          <w:p>
            <w:pPr>
              <w:pStyle w:val="ListParagraph"/>
              <w:numPr>
                <w:ilvl w:val="0"/>
                <w:numId w:val="2"/>
              </w:numPr>
            </w:pPr>
            <w:r>
              <w:rPr>
                <w:rFonts w:ascii="Arial" w:cs="Arial" w:eastAsia="Arial" w:hAnsi="Arial"/>
                <w:color w:val="1A1A1A"/>
                <w:sz w:val="22"/>
                <w:szCs w:val="22"/>
              </w:rPr>
              <w:t xml:space="preserve">Medical emergencies</w:t>
            </w:r>
          </w:p>
          <w:p>
            <w:pPr>
              <w:pStyle w:val="ListParagraph"/>
              <w:numPr>
                <w:ilvl w:val="0"/>
                <w:numId w:val="2"/>
              </w:numPr>
            </w:pPr>
            <w:r>
              <w:rPr>
                <w:rFonts w:ascii="Arial" w:cs="Arial" w:eastAsia="Arial" w:hAnsi="Arial"/>
                <w:color w:val="1A1A1A"/>
                <w:sz w:val="22"/>
                <w:szCs w:val="22"/>
              </w:rPr>
              <w:t xml:space="preserve">Surgical emergencies — including brain surgery or heart surgery due to accidents</w:t>
            </w:r>
          </w:p>
          <w:p>
            <w:pPr>
              <w:pStyle w:val="ListParagraph"/>
              <w:numPr>
                <w:ilvl w:val="0"/>
                <w:numId w:val="2"/>
              </w:numPr>
            </w:pPr>
            <w:r>
              <w:rPr>
                <w:rFonts w:ascii="Arial" w:cs="Arial" w:eastAsia="Arial" w:hAnsi="Arial"/>
                <w:color w:val="1A1A1A"/>
                <w:sz w:val="22"/>
                <w:szCs w:val="22"/>
              </w:rPr>
              <w:t xml:space="preserve">Paediatric (children's) emergencies</w:t>
            </w:r>
          </w:p>
          <w:p>
            <w:pPr>
              <w:pStyle w:val="ListParagraph"/>
              <w:numPr>
                <w:ilvl w:val="0"/>
                <w:numId w:val="2"/>
              </w:numPr>
            </w:pPr>
            <w:r>
              <w:rPr>
                <w:rFonts w:ascii="Arial" w:cs="Arial" w:eastAsia="Arial" w:hAnsi="Arial"/>
                <w:color w:val="1A1A1A"/>
                <w:sz w:val="22"/>
                <w:szCs w:val="22"/>
              </w:rPr>
              <w:t xml:space="preserve">Obstetric and gynaecological emergencies — including emergency caesarean sections</w:t>
            </w:r>
          </w:p>
          <w:p>
            <w:pPr>
              <w:pStyle w:val="ListParagraph"/>
              <w:numPr>
                <w:ilvl w:val="0"/>
                <w:numId w:val="2"/>
              </w:numPr>
            </w:pPr>
            <w:r>
              <w:rPr>
                <w:rFonts w:ascii="Arial" w:cs="Arial" w:eastAsia="Arial" w:hAnsi="Arial"/>
                <w:color w:val="1A1A1A"/>
                <w:sz w:val="22"/>
                <w:szCs w:val="22"/>
              </w:rPr>
              <w:t xml:space="preserve">Road traffic accidents (RTAs)</w:t>
            </w:r>
          </w:p>
          <w:p>
            <w:pPr>
              <w:pStyle w:val="ListParagraph"/>
              <w:numPr>
                <w:ilvl w:val="0"/>
                <w:numId w:val="2"/>
              </w:numPr>
            </w:pPr>
            <w:r>
              <w:rPr>
                <w:rFonts w:ascii="Arial" w:cs="Arial" w:eastAsia="Arial" w:hAnsi="Arial"/>
                <w:color w:val="1A1A1A"/>
                <w:sz w:val="22"/>
                <w:szCs w:val="22"/>
              </w:rPr>
              <w:t xml:space="preserve">Industrial and workplace accidents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4"/>
              <w:left w:val="single" w:color="7A4F00" w:sz="12"/>
              <w:bottom w:val="none" w:color="FFFFFF" w:sz="0"/>
              <w:right w:val="single" w:color="7A4F00" w:sz="4"/>
            </w:tcBorders>
            <w:shd w:fill="7A4F00" w:val="clear"/>
            <w:tcMar>
              <w:top w:type="dxa" w:w="60"/>
              <w:left w:type="dxa" w:w="140"/>
              <w:bottom w:type="dxa" w:w="60"/>
              <w:right w:type="dxa" w:w="140"/>
            </w:tcMar>
          </w:tcPr>
          <w:p>
            <w:r>
              <w:rPr>
                <w:rFonts w:ascii="Arial" w:cs="Arial" w:eastAsia="Arial" w:hAnsi="Arial"/>
                <w:b/>
                <w:bCs/>
                <w:color w:val="FFFFFF"/>
                <w:sz w:val="18"/>
                <w:szCs w:val="18"/>
              </w:rPr>
              <w:t xml:space="preserve">ID: coverage_emg_002   </w:t>
            </w:r>
            <w:r>
              <w:rPr>
                <w:rFonts w:ascii="Arial" w:cs="Arial" w:eastAsia="Arial" w:hAnsi="Arial"/>
                <w:color w:val="FFFFFF"/>
                <w:sz w:val="18"/>
                <w:szCs w:val="18"/>
              </w:rPr>
              <w:t xml:space="preserve">[category: coverage]  </w:t>
            </w:r>
            <w:r>
              <w:rPr>
                <w:rFonts w:ascii="Arial" w:cs="Arial" w:eastAsia="Arial" w:hAnsi="Arial"/>
                <w:color w:val="FFFFFF"/>
                <w:sz w:val="18"/>
                <w:szCs w:val="18"/>
              </w:rPr>
              <w:t xml:space="preserve">[subcategory: emergency:brain_heart]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7A4F00" w:sz="12"/>
              <w:bottom w:val="none" w:color="FFFFFF" w:sz="0"/>
              <w:right w:val="single" w:color="7A4F00" w:sz="4"/>
            </w:tcBorders>
            <w:shd w:fill="FEF3E2" w:val="clear"/>
            <w:tcMar>
              <w:top w:type="dxa" w:w="80"/>
              <w:left w:type="dxa" w:w="140"/>
              <w:bottom w:type="dxa" w:w="40"/>
              <w:right w:type="dxa" w:w="140"/>
            </w:tcMar>
          </w:tcPr>
          <w:p>
            <w:r>
              <w:rPr>
                <w:rFonts w:ascii="Arial" w:cs="Arial" w:eastAsia="Arial" w:hAnsi="Arial"/>
                <w:b/>
                <w:bCs/>
                <w:color w:val="7A4F00"/>
                <w:sz w:val="24"/>
                <w:szCs w:val="24"/>
              </w:rPr>
              <w:t xml:space="preserve">Important: brain and heart surgery — accidents vs. non-accidents</w:t>
            </w:r>
          </w:p>
        </w:tc>
      </w:tr>
      <w:tr>
        <w:tc>
          <w:tcPr>
            <w:tcW w:type="dxa" w:w="9360"/>
            <w:tcBorders>
              <w:top w:val="none" w:color="FFFFFF" w:sz="0"/>
              <w:left w:val="single" w:color="7A4F00" w:sz="12"/>
              <w:bottom w:val="single" w:color="7A4F00" w:sz="4"/>
              <w:right w:val="single" w:color="7A4F00" w:sz="4"/>
            </w:tcBorders>
            <w:shd w:fill="FEF3E2" w:val="clear"/>
            <w:tcMar>
              <w:top w:type="dxa" w:w="40"/>
              <w:left w:type="dxa" w:w="140"/>
              <w:bottom w:type="dxa" w:w="120"/>
              <w:right w:type="dxa" w:w="140"/>
            </w:tcMar>
          </w:tcPr>
          <w:p>
            <w:pPr>
              <w:spacing w:after="0"/>
            </w:pPr>
            <w:r>
              <w:rPr>
                <w:rFonts w:ascii="Arial" w:cs="Arial" w:eastAsia="Arial" w:hAnsi="Arial"/>
                <w:color w:val="1A1A1A"/>
                <w:sz w:val="22"/>
                <w:szCs w:val="22"/>
              </w:rPr>
              <w:t xml:space="preserve">There is a critical distinction here that the agent must handle correctly. Brain surgery and heart surgery have two different coverage rules depending on cause: (1) Brain or heart surgery RESULTING FROM AN ACCIDENT is covered under the emergency category. (2) Brain or heart surgery NOT resulting from an accident (i.e. elective or disease-based) is listed under exclusions and is NOT covered. Always ask whether the cause is accident-related when advising on this.</w:t>
            </w:r>
          </w:p>
        </w:tc>
      </w:tr>
    </w:tbl>
    <w:p>
      <w:pPr>
        <w:spacing w:after="0" w:before="240"/>
      </w:pPr>
      <w:r>
        <w:t xml:space="preserve"/>
      </w:r>
    </w:p>
    <w:p>
      <w:pPr>
        <w:pBdr>
          <w:bottom w:val="single" w:color="8B1A10" w:sz="6" w:space="1"/>
        </w:pBdr>
        <w:shd w:fill="8B1A10" w:val="clear"/>
        <w:spacing w:after="160" w:before="300"/>
        <w:ind w:left="200" w:right="200"/>
      </w:pPr>
      <w:r>
        <w:rPr>
          <w:rFonts w:ascii="Arial" w:cs="Arial" w:eastAsia="Arial" w:hAnsi="Arial"/>
          <w:b/>
          <w:bCs/>
          <w:color w:val="FFFFFF"/>
          <w:sz w:val="28"/>
          <w:szCs w:val="28"/>
        </w:rPr>
        <w:t xml:space="preserve">SECTION 7 — EXCLUSIONS (NOT COVERED)</w:t>
      </w:r>
    </w:p>
    <w:p>
      <w:pPr>
        <w:spacing w:after="0" w:before="120"/>
      </w:pPr>
      <w:r>
        <w:t xml:space="preserve"/>
      </w:r>
    </w:p>
    <w:p>
      <w:pPr>
        <w:spacing w:after="160"/>
      </w:pPr>
      <w:r>
        <w:rPr>
          <w:rFonts w:ascii="Arial" w:cs="Arial" w:eastAsia="Arial" w:hAnsi="Arial"/>
          <w:b/>
          <w:bCs/>
          <w:color w:val="8B1A10"/>
          <w:sz w:val="22"/>
          <w:szCs w:val="22"/>
        </w:rPr>
        <w:t xml:space="preserve">The following services and items are explicitly excluded from NHIS coverage. Telling a patient any of these are covered would be a critical error. Each exclusion is a separate chunk so the agent can retrieve them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exclusion_001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rehabilitation]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Rehabilitation (other than physiotherapy)</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Rehabilitation services are excluded from NHIS, with the single exception of physiotherapy. This means services such as occupational therapy, speech therapy, and other rehabilitation programs are not covered.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exclusion_002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appliances]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Appliances and prostheses</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Medical appliances and prosthetic devices are not covered. This includes: optical aids (glasses, contact lenses), hearing aids, orthopaedic aids (braces, splints, artificial limbs), and dentures.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exclusion_003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cosmetic_surgery]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Cosmetic and aesthetic surgery (with one exception)</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Cosmetic surgeries and aesthetic treatments are not covered. EXCEPTION: Reconstructive surgery such as that performed on burns patients IS covered under NHIS. If a patient asks about cosmetic surgery, the answer is no — but if they ask about burns reconstruction or medical reconstructive surgery, the answer may be yes.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exclusion_004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hiv_arvs]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HIV antiretroviral (ARV) medicines</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HIV antiretroviral medicines are explicitly excluded from the NHIS Medicines List and are not covered by NHIS. They are provided through the separate National AIDS Programme. Important distinction: treatment of HIV-related opportunistic infections (e.g. treating TB in an HIV patient) IS covered at the outpatient level — but the ARV drugs themselves are not.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exclusion_005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assisted_reproduction]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Assisted reproduction</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Assisted reproduction procedures are not covered. This includes artificial insemination (IVF and other fertility treatments) and gynaecological hormone replacement therapy.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exclusion_006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echocardiography]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Echocardiography</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Echocardiography (a painless test that uses sound waves to create moving pictures of the heart, giving information about its size, shape, and function) is not covered under NHIS.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exclusion_007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photography]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Clinical photography</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Clinical photography — photographs taken in clinics or hospitals to give visual records of a patient's condition and operations for tracking treatment progress in medical files — is not covered under NHIS.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exclusion_008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angiography]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Angiography</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Angiography — a procedure where a dye is injected into the blood vessels and an X-ray or photograph of the vessels is taken to assess blockages or abnormalities — is not covered under NHIS.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exclusion_009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orthoptics]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Orthoptics</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Orthoptics — the diagnosis and treatment of defective eye movements and coordination (e.g. for squint/strabismus correction therapy) — is not covered. Note: general eye care such as cataract removal and eyelid surgery IS covered.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exclusion_010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dialysis]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Dialysis for chronic kidney failure</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Dialysis for chronic kidney failure is explicitly excluded from NHIS coverage. This is an important and commonly asked question — patients with chronic renal failure cannot use NHIS to pay for dialysis sessions. Note: as of 2024, there were government announcements about limited dialysis additions — always verify the current policy before advising, as this may have been updated.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exclusion_011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brain_heart_noaccident]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Heart and brain surgery (non-accident)</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Heart and brain surgery that does not result from an accident is not covered. Only brain surgery or heart surgery that directly results from a road traffic accident, workplace accident, or other traumatic accident is covered under the emergency category.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exclusion_012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cancer_general]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Cancer treatment (except cervical and breast)</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Cancer treatment is only covered for cervical cancer and breast cancer. Treatment for all other types of cancer — including prostate cancer, lung cancer, colon cancer, liver cancer, lymphoma, leukaemia, and all others — is not covered. Diagnosis and treatment of complications arising from any cancer (e.g. anaemia, obstruction) IS covered.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exclusion_013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organ_transplant]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Organ transplantation</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Organ transplantation procedures of any kind are not covered under NHIS. This includes kidney transplants, liver transplants, heart transplants, and all other organ or tissue transplant procedures.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exclusion_014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non_nhis_medicines]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Medicines not on the NHIS Medicines List</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Any medicine that does not appear on the official NHIS Medicines List is not covered and cannot be charged to your NHIS card. The 2025 list contains 551 medicines described by their generic (INN) names. If a pharmacy tries to charge you for a medicine, check whether its generic name is on the list. Branded versions of listed medicines should still be dispensed — the patient should not pay if the generic equivalent is on the list.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exclusion_015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treatment_abroad]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Diagnosis and treatment abroad</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Any medical diagnosis or treatment sought outside Ghana is not covered by NHIS. NHIS only covers services delivered within Ghana at NHIA-accredited facilities.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exclusion_016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medicals]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Medical examinations for non-clinical purposes</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Medical examinations carried out for purposes other than treatment are not covered. This includes: employment medicals, school admission medicals, visa application medicals, and driving licence medicals.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exclusion_017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vip_ward]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VIP ward accommodation</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VIP ward accommodation is not covered under NHIS. NHIS covers general ward accommodation only. If a patient chooses to be admitted to a VIP or private room, the additional cost is their personal expense.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0" w:sz="4"/>
              <w:left w:val="single" w:color="8B1A10" w:sz="12"/>
              <w:bottom w:val="none" w:color="FFFFFF" w:sz="0"/>
              <w:right w:val="single" w:color="8B1A10" w:sz="4"/>
            </w:tcBorders>
            <w:shd w:fill="8B1A10" w:val="clear"/>
            <w:tcMar>
              <w:top w:type="dxa" w:w="60"/>
              <w:left w:type="dxa" w:w="140"/>
              <w:bottom w:type="dxa" w:w="60"/>
              <w:right w:type="dxa" w:w="140"/>
            </w:tcMar>
          </w:tcPr>
          <w:p>
            <w:r>
              <w:rPr>
                <w:rFonts w:ascii="Arial" w:cs="Arial" w:eastAsia="Arial" w:hAnsi="Arial"/>
                <w:b/>
                <w:bCs/>
                <w:color w:val="FFFFFF"/>
                <w:sz w:val="18"/>
                <w:szCs w:val="18"/>
              </w:rPr>
              <w:t xml:space="preserve">ID: exclusion_018   </w:t>
            </w:r>
            <w:r>
              <w:rPr>
                <w:rFonts w:ascii="Arial" w:cs="Arial" w:eastAsia="Arial" w:hAnsi="Arial"/>
                <w:color w:val="FFFFFF"/>
                <w:sz w:val="18"/>
                <w:szCs w:val="18"/>
              </w:rPr>
              <w:t xml:space="preserve">[category: exclusions]  </w:t>
            </w:r>
            <w:r>
              <w:rPr>
                <w:rFonts w:ascii="Arial" w:cs="Arial" w:eastAsia="Arial" w:hAnsi="Arial"/>
                <w:color w:val="FFFFFF"/>
                <w:sz w:val="18"/>
                <w:szCs w:val="18"/>
              </w:rPr>
              <w:t xml:space="preserve">[subcategory: mortuary]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8B1A10" w:sz="12"/>
              <w:bottom w:val="none" w:color="FFFFFF" w:sz="0"/>
              <w:right w:val="single" w:color="8B1A10" w:sz="4"/>
            </w:tcBorders>
            <w:shd w:fill="FDECEA" w:val="clear"/>
            <w:tcMar>
              <w:top w:type="dxa" w:w="80"/>
              <w:left w:type="dxa" w:w="140"/>
              <w:bottom w:type="dxa" w:w="40"/>
              <w:right w:type="dxa" w:w="140"/>
            </w:tcMar>
          </w:tcPr>
          <w:p>
            <w:r>
              <w:rPr>
                <w:rFonts w:ascii="Arial" w:cs="Arial" w:eastAsia="Arial" w:hAnsi="Arial"/>
                <w:b/>
                <w:bCs/>
                <w:color w:val="8B1A10"/>
                <w:sz w:val="24"/>
                <w:szCs w:val="24"/>
              </w:rPr>
              <w:t xml:space="preserve">NOT covered: Mortuary services</w:t>
            </w:r>
          </w:p>
        </w:tc>
      </w:tr>
      <w:tr>
        <w:tc>
          <w:tcPr>
            <w:tcW w:type="dxa" w:w="9360"/>
            <w:tcBorders>
              <w:top w:val="none" w:color="FFFFFF" w:sz="0"/>
              <w:left w:val="single" w:color="8B1A10" w:sz="12"/>
              <w:bottom w:val="single" w:color="8B1A10" w:sz="4"/>
              <w:right w:val="single" w:color="8B1A10" w:sz="4"/>
            </w:tcBorders>
            <w:shd w:fill="FDECEA" w:val="clear"/>
            <w:tcMar>
              <w:top w:type="dxa" w:w="40"/>
              <w:left w:type="dxa" w:w="140"/>
              <w:bottom w:type="dxa" w:w="120"/>
              <w:right w:type="dxa" w:w="140"/>
            </w:tcMar>
          </w:tcPr>
          <w:p>
            <w:pPr>
              <w:spacing w:after="0"/>
            </w:pPr>
            <w:r>
              <w:rPr>
                <w:rFonts w:ascii="Arial" w:cs="Arial" w:eastAsia="Arial" w:hAnsi="Arial"/>
                <w:color w:val="1A1A1A"/>
                <w:sz w:val="22"/>
                <w:szCs w:val="22"/>
              </w:rPr>
              <w:t xml:space="preserve">Mortuary services are not covered under NHIS. Families of deceased patients are responsible for mortuary fees.</w:t>
            </w:r>
          </w:p>
        </w:tc>
      </w:tr>
    </w:tbl>
    <w:p>
      <w:pPr>
        <w:spacing w:after="0" w:before="240"/>
      </w:pPr>
      <w:r>
        <w:t xml:space="preserve"/>
      </w:r>
    </w:p>
    <w:p>
      <w:pPr>
        <w:pBdr>
          <w:bottom w:val="single" w:color="0C4A7C" w:sz="6" w:space="1"/>
        </w:pBdr>
        <w:shd w:fill="0C4A7C" w:val="clear"/>
        <w:spacing w:after="160" w:before="300"/>
        <w:ind w:left="200" w:right="200"/>
      </w:pPr>
      <w:r>
        <w:rPr>
          <w:rFonts w:ascii="Arial" w:cs="Arial" w:eastAsia="Arial" w:hAnsi="Arial"/>
          <w:b/>
          <w:bCs/>
          <w:color w:val="FFFFFF"/>
          <w:sz w:val="28"/>
          <w:szCs w:val="28"/>
        </w:rPr>
        <w:t xml:space="preserve">SECTION 8 — CONTACT DETAILS &amp; ESCALATION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4A7C" w:sz="4"/>
              <w:left w:val="single" w:color="0C4A7C" w:sz="12"/>
              <w:bottom w:val="none" w:color="FFFFFF" w:sz="0"/>
              <w:right w:val="single" w:color="0C4A7C" w:sz="4"/>
            </w:tcBorders>
            <w:shd w:fill="0C4A7C" w:val="clear"/>
            <w:tcMar>
              <w:top w:type="dxa" w:w="60"/>
              <w:left w:type="dxa" w:w="140"/>
              <w:bottom w:type="dxa" w:w="60"/>
              <w:right w:type="dxa" w:w="140"/>
            </w:tcMar>
          </w:tcPr>
          <w:p>
            <w:r>
              <w:rPr>
                <w:rFonts w:ascii="Arial" w:cs="Arial" w:eastAsia="Arial" w:hAnsi="Arial"/>
                <w:b/>
                <w:bCs/>
                <w:color w:val="FFFFFF"/>
                <w:sz w:val="18"/>
                <w:szCs w:val="18"/>
              </w:rPr>
              <w:t xml:space="preserve">ID: contact_001   </w:t>
            </w:r>
            <w:r>
              <w:rPr>
                <w:rFonts w:ascii="Arial" w:cs="Arial" w:eastAsia="Arial" w:hAnsi="Arial"/>
                <w:color w:val="FFFFFF"/>
                <w:sz w:val="18"/>
                <w:szCs w:val="18"/>
              </w:rPr>
              <w:t xml:space="preserve">[category: disputes]  </w:t>
            </w:r>
            <w:r>
              <w:rPr>
                <w:rFonts w:ascii="Arial" w:cs="Arial" w:eastAsia="Arial" w:hAnsi="Arial"/>
                <w:color w:val="FFFFFF"/>
                <w:sz w:val="18"/>
                <w:szCs w:val="18"/>
              </w:rPr>
              <w:t xml:space="preserve">[subcategory: contact_nhia]  </w:t>
            </w:r>
            <w:r>
              <w:rPr>
                <w:rFonts w:ascii="Arial" w:cs="Arial" w:eastAsia="Arial" w:hAnsi="Arial"/>
                <w:color w:val="FFFFFF"/>
                <w:sz w:val="18"/>
                <w:szCs w:val="18"/>
              </w:rPr>
              <w:t xml:space="preserve">[source: nhis.gov.gh/benefits]  </w:t>
            </w:r>
            <w:r>
              <w:rPr>
                <w:rFonts w:ascii="Arial" w:cs="Arial" w:eastAsia="Arial" w:hAnsi="Arial"/>
                <w:color w:val="FFFFFF"/>
                <w:sz w:val="18"/>
                <w:szCs w:val="18"/>
              </w:rPr>
              <w:t xml:space="preserve">[date: 2026-04]</w:t>
            </w:r>
          </w:p>
        </w:tc>
      </w:tr>
      <w:tr>
        <w:tc>
          <w:tcPr>
            <w:tcW w:type="dxa" w:w="9360"/>
            <w:tcBorders>
              <w:top w:val="none" w:color="FFFFFF" w:sz="0"/>
              <w:left w:val="single" w:color="0C4A7C" w:sz="12"/>
              <w:bottom w:val="none" w:color="FFFFFF" w:sz="0"/>
              <w:right w:val="single" w:color="0C4A7C" w:sz="4"/>
            </w:tcBorders>
            <w:shd w:fill="EAF3FB" w:val="clear"/>
            <w:tcMar>
              <w:top w:type="dxa" w:w="80"/>
              <w:left w:type="dxa" w:w="140"/>
              <w:bottom w:type="dxa" w:w="40"/>
              <w:right w:type="dxa" w:w="140"/>
            </w:tcMar>
          </w:tcPr>
          <w:p>
            <w:r>
              <w:rPr>
                <w:rFonts w:ascii="Arial" w:cs="Arial" w:eastAsia="Arial" w:hAnsi="Arial"/>
                <w:b/>
                <w:bCs/>
                <w:color w:val="0C4A7C"/>
                <w:sz w:val="24"/>
                <w:szCs w:val="24"/>
              </w:rPr>
              <w:t xml:space="preserve">NHIA official contact details</w:t>
            </w:r>
          </w:p>
        </w:tc>
      </w:tr>
      <w:tr>
        <w:tc>
          <w:tcPr>
            <w:tcW w:type="dxa" w:w="9360"/>
            <w:tcBorders>
              <w:top w:val="none" w:color="FFFFFF" w:sz="0"/>
              <w:left w:val="single" w:color="0C4A7C" w:sz="12"/>
              <w:bottom w:val="single" w:color="0C4A7C" w:sz="4"/>
              <w:right w:val="single" w:color="0C4A7C" w:sz="4"/>
            </w:tcBorders>
            <w:shd w:fill="EAF3FB" w:val="clear"/>
            <w:tcMar>
              <w:top w:type="dxa" w:w="40"/>
              <w:left w:type="dxa" w:w="140"/>
              <w:bottom w:type="dxa" w:w="120"/>
              <w:right w:type="dxa" w:w="140"/>
            </w:tcMar>
          </w:tcPr>
          <w:p>
            <w:pPr>
              <w:spacing w:after="80"/>
            </w:pPr>
            <w:r>
              <w:rPr>
                <w:rFonts w:ascii="Arial" w:cs="Arial" w:eastAsia="Arial" w:hAnsi="Arial"/>
                <w:color w:val="1A1A1A"/>
                <w:sz w:val="22"/>
                <w:szCs w:val="22"/>
              </w:rPr>
              <w:t xml:space="preserve">Use these contacts to report disputes, wrongful charges, or denial of service:</w:t>
            </w:r>
          </w:p>
          <w:p>
            <w:pPr>
              <w:pStyle w:val="ListParagraph"/>
              <w:numPr>
                <w:ilvl w:val="0"/>
                <w:numId w:val="2"/>
              </w:numPr>
            </w:pPr>
            <w:r>
              <w:rPr>
                <w:rFonts w:ascii="Arial" w:cs="Arial" w:eastAsia="Arial" w:hAnsi="Arial"/>
                <w:color w:val="1A1A1A"/>
                <w:sz w:val="22"/>
                <w:szCs w:val="22"/>
              </w:rPr>
              <w:t xml:space="preserve">Phone: (0) 302 238136 / 233255 / 216970 / 241690</w:t>
            </w:r>
          </w:p>
          <w:p>
            <w:pPr>
              <w:pStyle w:val="ListParagraph"/>
              <w:numPr>
                <w:ilvl w:val="0"/>
                <w:numId w:val="2"/>
              </w:numPr>
            </w:pPr>
            <w:r>
              <w:rPr>
                <w:rFonts w:ascii="Arial" w:cs="Arial" w:eastAsia="Arial" w:hAnsi="Arial"/>
                <w:color w:val="1A1A1A"/>
                <w:sz w:val="22"/>
                <w:szCs w:val="22"/>
              </w:rPr>
              <w:t xml:space="preserve">Patient helpline: 0544446447 (for members experiencing difficulties)</w:t>
            </w:r>
          </w:p>
          <w:p>
            <w:pPr>
              <w:pStyle w:val="ListParagraph"/>
              <w:numPr>
                <w:ilvl w:val="0"/>
                <w:numId w:val="2"/>
              </w:numPr>
            </w:pPr>
            <w:r>
              <w:rPr>
                <w:rFonts w:ascii="Arial" w:cs="Arial" w:eastAsia="Arial" w:hAnsi="Arial"/>
                <w:color w:val="1A1A1A"/>
                <w:sz w:val="22"/>
                <w:szCs w:val="22"/>
              </w:rPr>
              <w:t xml:space="preserve">Email: info@nhia.gov.gh</w:t>
            </w:r>
          </w:p>
          <w:p>
            <w:pPr>
              <w:pStyle w:val="ListParagraph"/>
              <w:numPr>
                <w:ilvl w:val="0"/>
                <w:numId w:val="2"/>
              </w:numPr>
            </w:pPr>
            <w:r>
              <w:rPr>
                <w:rFonts w:ascii="Arial" w:cs="Arial" w:eastAsia="Arial" w:hAnsi="Arial"/>
                <w:color w:val="1A1A1A"/>
                <w:sz w:val="22"/>
                <w:szCs w:val="22"/>
              </w:rPr>
              <w:t xml:space="preserve">Address: No. 36, 6th Avenue, Opposite AU Suite, Ridge Residential Area, Accra</w:t>
            </w:r>
          </w:p>
        </w:tc>
      </w:tr>
    </w:tbl>
    <w:p>
      <w:pPr>
        <w:spacing w:after="0" w:before="240"/>
      </w:pPr>
      <w:r>
        <w:t xml:space="preserve"/>
      </w:r>
    </w:p>
    <w:p>
      <w:pPr>
        <w:pBdr>
          <w:bottom w:val="single" w:color="555555" w:sz="6" w:space="1"/>
        </w:pBdr>
        <w:shd w:fill="555555" w:val="clear"/>
        <w:spacing w:after="160" w:before="300"/>
        <w:ind w:left="200" w:right="200"/>
      </w:pPr>
      <w:r>
        <w:rPr>
          <w:rFonts w:ascii="Arial" w:cs="Arial" w:eastAsia="Arial" w:hAnsi="Arial"/>
          <w:b/>
          <w:bCs/>
          <w:color w:val="FFFFFF"/>
          <w:sz w:val="28"/>
          <w:szCs w:val="28"/>
        </w:rPr>
        <w:t xml:space="preserve">SECTION 9 — HOW TO CONVERT THIS TO JSON</w:t>
      </w:r>
    </w:p>
    <w:p>
      <w:pPr>
        <w:spacing w:after="0" w:before="120"/>
      </w:pPr>
      <w:r>
        <w:t xml:space="preserve"/>
      </w:r>
    </w:p>
    <w:p>
      <w:pPr>
        <w:spacing w:after="160"/>
      </w:pPr>
      <w:r>
        <w:rPr>
          <w:rFonts w:ascii="Arial" w:cs="Arial" w:eastAsia="Arial" w:hAnsi="Arial"/>
          <w:color w:val="1A1A1A"/>
          <w:sz w:val="22"/>
          <w:szCs w:val="22"/>
        </w:rPr>
        <w:t xml:space="preserve">Once you have reviewed and verified all chunks above, you will convert this document into a JSON file for loading into the vector database. Below is the exact format to use for each chunk. Copy the metadata from the green bar of each box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r>
              <w:rPr>
                <w:rFonts w:ascii="Courier New" w:cs="Courier New" w:eastAsia="Courier New" w:hAnsi="Courier New"/>
                <w:color w:val="ABB2BF"/>
                <w:sz w:val="20"/>
                <w:szCs w:val="20"/>
              </w:rPr>
              <w:t xml:space="preserve">[</w:t>
            </w:r>
          </w:p>
          <w:p>
            <w:r>
              <w:rPr>
                <w:rFonts w:ascii="Courier New" w:cs="Courier New" w:eastAsia="Courier New" w:hAnsi="Courier New"/>
                <w:color w:val="ABB2BF"/>
                <w:sz w:val="20"/>
                <w:szCs w:val="20"/>
              </w:rPr>
              <w:t xml:space="preserve">  {</w:t>
            </w:r>
          </w:p>
          <w:p>
            <w:r>
              <w:rPr>
                <w:rFonts w:ascii="Courier New" w:cs="Courier New" w:eastAsia="Courier New" w:hAnsi="Courier New"/>
                <w:color w:val="98C379"/>
                <w:sz w:val="20"/>
                <w:szCs w:val="20"/>
              </w:rPr>
              <w:t xml:space="preserve">    "id": "coverage_mat_001",</w:t>
            </w:r>
          </w:p>
          <w:p>
            <w:r>
              <w:rPr>
                <w:rFonts w:ascii="Courier New" w:cs="Courier New" w:eastAsia="Courier New" w:hAnsi="Courier New"/>
                <w:color w:val="98C379"/>
                <w:sz w:val="20"/>
                <w:szCs w:val="20"/>
              </w:rPr>
              <w:t xml:space="preserve">    "category": "coverage",</w:t>
            </w:r>
          </w:p>
          <w:p>
            <w:r>
              <w:rPr>
                <w:rFonts w:ascii="Courier New" w:cs="Courier New" w:eastAsia="Courier New" w:hAnsi="Courier New"/>
                <w:color w:val="98C379"/>
                <w:sz w:val="20"/>
                <w:szCs w:val="20"/>
              </w:rPr>
              <w:t xml:space="preserve">    "subcategory": "maternity:full",</w:t>
            </w:r>
          </w:p>
          <w:p>
            <w:r>
              <w:rPr>
                <w:rFonts w:ascii="Courier New" w:cs="Courier New" w:eastAsia="Courier New" w:hAnsi="Courier New"/>
                <w:color w:val="98C379"/>
                <w:sz w:val="20"/>
                <w:szCs w:val="20"/>
              </w:rPr>
              <w:t xml:space="preserve">    "source": "nhis.gov.gh/benefits",</w:t>
            </w:r>
          </w:p>
          <w:p>
            <w:r>
              <w:rPr>
                <w:rFonts w:ascii="Courier New" w:cs="Courier New" w:eastAsia="Courier New" w:hAnsi="Courier New"/>
                <w:color w:val="98C379"/>
                <w:sz w:val="20"/>
                <w:szCs w:val="20"/>
              </w:rPr>
              <w:t xml:space="preserve">    "date": "2026-04",</w:t>
            </w:r>
          </w:p>
          <w:p>
            <w:r>
              <w:rPr>
                <w:rFonts w:ascii="Courier New" w:cs="Courier New" w:eastAsia="Courier New" w:hAnsi="Courier New"/>
                <w:color w:val="E5C07B"/>
                <w:sz w:val="20"/>
                <w:szCs w:val="20"/>
              </w:rPr>
              <w:t xml:space="preserve">    "text": "NHIS provides complete maternity care...",</w:t>
            </w:r>
          </w:p>
          <w:p>
            <w:r>
              <w:rPr>
                <w:rFonts w:ascii="Courier New" w:cs="Courier New" w:eastAsia="Courier New" w:hAnsi="Courier New"/>
                <w:color w:val="56B6C2"/>
                <w:sz w:val="20"/>
                <w:szCs w:val="20"/>
              </w:rPr>
              <w:t xml:space="preserve">    "is_exclusion": false</w:t>
            </w:r>
          </w:p>
          <w:p>
            <w:r>
              <w:rPr>
                <w:rFonts w:ascii="Courier New" w:cs="Courier New" w:eastAsia="Courier New" w:hAnsi="Courier New"/>
                <w:color w:val="ABB2BF"/>
                <w:sz w:val="20"/>
                <w:szCs w:val="20"/>
              </w:rPr>
              <w:t xml:space="preserve">  },</w:t>
            </w:r>
          </w:p>
          <w:p>
            <w:r>
              <w:rPr>
                <w:rFonts w:ascii="Courier New" w:cs="Courier New" w:eastAsia="Courier New" w:hAnsi="Courier New"/>
                <w:color w:val="5C6370"/>
                <w:sz w:val="20"/>
                <w:szCs w:val="20"/>
              </w:rPr>
              <w:t xml:space="preserve">  { ... next chunk ... }</w:t>
            </w:r>
          </w:p>
          <w:p>
            <w:r>
              <w:rPr>
                <w:rFonts w:ascii="Courier New" w:cs="Courier New" w:eastAsia="Courier New" w:hAnsi="Courier New"/>
                <w:color w:val="ABB2BF"/>
                <w:sz w:val="20"/>
                <w:szCs w:val="20"/>
              </w:rPr>
              <w:t xml:space="preserve">]</w:t>
            </w:r>
          </w:p>
        </w:tc>
      </w:tr>
    </w:tbl>
    <w:p>
      <w:pPr>
        <w:spacing w:after="0" w:before="160"/>
      </w:pPr>
      <w:r>
        <w:t xml:space="preserve"/>
      </w:r>
    </w:p>
    <w:p>
      <w:pPr>
        <w:spacing w:before="120"/>
        <w:jc w:val="center"/>
      </w:pPr>
      <w:r>
        <w:rPr>
          <w:rFonts w:ascii="Arial" w:cs="Arial" w:eastAsia="Arial" w:hAnsi="Arial"/>
          <w:i/>
          <w:iCs/>
          <w:color w:val="5A5A5A"/>
          <w:sz w:val="20"/>
          <w:szCs w:val="20"/>
        </w:rPr>
        <w:t xml:space="preserve">Total chunks in this document: 27   |   Source: nhis.gov.gh/benefits   |   Next source: nhis.gov.gh/files/2025 NHIS ML.pdf (medicines formulary)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8"/>
        <w:szCs w:val="18"/>
      </w:rPr>
      <w:t xml:space="preserve">NHIS Knowledge Base — Benefits Package   |   Source: nhis.gov.gh/benefits   |   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6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D6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2026-04-26T06:06:31.746Z</dcterms:created>
  <dcterms:modified xsi:type="dcterms:W3CDTF">2026-04-26T06:06:31.747Z</dcterms:modified>
</cp:coreProperties>
</file>

<file path=docProps/custom.xml><?xml version="1.0" encoding="utf-8"?>
<Properties xmlns="http://schemas.openxmlformats.org/officeDocument/2006/custom-properties" xmlns:vt="http://schemas.openxmlformats.org/officeDocument/2006/docPropsVTypes"/>
</file>