
<file path=[Content_Types].xml><?xml version="1.0" encoding="utf-8"?>
<Types xmlns="http://schemas.openxmlformats.org/package/2006/content-types">
  <Default Extension="xml" ContentType="application/xml"/>
  <Default Extension="bmp" ContentType="image/bmp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概率论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拟合优度</w:t>
      </w:r>
    </w:p>
    <w:p>
      <w:r>
        <w:t>1 Pearson相关系数</w:t>
      </w:r>
    </w:p>
    <w:p>
      <w:r>
        <w:t>皮尔森相关系数（Pearson correlation coefficient）也称皮尔森积矩相关系数(Pearson product-moment correlation coefficient) ，是一种线性相关系数。皮尔森相关系数是用来反映两个变量线性相关程度的统计量，相关系数用r表示。</w:t>
      </w:r>
      <w:r>
        <w:rPr>
          <w:rFonts w:hint="default"/>
        </w:rPr>
        <w:t> </w:t>
      </w:r>
      <w:r>
        <w:rPr>
          <w:rFonts w:hint="default"/>
        </w:rPr>
        <w:br w:type="textWrapping"/>
      </w:r>
      <w:r>
        <w:rPr>
          <w:rFonts w:hint="default"/>
        </w:rPr>
        <w:t>r描述的是两个变量间线性相关强弱的程度。r的取值在-1与+1之间，若r&gt;0，表明两个变量是正相关，即一个变量的值越大，另一个变量的值也会越大；若r&lt;0，表明两个变量是负相关，即一个变量的值越大另一个变量的值反而会越小。r 的绝对值越大表明相关性越强，要注意的是这里并不存在因果关系。若r=0，表明两个变量间不是线性相关，但有可能是其他方式的相关（比如曲线方式）。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4648200" cy="1676400"/>
            <wp:effectExtent l="0" t="0" r="0" b="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0" w:name="t1"/>
      <w:bookmarkEnd w:id="0"/>
      <w:r>
        <w:t>2 泊松分布</w:t>
      </w:r>
    </w:p>
    <w:p>
      <w:r>
        <w:rPr>
          <w:rFonts w:hint="default"/>
        </w:rPr>
        <w:t>泊松分布（Poisson distribution），台译卜瓦松分布，是一种统计与概率学里常见到的离散机率分布（discrete probability distribution）。泊松分布是以18～19 世纪的法国数学家西莫恩•德尼•泊松（Siméon-Denis Poisson）命名的，他在1838年时发表。泊松分布的概率函数为：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009775" cy="447675"/>
            <wp:effectExtent l="0" t="0" r="9525" b="9525"/>
            <wp:docPr id="2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 </w:t>
      </w:r>
      <w:r>
        <w:rPr>
          <w:rFonts w:hint="default"/>
        </w:rPr>
        <w:br w:type="textWrapping"/>
      </w:r>
      <w:r>
        <w:rPr>
          <w:rFonts w:hint="default"/>
        </w:rPr>
        <w:t>泊松分布的参数λ是单位时间(或单位面积)内随机事件的平均发生率。泊松分布适合于描述单位时间内随机事件发生的次数。 </w:t>
      </w:r>
      <w:r>
        <w:rPr>
          <w:rFonts w:hint="default"/>
        </w:rPr>
        <w:br w:type="textWrapping"/>
      </w:r>
      <w:r>
        <w:rPr>
          <w:rFonts w:hint="default"/>
        </w:rPr>
        <w:t>泊松分布是二项分布的特例，如果某些现象发生的概率很小，且样本例数很大，则二项分布逼近泊松分布。 </w:t>
      </w:r>
      <w:r>
        <w:rPr>
          <w:rFonts w:hint="default"/>
        </w:rPr>
        <w:br w:type="textWrapping"/>
      </w:r>
      <w:bookmarkStart w:id="6" w:name="_GoBack"/>
      <w:r>
        <w:rPr>
          <w:rFonts w:hint="default"/>
        </w:rPr>
        <w:drawing>
          <wp:inline distT="0" distB="0" distL="114300" distR="114300">
            <wp:extent cx="4464050" cy="2306955"/>
            <wp:effectExtent l="0" t="0" r="12700" b="17145"/>
            <wp:docPr id="17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"/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4109720" cy="1876425"/>
            <wp:effectExtent l="0" t="0" r="5080" b="9525"/>
            <wp:docPr id="1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060700" cy="1777365"/>
            <wp:effectExtent l="0" t="0" r="6350" b="13335"/>
            <wp:docPr id="19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762375" cy="2512695"/>
            <wp:effectExtent l="0" t="0" r="9525" b="1905"/>
            <wp:docPr id="20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1" w:name="t2"/>
      <w:bookmarkEnd w:id="1"/>
      <w:r>
        <w:t>3 二项分布</w:t>
      </w:r>
    </w:p>
    <w:p>
      <w:r>
        <w:rPr>
          <w:rFonts w:hint="default"/>
        </w:rPr>
        <w:drawing>
          <wp:inline distT="0" distB="0" distL="114300" distR="114300">
            <wp:extent cx="4474210" cy="2030730"/>
            <wp:effectExtent l="0" t="0" r="2540" b="7620"/>
            <wp:docPr id="4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777615" cy="2130425"/>
            <wp:effectExtent l="0" t="0" r="13335" b="3175"/>
            <wp:docPr id="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4659630" cy="2120265"/>
            <wp:effectExtent l="0" t="0" r="7620" b="13335"/>
            <wp:docPr id="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4791075" cy="2240915"/>
            <wp:effectExtent l="0" t="0" r="9525" b="6985"/>
            <wp:docPr id="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4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2" w:name="t3"/>
      <w:bookmarkEnd w:id="2"/>
      <w:r>
        <w:t>4 卡方分布</w:t>
      </w:r>
    </w:p>
    <w:p>
      <w:r>
        <w:rPr>
          <w:rFonts w:hint="default"/>
        </w:rPr>
        <w:t>若n个相互独立的随机变量ξ₁、ξ₂、……、ξn ，均服从标准正态分布（也称独立同分布于标准正态分布），则这n个服从标准正态分布的随机变量的平方和构成一新的随机变量，其分布规律称为卡方分布（chi-square distribution）。其中参数n称为自由度，正如正态分布中均值或方差不同就是另一个正态分布一样，自由度不同就是另一个卡方分布。概率密度函数与曲线图如下，其中</w:t>
      </w:r>
      <w:r>
        <w:t>γ</w:t>
      </w:r>
      <w:r>
        <w:rPr>
          <w:rFonts w:hint="default"/>
        </w:rPr>
        <w:t>γ是伽玛函数：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695700" cy="2709545"/>
            <wp:effectExtent l="0" t="0" r="0" b="14605"/>
            <wp:docPr id="2" name="图片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3" w:name="t4"/>
      <w:bookmarkEnd w:id="3"/>
      <w:r>
        <w:t>5 拟合优度GOF</w:t>
      </w:r>
    </w:p>
    <w:p>
      <w:r>
        <w:rPr>
          <w:rFonts w:hint="default"/>
        </w:rPr>
        <w:t>拟合优度（Goodness of Fit）是指回归直线对观测值的拟合程度。度量拟合优度的统计量是可决系数（亦称确定系数）R^2。R^2的取值范围是[0，1]。R^2的值越接近1，说明回归直线对观测值的拟合程度越好；反之，R^2的值越接近0，说明回归直线对观测值的拟合程度越差。 </w:t>
      </w:r>
      <w:r>
        <w:rPr>
          <w:rFonts w:hint="default"/>
        </w:rPr>
        <w:br w:type="textWrapping"/>
      </w:r>
      <w:r>
        <w:rPr>
          <w:rFonts w:hint="default"/>
        </w:rPr>
        <w:t>假设检验问题就是通过从有关总体中抽取一定容量的样本，利用样本去检验总体分布是否具有某种特性。假设检验问题大致分为两大类： </w:t>
      </w:r>
      <w:r>
        <w:rPr>
          <w:rFonts w:hint="default"/>
        </w:rPr>
        <w:br w:type="textWrapping"/>
      </w:r>
      <w:r>
        <w:rPr>
          <w:rFonts w:hint="default"/>
        </w:rPr>
        <w:t>1. 参数型假设检验: 即总体的分布形式已知(如正态、指数、二项分布等)，总体分布依赖于未知参数(或参数向量)， 要检验的是有关未知参数的假设。 </w:t>
      </w:r>
      <w:r>
        <w:rPr>
          <w:rFonts w:hint="default"/>
        </w:rPr>
        <w:br w:type="textWrapping"/>
      </w:r>
      <w:r>
        <w:rPr>
          <w:rFonts w:hint="default"/>
        </w:rPr>
        <w:t>2. 非参数型假设检验: 如果总体分布形式未知，此时就需要有一种与总体分布族的具体数学形式无关的统计方法，称为非参数方法。例如，检验一批数据是否来自某个已知的总体，就属于这类问题。 </w:t>
      </w:r>
      <w:r>
        <w:rPr>
          <w:rFonts w:hint="default"/>
        </w:rPr>
        <w:br w:type="textWrapping"/>
      </w:r>
      <w:r>
        <w:rPr>
          <w:rFonts w:hint="default"/>
        </w:rPr>
        <w:t>常用的非参数假设检验方法有：符号检验、符号秩和检验、秩和检验及Fisher 置换检验和拟合优度检验。本文只对拟合优度检验做深入介绍。</w:t>
      </w:r>
    </w:p>
    <w:p>
      <w:bookmarkStart w:id="4" w:name="t5"/>
      <w:bookmarkEnd w:id="4"/>
      <w:r>
        <w:t>5.1 概念介绍</w:t>
      </w:r>
    </w:p>
    <w:p>
      <w:r>
        <w:rPr>
          <w:rFonts w:hint="default"/>
        </w:rPr>
        <w:t>拟合优度检验问题的提法如下：设有一个一维或多维随机变量X，令X0，…， Xn为总体X中抽取的简单样本，F是一已知的分布函数。要利用样本X0，…， Xn检验假设： </w:t>
      </w:r>
      <w:r>
        <w:rPr>
          <w:rFonts w:hint="default"/>
        </w:rPr>
        <w:br w:type="textWrapping"/>
      </w:r>
      <w:r>
        <w:rPr>
          <w:rFonts w:hint="default"/>
        </w:rPr>
        <w:t>H0：r.v.X的分布为F </w:t>
      </w:r>
      <w:r>
        <w:rPr>
          <w:rFonts w:hint="default"/>
        </w:rPr>
        <w:br w:type="textWrapping"/>
      </w:r>
      <w:r>
        <w:rPr>
          <w:rFonts w:hint="default"/>
        </w:rPr>
        <w:t>导出这种假设检验的想法大致如下：设法提出一个反映实际数据X0，…，Xn与理论分布F偏差的量D = D(X0，…，Xn; F)。如果D较大，如D&gt;=C，则认为理论分布F与数据X0，…，Xn不符，因而否定H0。 </w:t>
      </w:r>
      <w:r>
        <w:rPr>
          <w:rFonts w:hint="default"/>
        </w:rPr>
        <w:br w:type="textWrapping"/>
      </w:r>
      <w:r>
        <w:rPr>
          <w:rFonts w:hint="default"/>
        </w:rPr>
        <w:t>一般来说，理论和实际没有截然的符合或不符合。更恰当的提法是实际数据与理论分布符合的程度如何?因此通常对H0 的检验不是以“是”或“否”来回答，而是提供一个介于0和1之间的数字作为回答，即用此数作为符合程度的度量刻画，就具体样本算出D之值，记为d0。d0越接近1，表示样本与理论分布拟合的越好，因而原假设越可信。反之，它越接近0，则原假设H0越不可信。如果它低到指定的水平α之下，则就要否定H0了。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4006850" cy="2030095"/>
            <wp:effectExtent l="0" t="0" r="12700" b="8255"/>
            <wp:docPr id="13" name="图片 1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5" w:name="t6"/>
      <w:bookmarkEnd w:id="5"/>
      <w:r>
        <w:t>5.2 Pearson X2检验</w:t>
      </w:r>
    </w:p>
    <w:p>
      <w:r>
        <w:rPr>
          <w:rFonts w:hint="default"/>
        </w:rPr>
        <w:t>数理统计的两个主要形式就是参数估计和假设检验，拟合优度检验属于假设检验。假设检验根据样本分布族的数学形式已知与否，可分为参数假设检验和非参数假设检验，作为非参数假设检验之一的拟合优度检验，又是检验理论分布假设的重要方法。重点介绍时下讨论最多的拟合优度方法之一：Pearsonχχ2检验。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4458335" cy="2860040"/>
            <wp:effectExtent l="0" t="0" r="18415" b="16510"/>
            <wp:docPr id="14" name="图片 1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890520" cy="1423035"/>
            <wp:effectExtent l="0" t="0" r="5080" b="5715"/>
            <wp:docPr id="10" name="图片 1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798570" cy="2418715"/>
            <wp:effectExtent l="0" t="0" r="11430" b="635"/>
            <wp:docPr id="16" name="图片 1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757930" cy="2388870"/>
            <wp:effectExtent l="0" t="0" r="13970" b="11430"/>
            <wp:docPr id="12" name="图片 2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550920" cy="2522220"/>
            <wp:effectExtent l="0" t="0" r="11430" b="11430"/>
            <wp:docPr id="11" name="图片 2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917190" cy="1901190"/>
            <wp:effectExtent l="0" t="0" r="16510" b="3810"/>
            <wp:docPr id="15" name="图片 2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837180" cy="1502410"/>
            <wp:effectExtent l="0" t="0" r="1270" b="2540"/>
            <wp:docPr id="9" name="图片 2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939415" cy="2076450"/>
            <wp:effectExtent l="0" t="0" r="13335" b="0"/>
            <wp:docPr id="7" name="图片 2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260725" cy="2195195"/>
            <wp:effectExtent l="0" t="0" r="15875" b="14605"/>
            <wp:docPr id="8" name="图片 25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3191510" cy="2130425"/>
            <wp:effectExtent l="0" t="0" r="8890" b="3175"/>
            <wp:docPr id="6" name="图片 26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"https://blog.csdn.net/ESA_DSQ/article/details/71513581" \o "应用统计学与R语言实现学习笔记（七）——&lt;em&gt;拟合&lt;/em&gt;优度检验" \t "_blank" </w:instrText>
      </w:r>
      <w:r>
        <w:rPr>
          <w:rFonts w:hint="default"/>
        </w:rPr>
        <w:fldChar w:fldCharType="separate"/>
      </w:r>
    </w:p>
    <w:p>
      <w:r>
        <w:t>应用统计学与R语言实现学习笔记（七）——拟合优度检验</w:t>
      </w:r>
    </w:p>
    <w:p>
      <w:r>
        <w:rPr>
          <w:rFonts w:hint="default"/>
        </w:rPr>
        <w:fldChar w:fldCharType="end"/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Jacobian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Hessian</w:t>
      </w:r>
    </w:p>
    <w:p>
      <w:r>
        <w:rPr>
          <w:rFonts w:hint="eastAsia"/>
        </w:rPr>
        <w:t>目标函数f为一个函数向量，f=(f1(x),f2(x),…fm(x))T;</w:t>
      </w:r>
    </w:p>
    <w:p/>
    <w:p>
      <w:r>
        <w:rPr>
          <w:rFonts w:hint="eastAsia"/>
        </w:rPr>
        <w:t>其中，自变量x=(x1,x2,…,xn)T；</w:t>
      </w:r>
    </w:p>
    <w:p/>
    <w:p>
      <w:r>
        <w:rPr>
          <w:rFonts w:hint="eastAsia"/>
        </w:rPr>
        <w:t>函数向量f对x求梯度，结果为一个矩阵；行数为f的维数；列数位x的维度，称之为Jacobian矩阵；</w:t>
      </w:r>
    </w:p>
    <w:p/>
    <w:p>
      <w:r>
        <w:rPr>
          <w:rFonts w:hint="eastAsia"/>
        </w:rPr>
        <w:t>其每一行都是由相应函数的梯度向量转置构成的；</w:t>
      </w:r>
    </w:p>
    <w:p/>
    <w:p>
      <w:r>
        <w:rPr>
          <w:rFonts w:hint="eastAsia"/>
        </w:rPr>
        <w:t>【注】：梯度向量Jacobian矩阵的一个特例；</w:t>
      </w:r>
    </w:p>
    <w:p/>
    <w:p>
      <w:r>
        <w:rPr>
          <w:rFonts w:hint="eastAsia"/>
        </w:rPr>
        <w:t>当目标函数为标量函数时，Jacobian矩阵是梯度向量；</w:t>
      </w:r>
    </w:p>
    <w:p/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514850" cy="2295525"/>
            <wp:effectExtent l="0" t="0" r="0" b="9525"/>
            <wp:docPr id="23" name="图片 5" descr="IMG_25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</w:p>
    <w:p/>
    <w:p>
      <w:r>
        <w:rPr>
          <w:rFonts w:hint="eastAsia"/>
        </w:rPr>
        <w:t>Hessian矩阵：</w:t>
      </w:r>
    </w:p>
    <w:p/>
    <w:p>
      <w:r>
        <w:rPr>
          <w:rFonts w:hint="eastAsia"/>
        </w:rPr>
        <w:t>实际上，Hessian矩阵是梯度向量g(x)对自变量x的Jacobian矩阵：</w:t>
      </w:r>
    </w:p>
    <w:p/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71900" cy="2886075"/>
            <wp:effectExtent l="0" t="0" r="0" b="9525"/>
            <wp:docPr id="24" name="图片 6" descr="IMG_25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5F138A"/>
    <w:rsid w:val="341167D7"/>
    <w:rsid w:val="65DF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bmp"/><Relationship Id="rId8" Type="http://schemas.openxmlformats.org/officeDocument/2006/relationships/image" Target="media/image5.bmp"/><Relationship Id="rId7" Type="http://schemas.openxmlformats.org/officeDocument/2006/relationships/image" Target="media/image4.bmp"/><Relationship Id="rId6" Type="http://schemas.openxmlformats.org/officeDocument/2006/relationships/image" Target="media/image3.bmp"/><Relationship Id="rId5" Type="http://schemas.openxmlformats.org/officeDocument/2006/relationships/image" Target="media/image2.bmp"/><Relationship Id="rId4" Type="http://schemas.openxmlformats.org/officeDocument/2006/relationships/image" Target="media/image1.bmp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4.jpeg"/><Relationship Id="rId28" Type="http://schemas.openxmlformats.org/officeDocument/2006/relationships/hyperlink" Target="http://jingyan.baidu.com/album/cb5d6105c661bc005c2fe024.html?picindex=4" TargetMode="External"/><Relationship Id="rId27" Type="http://schemas.openxmlformats.org/officeDocument/2006/relationships/image" Target="media/image23.jpeg"/><Relationship Id="rId26" Type="http://schemas.openxmlformats.org/officeDocument/2006/relationships/hyperlink" Target="http://jingyan.baidu.com/album/cb5d6105c661bc005c2fe024.html?picindex=3" TargetMode="External"/><Relationship Id="rId25" Type="http://schemas.openxmlformats.org/officeDocument/2006/relationships/image" Target="media/image22.bmp"/><Relationship Id="rId24" Type="http://schemas.openxmlformats.org/officeDocument/2006/relationships/image" Target="media/image21.bmp"/><Relationship Id="rId23" Type="http://schemas.openxmlformats.org/officeDocument/2006/relationships/image" Target="media/image20.bmp"/><Relationship Id="rId22" Type="http://schemas.openxmlformats.org/officeDocument/2006/relationships/image" Target="media/image19.bmp"/><Relationship Id="rId21" Type="http://schemas.openxmlformats.org/officeDocument/2006/relationships/image" Target="media/image18.bmp"/><Relationship Id="rId20" Type="http://schemas.openxmlformats.org/officeDocument/2006/relationships/image" Target="media/image17.bmp"/><Relationship Id="rId2" Type="http://schemas.openxmlformats.org/officeDocument/2006/relationships/settings" Target="settings.xml"/><Relationship Id="rId19" Type="http://schemas.openxmlformats.org/officeDocument/2006/relationships/image" Target="media/image16.bmp"/><Relationship Id="rId18" Type="http://schemas.openxmlformats.org/officeDocument/2006/relationships/image" Target="media/image15.bmp"/><Relationship Id="rId17" Type="http://schemas.openxmlformats.org/officeDocument/2006/relationships/image" Target="media/image14.bmp"/><Relationship Id="rId16" Type="http://schemas.openxmlformats.org/officeDocument/2006/relationships/image" Target="media/image13.bmp"/><Relationship Id="rId15" Type="http://schemas.openxmlformats.org/officeDocument/2006/relationships/image" Target="media/image12.bmp"/><Relationship Id="rId14" Type="http://schemas.openxmlformats.org/officeDocument/2006/relationships/image" Target="media/image11.bmp"/><Relationship Id="rId13" Type="http://schemas.openxmlformats.org/officeDocument/2006/relationships/image" Target="media/image10.bmp"/><Relationship Id="rId12" Type="http://schemas.openxmlformats.org/officeDocument/2006/relationships/image" Target="media/image9.bmp"/><Relationship Id="rId11" Type="http://schemas.openxmlformats.org/officeDocument/2006/relationships/image" Target="media/image8.bmp"/><Relationship Id="rId10" Type="http://schemas.openxmlformats.org/officeDocument/2006/relationships/image" Target="media/image7.bm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Apricot</dc:creator>
  <cp:lastModifiedBy>杏牙</cp:lastModifiedBy>
  <dcterms:modified xsi:type="dcterms:W3CDTF">2018-12-17T02:32:44Z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