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网络首发时间：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2022-12-30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17:03:43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0765AB"/>
          <w:spacing w:val="0"/>
          <w:w w:val="100"/>
          <w:position w:val="0"/>
          <w:lang w:val="zh-TW" w:eastAsia="zh-TW" w:bidi="zh-TW"/>
        </w:rPr>
        <w:t>网络首发地址：</w:t>
      </w:r>
      <w:r>
        <w:fldChar w:fldCharType="begin"/>
      </w:r>
      <w:r>
        <w:rPr/>
        <w:instrText> HYPERLINK "https://kns.cnki.net/kcms/detail//13.1222.R.20221229.1707.010.html" </w:instrText>
      </w:r>
      <w:r>
        <w:fldChar w:fldCharType="separate"/>
      </w:r>
      <w:r>
        <w:rPr>
          <w:rFonts w:ascii="Times New Roman" w:eastAsia="Times New Roman" w:hAnsi="Times New Roman" w:cs="Times New Roman"/>
          <w:b w:val="0"/>
          <w:bCs w:val="0"/>
          <w:color w:val="0765AB"/>
          <w:spacing w:val="0"/>
          <w:w w:val="100"/>
          <w:position w:val="0"/>
          <w:lang w:val="en-US" w:eastAsia="en-US" w:bidi="en-US"/>
        </w:rPr>
        <w:t>https://kns.cnki.net/kcms/detail//13.1222.R.20221229.1707.010.html</w:t>
      </w:r>
      <w:r>
        <w:fldChar w:fldCharType="end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560"/>
        <w:jc w:val="both"/>
        <w:rPr>
          <w:sz w:val="22"/>
          <w:szCs w:val="22"/>
        </w:rPr>
      </w:pPr>
      <w:r>
        <w:rPr>
          <w:spacing w:val="0"/>
          <w:w w:val="100"/>
          <w:position w:val="0"/>
          <w:sz w:val="22"/>
          <w:szCs w:val="22"/>
        </w:rPr>
        <w:t>中国全科医学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•指南•共识</w:t>
      </w:r>
      <w:r>
        <w:rPr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/>
        <w:ind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《关于软骨发育不全患者的诊断、多学科管理和 终身护理的国际共识声明》要点解读</w:t>
      </w:r>
      <w:bookmarkEnd w:id="0"/>
      <w:bookmarkEnd w:id="1"/>
      <w:bookmarkEnd w:id="2"/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560"/>
        <w:jc w:val="left"/>
        <w:rPr>
          <w:sz w:val="12"/>
          <w:szCs w:val="12"/>
        </w:rPr>
      </w:pPr>
      <w:r>
        <w:rPr>
          <w:b/>
          <w:bCs/>
          <w:spacing w:val="0"/>
          <w:w w:val="100"/>
          <w:position w:val="0"/>
          <w:sz w:val="20"/>
          <w:szCs w:val="20"/>
        </w:rPr>
        <w:t>孙文文</w:t>
      </w:r>
      <w:r>
        <w:rPr>
          <w:spacing w:val="0"/>
          <w:w w:val="100"/>
          <w:position w:val="0"/>
          <w:sz w:val="12"/>
          <w:szCs w:val="12"/>
        </w:rPr>
        <w:t>1，2</w:t>
      </w:r>
      <w:r>
        <w:rPr>
          <w:b/>
          <w:bCs/>
          <w:spacing w:val="0"/>
          <w:w w:val="100"/>
          <w:position w:val="0"/>
          <w:sz w:val="20"/>
          <w:szCs w:val="20"/>
        </w:rPr>
        <w:t>,刘晶</w:t>
      </w:r>
      <w:r>
        <w:rPr>
          <w:spacing w:val="0"/>
          <w:w w:val="100"/>
          <w:position w:val="0"/>
          <w:sz w:val="12"/>
          <w:szCs w:val="12"/>
        </w:rPr>
        <w:t>2</w:t>
      </w:r>
      <w:r>
        <w:rPr>
          <w:b/>
          <w:bCs/>
          <w:spacing w:val="0"/>
          <w:w w:val="100"/>
          <w:position w:val="0"/>
          <w:sz w:val="20"/>
          <w:szCs w:val="20"/>
        </w:rPr>
        <w:t>,孔德先</w:t>
      </w:r>
      <w:r>
        <w:rPr>
          <w:spacing w:val="0"/>
          <w:w w:val="100"/>
          <w:position w:val="0"/>
          <w:sz w:val="12"/>
          <w:szCs w:val="12"/>
        </w:rPr>
        <w:t>2,3</w:t>
      </w:r>
      <w:r>
        <w:rPr>
          <w:b/>
          <w:bCs/>
          <w:spacing w:val="0"/>
          <w:w w:val="100"/>
          <w:position w:val="0"/>
          <w:sz w:val="20"/>
          <w:szCs w:val="20"/>
        </w:rPr>
        <w:t>,张智敏</w:t>
      </w:r>
      <w:r>
        <w:rPr>
          <w:spacing w:val="0"/>
          <w:w w:val="100"/>
          <w:position w:val="0"/>
          <w:sz w:val="12"/>
          <w:szCs w:val="12"/>
        </w:rPr>
        <w:t>2,4</w:t>
      </w:r>
      <w:r>
        <w:rPr>
          <w:b/>
          <w:bCs/>
          <w:spacing w:val="0"/>
          <w:w w:val="100"/>
          <w:position w:val="0"/>
          <w:sz w:val="20"/>
          <w:szCs w:val="20"/>
        </w:rPr>
        <w:t>,马慧娟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perscript"/>
        </w:rPr>
        <w:t>2</w:t>
      </w:r>
      <w:r>
        <w:rPr>
          <w:spacing w:val="0"/>
          <w:w w:val="100"/>
          <w:position w:val="0"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perscript"/>
        </w:rPr>
        <w:t>5</w:t>
      </w:r>
      <w:r>
        <w:rPr>
          <w:spacing w:val="0"/>
          <w:w w:val="100"/>
          <w:position w:val="0"/>
          <w:sz w:val="12"/>
          <w:szCs w:val="12"/>
        </w:rPr>
        <w:t>*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z w:val="17"/>
          <w:szCs w:val="17"/>
        </w:rPr>
        <w:t xml:space="preserve">【摘要】 </w:t>
      </w:r>
      <w:r>
        <w:rPr>
          <w:spacing w:val="0"/>
          <w:w w:val="100"/>
          <w:position w:val="0"/>
        </w:rPr>
        <w:t>软骨发育不全是导致儿童生长发育障碍的一类罕见疾病，主要表现为骨骼发育不良及不成比例的身材 矮小，从而使患者一生中面临各种治疗、康复等问题，极大地影响了患者的生活质量。然而目前软骨发育不全的临床 治疗和护理路径并未完全统一，为了促进该病临床治疗方案的标准化，国际专家小组提出了《关于软骨发育不全患者 的诊断、多学科管理和终身护理的国际共识声明》。本文就该共识针对患者整个生命周期的管理及可能涉及的临床问 题的多学科管理进行了要点解读，以促进该病的规范化治疗、优化临床结局，提高患者生活质量，降低病死率。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60"/>
        <w:jc w:val="left"/>
      </w:pPr>
      <w:r>
        <w:rPr>
          <w:spacing w:val="0"/>
          <w:w w:val="100"/>
          <w:position w:val="0"/>
          <w:sz w:val="17"/>
          <w:szCs w:val="17"/>
        </w:rPr>
        <w:t>【关键词】</w:t>
      </w:r>
      <w:r>
        <w:rPr>
          <w:spacing w:val="0"/>
          <w:w w:val="100"/>
          <w:position w:val="0"/>
        </w:rPr>
        <w:t>软骨发育不全；诊断；管理；终身护理；共识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3120" w:val="left"/>
        </w:tabs>
        <w:bidi w:val="0"/>
        <w:spacing w:before="0" w:after="40" w:line="279" w:lineRule="exact"/>
        <w:ind w:left="0" w:right="0" w:firstLine="960"/>
        <w:jc w:val="left"/>
      </w:pP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【中图分类号】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R681.3</w:t>
        <w:tab/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TW" w:eastAsia="zh-TW" w:bidi="zh-TW"/>
        </w:rPr>
        <w:t>【文献标识码】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10.12114/j.issn.1007-9572.2022.0589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/>
        <w:ind w:right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8"/>
          <w:szCs w:val="18"/>
        </w:rPr>
        <w:t>孙文文，刘晶，孔德先，等.《关于软骨发育不全患者的诊断、多学科管理和终身护理的国际共识声明》要点解读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[J]. </w:t>
      </w:r>
      <w:r>
        <w:rPr>
          <w:spacing w:val="0"/>
          <w:w w:val="100"/>
          <w:position w:val="0"/>
          <w:sz w:val="18"/>
          <w:szCs w:val="18"/>
        </w:rPr>
        <w:t>中国全科医学，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2023.[Epubaheadofprint][</w:t>
      </w:r>
      <w:r>
        <w:fldChar w:fldCharType="begin"/>
      </w:r>
      <w:r>
        <w:rPr/>
        <w:instrText> HYPERLINK "http://www.chinagp.net"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www.chinagp.net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]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80" w:line="389" w:lineRule="auto"/>
        <w:ind w:right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SUN W W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LIU J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KONG D X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et al. Interpretation on key points of International Consensus Statement on the Diagnosis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Multidisciplinary Management and Lifelong Care of Individuals with Achondroplasia [j]. Chinese General Practice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2023. [Epub ahead of print]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Interpretation on Key Points of International Consensus Statement on the Diagnosis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 xml:space="preserve">Multidisciplinary Management and Lifelong Care of Individuals with Achondroplasia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SUN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Wenwen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LIU Jing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KONGDexian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SimSun" w:eastAsia="SimSun" w:hAnsi="SimSun" w:cs="SimSun"/>
          <w:b w:val="0"/>
          <w:bCs w:val="0"/>
          <w:i/>
          <w:iCs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3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ZHANGZhimin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1,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4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MA Huijuan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15"/>
          <w:szCs w:val="15"/>
          <w:lang w:val="en-US" w:eastAsia="en-US" w:bidi="en-US"/>
        </w:rPr>
        <w:t xml:space="preserve"> '</w:t>
      </w:r>
    </w:p>
    <w:p>
      <w:pPr>
        <w:pStyle w:val="Style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66" w:val="left"/>
        </w:tabs>
        <w:bidi w:val="0"/>
        <w:spacing w:before="0" w:after="40" w:line="389" w:lineRule="auto"/>
        <w:ind w:right="0" w:firstLine="0"/>
        <w:jc w:val="left"/>
      </w:pPr>
      <w:bookmarkStart w:id="3" w:name="bookmark3"/>
      <w:bookmarkEnd w:id="3"/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Graduate School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North China University of Science and Technology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Tangshan 063210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 xml:space="preserve"> China</w:t>
      </w:r>
    </w:p>
    <w:p>
      <w:pPr>
        <w:pStyle w:val="Style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75" w:val="left"/>
        </w:tabs>
        <w:bidi w:val="0"/>
        <w:spacing w:before="0" w:after="40" w:line="389" w:lineRule="auto"/>
        <w:ind w:left="0" w:right="0" w:firstLine="560"/>
        <w:jc w:val="left"/>
      </w:pPr>
      <w:bookmarkStart w:id="4" w:name="bookmark4"/>
      <w:bookmarkEnd w:id="4"/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Endocrinology Department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Hebei General Hospital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Shijiazhuang 050051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China</w:t>
      </w:r>
    </w:p>
    <w:p>
      <w:pPr>
        <w:pStyle w:val="Style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75" w:val="left"/>
        </w:tabs>
        <w:bidi w:val="0"/>
        <w:spacing w:before="0" w:after="40" w:line="389" w:lineRule="auto"/>
        <w:ind w:left="0" w:right="0" w:firstLine="560"/>
        <w:jc w:val="left"/>
      </w:pPr>
      <w:bookmarkStart w:id="5" w:name="bookmark5"/>
      <w:bookmarkEnd w:id="5"/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Graduate School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Hebei North University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42021"/>
          <w:spacing w:val="0"/>
          <w:w w:val="100"/>
          <w:position w:val="0"/>
          <w:lang w:val="en-US" w:eastAsia="en-US" w:bidi="en-US"/>
        </w:rPr>
        <w:t>Zhangjiakou 075132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China</w:t>
      </w:r>
    </w:p>
    <w:p>
      <w:pPr>
        <w:pStyle w:val="Style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75" w:val="left"/>
        </w:tabs>
        <w:bidi w:val="0"/>
        <w:spacing w:before="0" w:after="40" w:line="389" w:lineRule="auto"/>
        <w:ind w:left="0" w:right="0" w:firstLine="560"/>
        <w:jc w:val="left"/>
      </w:pPr>
      <w:bookmarkStart w:id="6" w:name="bookmark6"/>
      <w:bookmarkEnd w:id="6"/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Graduate School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Hebei Medical University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 xml:space="preserve"> Shijiazhuang050017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China</w:t>
      </w:r>
    </w:p>
    <w:p>
      <w:pPr>
        <w:pStyle w:val="Style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75" w:val="left"/>
        </w:tabs>
        <w:bidi w:val="0"/>
        <w:spacing w:before="0" w:after="40" w:line="389" w:lineRule="auto"/>
        <w:ind w:left="0" w:right="0" w:firstLine="560"/>
        <w:jc w:val="left"/>
      </w:pPr>
      <w:bookmarkStart w:id="7" w:name="bookmark7"/>
      <w:bookmarkEnd w:id="7"/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Hebei Key Laboratory of Metabolic Diseases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Hebei General Hospital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Shijiazhuang 050051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China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40" w:line="389" w:lineRule="auto"/>
        <w:ind w:left="0" w:right="0" w:firstLine="560"/>
        <w:jc w:val="left"/>
      </w:pP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Corresponding author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MA Huijuan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Chief physician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Professor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Doctoral supervisor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 xml:space="preserve"> E-mail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fldChar w:fldCharType="begin"/>
      </w:r>
      <w:r>
        <w:rPr/>
        <w:instrText> HYPERLINK "mailto:huijuanma76@163.com" </w:instrText>
      </w:r>
      <w:r>
        <w:fldChar w:fldCharType="separate"/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lang w:val="en-US" w:eastAsia="en-US" w:bidi="en-US"/>
        </w:rPr>
        <w:t>huijuanma76@163.com</w:t>
      </w:r>
      <w:r>
        <w:fldChar w:fldCharType="end"/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CN" w:eastAsia="zh-CN" w:bidi="zh-CN"/>
        </w:rPr>
        <w:t>【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Abstract 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CN" w:eastAsia="zh-CN" w:bidi="zh-CN"/>
        </w:rPr>
        <w:t xml:space="preserve">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Achondroplasia is a rare disease leading to growth and developmental disorders in children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mainly manifested as skeletal dysplasia and disproportionate short stature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which makes patients encounter a variety of treatment and rehabilitation issues throughout their life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with greatly impaired quality of life. However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the clinical treatment and care pathways of achondroplasia are still not completely unified. To facilitate the standardization of clinical treatment of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the International Consensus Statement on the Diagnosis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Multidisciplinary Management and Lifelong Care of Individuals with Achondroplasia was developed by a group of international experts. We interpreted the key points of the consensus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mainly involving lifelong care and multidisciplinary clinical management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aiming to promote the standardization of care for individuals with achondroplasia in order to improve their clinical outcomes and quality of life as well as reduce their mortality.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6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144" w:right="1085" w:bottom="562" w:left="528" w:header="0" w:footer="134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CN" w:eastAsia="zh-CN" w:bidi="zh-CN"/>
        </w:rPr>
        <w:t>【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Key words 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lang w:val="zh-CN" w:eastAsia="zh-CN" w:bidi="zh-CN"/>
        </w:rPr>
        <w:t xml:space="preserve">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Diagnosis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Management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Lifelong care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Consensus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00" w:right="0" w:bottom="56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10051" w:h="2285" w:wrap="none" w:vAnchor="text" w:hAnchor="page" w:x="1115" w:y="21"/>
        <w:widowControl w:val="0"/>
        <w:shd w:val="clear" w:color="auto" w:fill="auto"/>
        <w:tabs>
          <w:tab w:pos="4814" w:val="left"/>
        </w:tabs>
        <w:bidi w:val="0"/>
        <w:spacing w:before="0" w:after="0" w:line="333" w:lineRule="exact"/>
        <w:ind w:left="0" w:right="0" w:firstLine="0"/>
        <w:jc w:val="right"/>
      </w:pPr>
      <w:r>
        <w:rPr>
          <w:spacing w:val="0"/>
          <w:w w:val="100"/>
          <w:position w:val="0"/>
        </w:rPr>
        <w:t>软骨发育不全(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achondroplasia</w:t>
      </w:r>
      <w:r>
        <w:rPr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ACH </w:t>
      </w:r>
      <w:r>
        <w:rPr>
          <w:spacing w:val="0"/>
          <w:w w:val="100"/>
          <w:position w:val="0"/>
        </w:rPr>
        <w:t>)是最常见 的骨骼发育不良疾病，影响全球近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36</w:t>
      </w:r>
      <w:r>
        <w:rPr>
          <w:spacing w:val="0"/>
          <w:w w:val="100"/>
          <w:position w:val="0"/>
        </w:rPr>
        <w:t>万人⑴，主要 表现为骨骼发育不良及不成比例的身材矮小，给患 者日常生活带来了严峻挑战。目前，对于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 xml:space="preserve">患者 不同时期的临床治疗及护理方案存在差异。我国在 </w:t>
      </w:r>
      <w:r>
        <w:fldChar w:fldCharType="begin"/>
      </w:r>
      <w:r>
        <w:rPr/>
        <w:instrText> HYPERLINK "mailto:E-maiLhuijuanma76@163.com"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>E-maiLhuijuanma76@163.com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4"/>
          <w:szCs w:val="34"/>
          <w:vertAlign w:val="superscript"/>
        </w:rPr>
        <w:t>2021</w:t>
      </w:r>
      <w:r>
        <w:rPr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4"/>
          <w:szCs w:val="34"/>
          <w:vertAlign w:val="superscript"/>
        </w:rPr>
        <w:t>7</w:t>
      </w:r>
      <w:r>
        <w:rPr>
          <w:spacing w:val="0"/>
          <w:w w:val="100"/>
          <w:position w:val="0"/>
        </w:rPr>
        <w:t>月制定了《软骨发育不全诊断及治疗专家</w:t>
      </w:r>
    </w:p>
    <w:p>
      <w:pPr>
        <w:pStyle w:val="Style43"/>
        <w:keepNext w:val="0"/>
        <w:keepLines w:val="0"/>
        <w:framePr w:w="10051" w:h="2285" w:wrap="none" w:vAnchor="text" w:hAnchor="page" w:x="1115" w:y="21"/>
        <w:widowControl w:val="0"/>
        <w:shd w:val="clear" w:color="auto" w:fill="auto"/>
        <w:bidi w:val="0"/>
        <w:spacing w:before="0" w:after="0" w:line="223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(C) 1994-2022 China Academic Journal Electronic Publishi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lang w:val="zh-TW" w:eastAsia="zh-TW" w:bidi="zh-TW"/>
        </w:rPr>
        <w:t>共识》</w:t>
      </w:r>
      <w:r>
        <w:rPr>
          <w:rFonts w:ascii="Times New Roman" w:eastAsia="Times New Roman" w:hAnsi="Times New Roman" w:cs="Times New Roman"/>
          <w:color w:val="231F20"/>
          <w:spacing w:val="0"/>
          <w:w w:val="100"/>
          <w:position w:val="0"/>
          <w:vertAlign w:val="superscript"/>
          <w:lang w:val="zh-TW" w:eastAsia="zh-TW" w:bidi="zh-TW"/>
        </w:rPr>
        <w:t>［3］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lang w:val="zh-TW" w:eastAsia="zh-TW" w:bidi="zh-TW"/>
        </w:rPr>
        <w:t>，但并未详细阐述该疾病在各个生命阶段</w:t>
      </w:r>
    </w:p>
    <w:p>
      <w:pPr>
        <w:pStyle w:val="Style47"/>
        <w:keepNext w:val="0"/>
        <w:keepLines w:val="0"/>
        <w:framePr w:w="3566" w:h="1138" w:wrap="none" w:vAnchor="text" w:hAnchor="page" w:x="1470" w:y="45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1.063210</w:t>
      </w:r>
      <w:r>
        <w:rPr>
          <w:spacing w:val="0"/>
          <w:w w:val="100"/>
          <w:position w:val="0"/>
        </w:rPr>
        <w:t xml:space="preserve">河北省唐山市，华北理工大学研究生学院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2.05005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河北省石家庄市，</w:t>
      </w:r>
    </w:p>
    <w:p>
      <w:pPr>
        <w:pStyle w:val="Style47"/>
        <w:keepNext w:val="0"/>
        <w:keepLines w:val="0"/>
        <w:framePr w:w="3566" w:h="1138" w:wrap="none" w:vAnchor="text" w:hAnchor="page" w:x="1470" w:y="45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3.07513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 xml:space="preserve">河北省张家口市，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4.050017</w:t>
      </w:r>
      <w:r>
        <w:rPr>
          <w:spacing w:val="0"/>
          <w:w w:val="100"/>
          <w:position w:val="0"/>
        </w:rPr>
        <w:t>河北省石家庄市，</w:t>
      </w:r>
    </w:p>
    <w:p>
      <w:pPr>
        <w:pStyle w:val="Style24"/>
        <w:keepNext w:val="0"/>
        <w:keepLines w:val="0"/>
        <w:framePr w:w="3566" w:h="1138" w:wrap="none" w:vAnchor="text" w:hAnchor="page" w:x="1470" w:y="457"/>
        <w:widowControl w:val="0"/>
        <w:shd w:val="clear" w:color="auto" w:fill="auto"/>
        <w:bidi w:val="0"/>
        <w:spacing w:before="0" w:after="0" w:line="22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5.05005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河北省石家庄市，</w:t>
      </w:r>
    </w:p>
    <w:p>
      <w:pPr>
        <w:pStyle w:val="Style47"/>
        <w:keepNext w:val="0"/>
        <w:keepLines w:val="0"/>
        <w:framePr w:w="2443" w:h="917" w:wrap="none" w:vAnchor="text" w:hAnchor="page" w:x="3390" w:y="678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spacing w:val="0"/>
          <w:w w:val="100"/>
          <w:position w:val="0"/>
        </w:rPr>
        <w:t>河北省人民医院内分泌科</w:t>
      </w:r>
    </w:p>
    <w:p>
      <w:pPr>
        <w:pStyle w:val="Style47"/>
        <w:keepNext w:val="0"/>
        <w:keepLines w:val="0"/>
        <w:framePr w:w="2443" w:h="917" w:wrap="none" w:vAnchor="text" w:hAnchor="page" w:x="3390" w:y="678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spacing w:val="0"/>
          <w:w w:val="100"/>
          <w:position w:val="0"/>
        </w:rPr>
        <w:t>河北北方学院研究生学院</w:t>
      </w:r>
    </w:p>
    <w:p>
      <w:pPr>
        <w:pStyle w:val="Style47"/>
        <w:keepNext w:val="0"/>
        <w:keepLines w:val="0"/>
        <w:framePr w:w="2443" w:h="917" w:wrap="none" w:vAnchor="text" w:hAnchor="page" w:x="3390" w:y="678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spacing w:val="0"/>
          <w:w w:val="100"/>
          <w:position w:val="0"/>
        </w:rPr>
        <w:t>河北医科大学研究生学院 河北省人民医院代谢病重点实验室</w:t>
      </w:r>
    </w:p>
    <w:p>
      <w:pPr>
        <w:pStyle w:val="Style47"/>
        <w:keepNext w:val="0"/>
        <w:keepLines w:val="0"/>
        <w:framePr w:w="3816" w:h="250" w:wrap="none" w:vAnchor="text" w:hAnchor="page" w:x="1470" w:y="1599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</w:rPr>
        <w:t>•</w:t>
      </w:r>
      <w:r>
        <w:rPr>
          <w:spacing w:val="0"/>
          <w:w w:val="100"/>
          <w:position w:val="0"/>
        </w:rPr>
        <w:t>通信作者：马慧娟，主任医师，教授，博士生导师;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00" w:right="1075" w:bottom="562" w:left="52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r>
        <w:rPr>
          <w:spacing w:val="0"/>
          <w:w w:val="100"/>
          <w:position w:val="0"/>
        </w:rPr>
        <w:t>的照护和多学科的管理模式。同年，由五大洲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16</w:t>
      </w:r>
      <w:r>
        <w:rPr>
          <w:spacing w:val="0"/>
          <w:w w:val="100"/>
          <w:position w:val="0"/>
        </w:rPr>
        <w:t>个 国家的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55</w:t>
      </w:r>
      <w:r>
        <w:rPr>
          <w:spacing w:val="0"/>
          <w:w w:val="100"/>
          <w:position w:val="0"/>
        </w:rPr>
        <w:t>名国际专家共同完成了《关于软骨发育不 全患者的诊断、多学科管理和终身护理的国际共识 声明》</w:t>
      </w:r>
      <w:r>
        <w:rPr>
          <w:b/>
          <w:bCs/>
          <w:spacing w:val="0"/>
          <w:w w:val="100"/>
          <w:position w:val="0"/>
          <w:sz w:val="19"/>
          <w:szCs w:val="19"/>
        </w:rPr>
        <w:t>⑷，</w:t>
      </w:r>
      <w:r>
        <w:rPr>
          <w:spacing w:val="0"/>
          <w:w w:val="100"/>
          <w:position w:val="0"/>
        </w:rPr>
        <w:t>以促进世界范围内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患者管理的标准化。 该共识首次为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患者各个生命阶段及多学科的管 理提供指导。本文旨在通过对该声明要点进行解读， 提高临床工作者对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疾病相关管理的认识，提高 该病的治疗效果，改善患者预后，降低致死致残率。</w:t>
      </w:r>
    </w:p>
    <w:p>
      <w:pPr>
        <w:pStyle w:val="Style4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2" w:val="left"/>
        </w:tabs>
        <w:bidi w:val="0"/>
        <w:spacing w:before="0" w:after="0" w:line="336" w:lineRule="auto"/>
        <w:ind w:left="0" w:right="0" w:firstLine="0"/>
        <w:jc w:val="both"/>
      </w:pPr>
      <w:bookmarkStart w:id="8" w:name="bookmark8"/>
      <w:bookmarkEnd w:id="8"/>
      <w:r>
        <w:rPr>
          <w:rFonts w:ascii="Times New Roman" w:eastAsia="Times New Roman" w:hAnsi="Times New Roman" w:cs="Times New Roman"/>
          <w:b/>
          <w:bCs/>
          <w:color w:val="231F20"/>
          <w:spacing w:val="0"/>
          <w:w w:val="100"/>
          <w:position w:val="0"/>
          <w:lang w:val="en-US" w:eastAsia="en-US" w:bidi="en-US"/>
        </w:rPr>
        <w:t>ACH</w:t>
      </w:r>
      <w:r>
        <w:rPr>
          <w:rFonts w:ascii="SimSun" w:eastAsia="SimSun" w:hAnsi="SimSun" w:cs="SimSun"/>
          <w:color w:val="231F20"/>
          <w:spacing w:val="0"/>
          <w:w w:val="100"/>
          <w:position w:val="0"/>
          <w:lang w:val="zh-TW" w:eastAsia="zh-TW" w:bidi="zh-TW"/>
        </w:rPr>
        <w:t>的诊断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0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属于常染色体显性遗传病，由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FGFR3</w:t>
      </w:r>
      <w:r>
        <w:rPr>
          <w:spacing w:val="0"/>
          <w:w w:val="100"/>
          <w:position w:val="0"/>
        </w:rPr>
        <w:t>（编 码成纤维细胞生长因子受体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</w:t>
      </w:r>
      <w:r>
        <w:rPr>
          <w:spacing w:val="0"/>
          <w:w w:val="100"/>
          <w:position w:val="0"/>
        </w:rPr>
        <w:t>的基因）突变引起， 主要影响骨骼的正常生长发育，表现为不成比例的 矮小、头面及四肢不同程度的畸形等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［5］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1.1</w:t>
      </w:r>
      <w:r>
        <w:rPr>
          <w:spacing w:val="0"/>
          <w:w w:val="100"/>
          <w:position w:val="0"/>
        </w:rPr>
        <w:t xml:space="preserve">临床诊断 根据主要的临床特征（即大头畸形 伴前额突出、面中部发育不良呈现后凹及鼻梁塌陷、 四肢短小、身材矮小、全身管状骨变短增粗）和影像 学特征（即方形髂翼，扁平、水平移位的髓臼、骶 骨切迹明显变窄、特征性股骨近端透亮度增加、从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L1</w:t>
      </w:r>
      <w:r>
        <w:rPr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L5</w:t>
      </w:r>
      <w:r>
        <w:rPr>
          <w:spacing w:val="0"/>
          <w:w w:val="100"/>
          <w:position w:val="0"/>
        </w:rPr>
        <w:t xml:space="preserve">进展的腰椎椎弓根间距变窄），可对大多数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患者进行临床诊断⑹。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1.2 </w:t>
      </w:r>
      <w:r>
        <w:rPr>
          <w:spacing w:val="0"/>
          <w:w w:val="100"/>
          <w:position w:val="0"/>
        </w:rPr>
        <w:t xml:space="preserve">遗传学诊断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主要由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FGFR3</w:t>
      </w:r>
      <w:r>
        <w:rPr>
          <w:spacing w:val="0"/>
          <w:w w:val="100"/>
          <w:position w:val="0"/>
        </w:rPr>
        <w:t>致病性错 义变异体引起，在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98%~99%</w:t>
      </w:r>
      <w:r>
        <w:rPr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 xml:space="preserve">患者中发现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Gly380Arg 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c.1138G&gt;A </w:t>
      </w:r>
      <w:r>
        <w:rPr>
          <w:spacing w:val="0"/>
          <w:w w:val="100"/>
          <w:position w:val="0"/>
        </w:rPr>
        <w:t>）变异体，在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1%</w:t>
      </w:r>
      <w:r>
        <w:rPr>
          <w:spacing w:val="0"/>
          <w:w w:val="100"/>
          <w:position w:val="0"/>
        </w:rPr>
        <w:t>的患者中 发现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Gly380Arg 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c.1138G&gt;C </w:t>
      </w:r>
      <w:r>
        <w:rPr>
          <w:spacing w:val="0"/>
          <w:w w:val="100"/>
          <w:position w:val="0"/>
        </w:rPr>
        <w:t>）变异体。大约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80%</w:t>
      </w:r>
      <w:r>
        <w:rPr>
          <w:spacing w:val="0"/>
          <w:w w:val="100"/>
          <w:position w:val="0"/>
        </w:rPr>
        <w:t xml:space="preserve">的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患儿由新发变异引起，其余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20%</w:t>
      </w:r>
      <w:r>
        <w:rPr>
          <w:spacing w:val="0"/>
          <w:w w:val="100"/>
          <w:position w:val="0"/>
        </w:rPr>
        <w:t>由常染色体显 性遗传所致。故对于临床或影像学上怀疑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的患 者，可考虑进行分子遗传学检测以确诊。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2" w:val="left"/>
        </w:tabs>
        <w:bidi w:val="0"/>
        <w:spacing w:before="0" w:after="0"/>
        <w:ind w:left="0" w:right="0" w:firstLine="0"/>
        <w:jc w:val="left"/>
      </w:pPr>
      <w:bookmarkStart w:id="9" w:name="bookmark9"/>
      <w:bookmarkEnd w:id="9"/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患者的全生命周期管理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00"/>
        <w:jc w:val="both"/>
      </w:pPr>
      <w:r>
        <w:rPr>
          <w:spacing w:val="0"/>
          <w:w w:val="100"/>
          <w:position w:val="0"/>
        </w:rPr>
        <w:t>本声明与我国的共识均推荐对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患者进行整 个生命周期的监测和管理，并使用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特有的生 长参数登记表（身高、体质量和头围）对患儿的生 长进行纵向监测</w:t>
      </w:r>
      <w:r>
        <w:rPr>
          <w:spacing w:val="0"/>
          <w:w w:val="100"/>
          <w:position w:val="0"/>
          <w:vertAlign w:val="superscript"/>
        </w:rPr>
        <w:t>［7-10］</w:t>
      </w:r>
      <w:r>
        <w:rPr>
          <w:spacing w:val="0"/>
          <w:w w:val="100"/>
          <w:position w:val="0"/>
        </w:rPr>
        <w:t>，以及时发现脑积水、脊柱畸 形、膝内翻、肥胖等不良症状体征，从而做到及时 干预以减少并发症的发生。因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患者四肢关节等 部位的疼痛患病率较高，且患病率随着年龄的增长 而增加，故需在每次体检时进行疼痛监测</w:t>
      </w:r>
      <w:r>
        <w:rPr>
          <w:spacing w:val="0"/>
          <w:w w:val="100"/>
          <w:position w:val="0"/>
          <w:vertAlign w:val="superscript"/>
        </w:rPr>
        <w:t>［11-12］</w:t>
      </w:r>
      <w:r>
        <w:rPr>
          <w:spacing w:val="0"/>
          <w:w w:val="100"/>
          <w:position w:val="0"/>
        </w:rPr>
        <w:t>。另 外，应引导患儿采取健康的生活方式，强调适度活 动和健康饮食"</w:t>
      </w:r>
      <w:r>
        <w:rPr>
          <w:spacing w:val="0"/>
          <w:w w:val="100"/>
          <w:position w:val="0"/>
          <w:vertAlign w:val="superscript"/>
        </w:rPr>
        <w:t>3-1</w:t>
      </w:r>
      <w:r>
        <w:rPr>
          <w:spacing w:val="0"/>
          <w:w w:val="100"/>
          <w:position w:val="0"/>
        </w:rPr>
        <w:t>"，从而预防肥胖引起的阻塞性 睡眠呼吸暂停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、膝内翻、椎管狭窄和脊柱 前凸等［低。本声明还强调使用双能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X</w:t>
      </w:r>
      <w:r>
        <w:rPr>
          <w:spacing w:val="0"/>
          <w:w w:val="100"/>
          <w:position w:val="0"/>
        </w:rPr>
        <w:t>线骨密度仪 进行体脂百分比的评估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vertAlign w:val="superscript"/>
        </w:rPr>
        <w:t>9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。此外，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 xml:space="preserve">患者多伴 有各种并发症及后遗症，生活质量较差，不仅给其 </w:t>
      </w:r>
      <w:r>
        <w:rPr>
          <w:spacing w:val="0"/>
          <w:w w:val="100"/>
          <w:position w:val="0"/>
        </w:rPr>
        <w:t xml:space="preserve">产生了不同程度的心理影响⑵〕。在随访过程中， 应对患者及家属提供相应心理咨询，使其保持积极 心态 </w:t>
      </w:r>
      <w:r>
        <w:rPr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20-23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〕</w:t>
      </w:r>
      <w:r>
        <w:rPr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2.1</w:t>
      </w:r>
      <w:r>
        <w:rPr>
          <w:spacing w:val="0"/>
          <w:w w:val="100"/>
          <w:position w:val="0"/>
        </w:rPr>
        <w:t>婴幼儿期因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患者寿命与并发症的数量和 程度有关，而一些并发症是可以在早期干预的，故定 期随访监测十分重要，尤其是两岁前的监测</w:t>
      </w:r>
      <w:r>
        <w:rPr>
          <w:spacing w:val="0"/>
          <w:w w:val="100"/>
          <w:position w:val="0"/>
          <w:vertAlign w:val="superscript"/>
        </w:rPr>
        <w:t>［21</w:t>
      </w:r>
      <w:r>
        <w:rPr>
          <w:spacing w:val="0"/>
          <w:w w:val="100"/>
          <w:position w:val="0"/>
          <w:sz w:val="10"/>
          <w:szCs w:val="10"/>
        </w:rPr>
        <w:t>'</w:t>
      </w:r>
      <w:r>
        <w:rPr>
          <w:spacing w:val="0"/>
          <w:w w:val="100"/>
          <w:position w:val="0"/>
          <w:vertAlign w:val="superscript"/>
        </w:rPr>
        <w:t>24-25 ］</w:t>
      </w:r>
      <w:r>
        <w:rPr>
          <w:spacing w:val="0"/>
          <w:w w:val="100"/>
          <w:position w:val="0"/>
        </w:rPr>
        <w:t>。 具体如下：（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</w:rPr>
        <w:t>）婴儿期应根据国家免疫规划定期 接种疫苗寄〕。（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</w:t>
      </w:r>
      <w:r>
        <w:rPr>
          <w:spacing w:val="0"/>
          <w:w w:val="100"/>
          <w:position w:val="0"/>
        </w:rPr>
        <w:t>）随访时叮嘱患儿父母使用登记 表记录具体的生长参数⑴。胎儿期可观察到头围增 大（第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97</w:t>
      </w:r>
      <w:r>
        <w:rPr>
          <w:spacing w:val="0"/>
          <w:w w:val="100"/>
          <w:position w:val="0"/>
        </w:rPr>
        <w:t>百分位以上）、股骨缩短（第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5</w:t>
      </w:r>
      <w:r>
        <w:rPr>
          <w:spacing w:val="0"/>
          <w:w w:val="100"/>
          <w:position w:val="0"/>
        </w:rPr>
        <w:t>百分位以 下）和三叉戟手"</w:t>
      </w:r>
      <w:r>
        <w:rPr>
          <w:spacing w:val="0"/>
          <w:w w:val="100"/>
          <w:position w:val="0"/>
          <w:vertAlign w:val="superscript"/>
        </w:rPr>
        <w:t>8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。在出生第一年应每月监测一次 头围</w:t>
      </w:r>
      <w:r>
        <w:rPr>
          <w:spacing w:val="0"/>
          <w:w w:val="100"/>
          <w:position w:val="0"/>
          <w:sz w:val="10"/>
          <w:szCs w:val="10"/>
        </w:rPr>
        <w:t>"。，</w:t>
      </w:r>
      <w:r>
        <w:rPr>
          <w:spacing w:val="0"/>
          <w:w w:val="100"/>
          <w:position w:val="0"/>
          <w:vertAlign w:val="superscript"/>
        </w:rPr>
        <w:t>14</w:t>
      </w:r>
      <w:r>
        <w:rPr>
          <w:spacing w:val="0"/>
          <w:w w:val="100"/>
          <w:position w:val="0"/>
          <w:sz w:val="10"/>
          <w:szCs w:val="10"/>
        </w:rPr>
        <w:t>,</w:t>
      </w:r>
      <w:r>
        <w:rPr>
          <w:spacing w:val="0"/>
          <w:w w:val="100"/>
          <w:position w:val="0"/>
          <w:vertAlign w:val="superscript"/>
        </w:rPr>
        <w:t>27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，合并脑积水或颈髓受压等其他症状 体征快速进展时需进行神经外科评估</w:t>
      </w:r>
      <w:r>
        <w:rPr>
          <w:spacing w:val="0"/>
          <w:w w:val="100"/>
          <w:position w:val="0"/>
          <w:sz w:val="12"/>
          <w:szCs w:val="12"/>
        </w:rPr>
        <w:t>1</w:t>
      </w:r>
      <w:r>
        <w:rPr>
          <w:spacing w:val="0"/>
          <w:w w:val="100"/>
          <w:position w:val="0"/>
          <w:vertAlign w:val="superscript"/>
        </w:rPr>
        <w:t>25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3 </w:t>
      </w:r>
      <w:r>
        <w:rPr>
          <w:spacing w:val="0"/>
          <w:w w:val="100"/>
          <w:position w:val="0"/>
        </w:rPr>
        <w:t>）应 由专业医生使用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特异性筛查工具来评估患者粗 大、精细运动和早期沟通能力。（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4</w:t>
      </w:r>
      <w:r>
        <w:rPr>
          <w:spacing w:val="0"/>
          <w:w w:val="100"/>
          <w:position w:val="0"/>
        </w:rPr>
        <w:t>）若观察到患儿 生长发育迟缓，应对其头部和脊柱进行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</w:rPr>
        <w:t>检查并 评估</w:t>
      </w:r>
      <w:r>
        <w:rPr>
          <w:spacing w:val="0"/>
          <w:w w:val="100"/>
          <w:position w:val="0"/>
          <w:sz w:val="12"/>
          <w:szCs w:val="12"/>
        </w:rPr>
        <w:t xml:space="preserve">“4, </w:t>
      </w:r>
      <w:r>
        <w:rPr>
          <w:spacing w:val="0"/>
          <w:w w:val="100"/>
          <w:position w:val="0"/>
          <w:vertAlign w:val="superscript"/>
        </w:rPr>
        <w:t>24</w:t>
      </w:r>
      <w:r>
        <w:rPr>
          <w:spacing w:val="0"/>
          <w:w w:val="100"/>
          <w:position w:val="0"/>
          <w:sz w:val="12"/>
          <w:szCs w:val="12"/>
        </w:rPr>
        <w:t xml:space="preserve">, </w:t>
      </w:r>
      <w:r>
        <w:rPr>
          <w:spacing w:val="0"/>
          <w:w w:val="100"/>
          <w:position w:val="0"/>
          <w:vertAlign w:val="superscript"/>
        </w:rPr>
        <w:t>28-29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（因婴幼儿发生枕骨大孔狭窄的风险 高于年龄稍大的儿童及成年人，故建议例行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</w:rPr>
        <w:t>筛 查至少持续到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</w:t>
      </w:r>
      <w:r>
        <w:rPr>
          <w:spacing w:val="0"/>
          <w:w w:val="100"/>
          <w:position w:val="0"/>
        </w:rPr>
        <w:t>岁）。（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5 </w:t>
      </w:r>
      <w:r>
        <w:rPr>
          <w:spacing w:val="0"/>
          <w:w w:val="100"/>
          <w:position w:val="0"/>
        </w:rPr>
        <w:t>）给予家长关于患儿看护 的意见，包括避免被动的头部运动、避免过早坐立， 选择合适的汽车座椅及婴儿车等"</w:t>
      </w:r>
      <w:r>
        <w:rPr>
          <w:spacing w:val="0"/>
          <w:w w:val="100"/>
          <w:position w:val="0"/>
          <w:vertAlign w:val="superscript"/>
        </w:rPr>
        <w:t>3,30-31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6 </w:t>
      </w:r>
      <w:r>
        <w:rPr>
          <w:spacing w:val="0"/>
          <w:w w:val="100"/>
          <w:position w:val="0"/>
        </w:rPr>
        <w:t>）定 期评估颈髓压迫程度（包括运动退化或行为动作发 育迟缓、呼吸暂停、吞咽困难、营养不良、肌肉阵挛、 四肢反射异常或减弱）“</w:t>
      </w:r>
      <w:r>
        <w:rPr>
          <w:spacing w:val="0"/>
          <w:w w:val="100"/>
          <w:position w:val="0"/>
          <w:vertAlign w:val="superscript"/>
        </w:rPr>
        <w:t>3</w:t>
      </w:r>
      <w:r>
        <w:rPr>
          <w:spacing w:val="0"/>
          <w:w w:val="100"/>
          <w:position w:val="0"/>
          <w:sz w:val="10"/>
          <w:szCs w:val="10"/>
        </w:rPr>
        <w:t>,</w:t>
      </w:r>
      <w:r>
        <w:rPr>
          <w:spacing w:val="0"/>
          <w:w w:val="100"/>
          <w:position w:val="0"/>
          <w:vertAlign w:val="superscript"/>
        </w:rPr>
        <w:t>21</w:t>
      </w:r>
      <w:r>
        <w:rPr>
          <w:spacing w:val="0"/>
          <w:w w:val="100"/>
          <w:position w:val="0"/>
          <w:sz w:val="10"/>
          <w:szCs w:val="10"/>
        </w:rPr>
        <w:t>，</w:t>
      </w:r>
      <w:r>
        <w:rPr>
          <w:spacing w:val="0"/>
          <w:w w:val="100"/>
          <w:position w:val="0"/>
          <w:vertAlign w:val="superscript"/>
        </w:rPr>
        <w:t>24</w:t>
      </w:r>
      <w:r>
        <w:rPr>
          <w:spacing w:val="0"/>
          <w:w w:val="100"/>
          <w:position w:val="0"/>
          <w:sz w:val="10"/>
          <w:szCs w:val="10"/>
        </w:rPr>
        <w:t>,</w:t>
      </w:r>
      <w:r>
        <w:rPr>
          <w:spacing w:val="0"/>
          <w:w w:val="100"/>
          <w:position w:val="0"/>
          <w:vertAlign w:val="superscript"/>
        </w:rPr>
        <w:t>32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  <w:sz w:val="10"/>
          <w:szCs w:val="10"/>
        </w:rPr>
        <w:t>］</w:t>
      </w:r>
      <w:r>
        <w:rPr>
          <w:spacing w:val="0"/>
          <w:w w:val="100"/>
          <w:position w:val="0"/>
        </w:rPr>
        <w:t>。若婴幼儿颈髓 连接处脊髓受压，可出现中枢性睡眠呼吸暂停，为了 减少颈髓连接处的脊髓受压，在婴儿早期应注意头 颈部的护理，在此期间不应使用坐姿行走器或婴儿 吊带等辅助工具"</w:t>
      </w:r>
      <w:r>
        <w:rPr>
          <w:spacing w:val="0"/>
          <w:w w:val="100"/>
          <w:position w:val="0"/>
          <w:vertAlign w:val="superscript"/>
        </w:rPr>
        <w:t>8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。（7 ）监测有无言语发育迟缓 及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的发生。当怀疑婴儿有呼吸问题时，应在出 生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</w:rPr>
        <w:t>年内完成多导睡眠监测，以确定是否存在睡眠呼 吸障碍</w:t>
      </w:r>
      <w:r>
        <w:rPr>
          <w:spacing w:val="0"/>
          <w:w w:val="100"/>
          <w:position w:val="0"/>
          <w:lang w:val="en-US" w:eastAsia="en-US" w:bidi="en-US"/>
        </w:rPr>
        <w:t>E，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14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21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，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33-34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〕</w:t>
      </w:r>
      <w:r>
        <w:rPr>
          <w:spacing w:val="0"/>
          <w:w w:val="100"/>
          <w:position w:val="0"/>
        </w:rPr>
        <w:t>。我国共识还强调了若患儿发 生中枢性呼吸暂停次数增多，则可能存在颅颈交界 区狭窄，需要监测患儿是否存在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。对于确诊后 的患者应尽快完善夜间多导睡眠监测⑶。（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8</w:t>
      </w:r>
      <w:r>
        <w:rPr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ACH </w:t>
      </w:r>
      <w:r>
        <w:rPr>
          <w:spacing w:val="0"/>
          <w:w w:val="100"/>
          <w:position w:val="0"/>
        </w:rPr>
        <w:t>患者面中部发育不良、咽鼓管短小及扁桃体肥大等 使其常伴有听力损失和中耳疾病，故建议在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 儿出生后尽早对其听力问题进行全面评估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li'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35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〕</w:t>
      </w:r>
      <w:r>
        <w:rPr>
          <w:spacing w:val="0"/>
          <w:w w:val="100"/>
          <w:position w:val="0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2240" w:h="15840"/>
          <w:pgMar w:top="1321" w:right="979" w:bottom="729" w:left="1080" w:header="0" w:footer="3" w:gutter="0"/>
          <w:cols w:num="2" w:space="245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9</w:t>
      </w:r>
      <w:r>
        <w:rPr>
          <w:spacing w:val="0"/>
          <w:w w:val="100"/>
          <w:position w:val="0"/>
        </w:rPr>
        <w:t>）定期对患儿进行脊柱发育监测及牙齿评 估</w:t>
      </w:r>
      <w:r>
        <w:rPr>
          <w:spacing w:val="0"/>
          <w:w w:val="100"/>
          <w:position w:val="0"/>
          <w:vertAlign w:val="superscript"/>
        </w:rPr>
        <w:t>［21</w:t>
      </w:r>
      <w:r>
        <w:rPr>
          <w:spacing w:val="0"/>
          <w:w w:val="100"/>
          <w:position w:val="0"/>
          <w:sz w:val="10"/>
          <w:szCs w:val="10"/>
        </w:rPr>
        <w:t>'</w:t>
      </w:r>
      <w:r>
        <w:rPr>
          <w:spacing w:val="0"/>
          <w:w w:val="100"/>
          <w:position w:val="0"/>
          <w:vertAlign w:val="superscript"/>
        </w:rPr>
        <w:t>36-38 ］</w:t>
      </w:r>
      <w:r>
        <w:rPr>
          <w:spacing w:val="0"/>
          <w:w w:val="100"/>
          <w:position w:val="0"/>
        </w:rPr>
        <w:t>，胸腰椎后凸在婴儿期较常见，如果 发现，应定期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X</w:t>
      </w:r>
      <w:r>
        <w:rPr>
          <w:spacing w:val="0"/>
          <w:w w:val="100"/>
          <w:position w:val="0"/>
        </w:rPr>
        <w:t>线检查，监测病情进展，并及时 治疗</w:t>
      </w:r>
      <w:r>
        <w:rPr>
          <w:spacing w:val="0"/>
          <w:w w:val="100"/>
          <w:position w:val="0"/>
          <w:vertAlign w:val="superscript"/>
        </w:rPr>
        <w:t>| 37</w:t>
      </w:r>
      <w:r>
        <w:rPr>
          <w:spacing w:val="0"/>
          <w:w w:val="100"/>
          <w:position w:val="0"/>
          <w:sz w:val="10"/>
          <w:szCs w:val="10"/>
        </w:rPr>
        <w:t>'</w:t>
      </w:r>
      <w:r>
        <w:rPr>
          <w:spacing w:val="0"/>
          <w:w w:val="100"/>
          <w:position w:val="0"/>
          <w:vertAlign w:val="superscript"/>
        </w:rPr>
        <w:t>39-40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。对疑似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的婴幼儿无需常规进行 全面的骨骼检查⑵</w:t>
      </w:r>
      <w:r>
        <w:rPr>
          <w:spacing w:val="0"/>
          <w:w w:val="100"/>
          <w:position w:val="0"/>
          <w:sz w:val="10"/>
          <w:szCs w:val="10"/>
        </w:rPr>
        <w:t>'</w:t>
      </w:r>
      <w:r>
        <w:rPr>
          <w:spacing w:val="0"/>
          <w:w w:val="100"/>
          <w:position w:val="0"/>
          <w:vertAlign w:val="superscript"/>
        </w:rPr>
        <w:t>41-44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</w:rPr>
        <w:t>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10 </w:t>
      </w:r>
      <w:r>
        <w:rPr>
          <w:spacing w:val="0"/>
          <w:w w:val="100"/>
          <w:position w:val="0"/>
        </w:rPr>
        <w:t>）若患儿存在疼痛或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21" w:right="979" w:bottom="729" w:left="108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生理和心理带来巨大负担，还对其父母及整个家庭 乏力等症状，应及时进行临床评估，以明确原因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spacing w:val="0"/>
          <w:w w:val="100"/>
          <w:position w:val="0"/>
        </w:rPr>
        <w:t>此外，本声明与我国共识均认为应关注患儿的心理 健康，应为患儿提供合适的教育和社会环境，使患 儿更好地适应学校和社会⑶。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2.2</w:t>
      </w:r>
      <w:r>
        <w:rPr>
          <w:spacing w:val="0"/>
          <w:w w:val="100"/>
          <w:position w:val="0"/>
        </w:rPr>
        <w:t>儿童及少年期对于儿童及少年期的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 者：（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</w:rPr>
        <w:t>）建议使用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特有的身高、体质量和头围 生长图，对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患儿的生长和体质指数（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BMI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进 行纵向监测。（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</w:t>
      </w:r>
      <w:r>
        <w:rPr>
          <w:spacing w:val="0"/>
          <w:w w:val="100"/>
          <w:position w:val="0"/>
        </w:rPr>
        <w:t>）因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患儿存在不同程度的行为 动作发育迟缓，故建议对患儿生活中的某些辅助设 备进行适当改造，以最大限度地帮助其提高行动独 立性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m,27-28,39,4L45]</w:t>
      </w:r>
      <w:r>
        <w:rPr>
          <w:spacing w:val="0"/>
          <w:w w:val="100"/>
          <w:position w:val="0"/>
          <w:lang w:val="en-US" w:eastAsia="en-US" w:bidi="en-US"/>
        </w:rPr>
        <w:t>°（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3 </w:t>
      </w:r>
      <w:r>
        <w:rPr>
          <w:spacing w:val="0"/>
          <w:w w:val="100"/>
          <w:position w:val="0"/>
        </w:rPr>
        <w:t>）四肢关节等部位的疼痛 可能发生在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患儿一生中的各个阶段，故在每次 体检时均应加以监测。（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4</w:t>
      </w:r>
      <w:r>
        <w:rPr>
          <w:spacing w:val="0"/>
          <w:w w:val="100"/>
          <w:position w:val="0"/>
        </w:rPr>
        <w:t>）培养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患儿养成规律 运动及健康的饮食习惯，保持其身体有适当比例的 脂肪、足够的肌肉力量，从而确保动作的灵活性等。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19"/>
          <w:szCs w:val="19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5</w:t>
      </w:r>
      <w:r>
        <w:rPr>
          <w:spacing w:val="0"/>
          <w:w w:val="100"/>
          <w:position w:val="0"/>
        </w:rPr>
        <w:t>）在定期体检时注意脊柱后凸、椎管狭窄、膝内翻、 中耳积液、言语发育迟缓、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、牙齿发育异常等问 题，做到及时发现、尽早处理。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2.3</w:t>
      </w:r>
      <w:r>
        <w:rPr>
          <w:spacing w:val="0"/>
          <w:w w:val="100"/>
          <w:position w:val="0"/>
          <w:sz w:val="20"/>
          <w:szCs w:val="20"/>
        </w:rPr>
        <w:t>青春期及成人期 因超重和肥胖问题在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患 者的青春期十分常见，故在青春期应注意使用生长 参数登记表监测体质量，建议使用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专有生长曲 线评估体质量，并在临床访视中结合营养状态和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BMI </w:t>
      </w:r>
      <w:r>
        <w:rPr>
          <w:spacing w:val="0"/>
          <w:w w:val="100"/>
          <w:position w:val="0"/>
          <w:sz w:val="20"/>
          <w:szCs w:val="20"/>
        </w:rPr>
        <w:t>进行评估（生长期建议每年随访，成年期建议每两 年随访），积极开展健康饮食指导、运动指导及心 理疏导，使患者保持健康的生活方式⑶。本共识还 指出对于成年期患者要重点注意以下几点：（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  <w:sz w:val="20"/>
          <w:szCs w:val="20"/>
        </w:rPr>
        <w:t xml:space="preserve">）若 患者出现持续腰背痛，并伴有神经系统症状，如跛 行、肌肉痉挛、行走距离减少、膀胱或肠道功能障 碍，可能与椎管狭窄有关，应考虑对整个脊柱进行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扫描，发现问题及时治疗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[45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"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49]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2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）</w:t>
      </w:r>
      <w:r>
        <w:rPr>
          <w:spacing w:val="0"/>
          <w:w w:val="100"/>
          <w:position w:val="0"/>
          <w:sz w:val="20"/>
          <w:szCs w:val="20"/>
        </w:rPr>
        <w:t>当患者 表现为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  <w:sz w:val="20"/>
          <w:szCs w:val="20"/>
        </w:rPr>
        <w:t>时，应进行夜间睡眠监测</w:t>
      </w:r>
      <w:r>
        <w:rPr>
          <w:smallCaps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[50]</w:t>
      </w:r>
      <w:r>
        <w:rPr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o（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20"/>
          <w:szCs w:val="20"/>
          <w:lang w:val="en-US" w:eastAsia="en-US" w:bidi="en-US"/>
        </w:rPr>
        <w:t>3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20"/>
          <w:szCs w:val="20"/>
        </w:rPr>
        <w:t>）定 期监测患者血压（当肘关节挛缩或上肢肢体近端异 常妨碍测量上臂时，可选择测量前臂血压）</w:t>
      </w:r>
      <w:r>
        <w:rPr>
          <w:spacing w:val="0"/>
          <w:w w:val="100"/>
          <w:position w:val="0"/>
          <w:sz w:val="20"/>
          <w:szCs w:val="20"/>
          <w:vertAlign w:val="superscript"/>
        </w:rPr>
        <w:t>[51-52]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0" w:right="0" w:firstLine="0"/>
        <w:jc w:val="both"/>
      </w:pP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4</w:t>
      </w:r>
      <w:r>
        <w:rPr>
          <w:spacing w:val="0"/>
          <w:w w:val="100"/>
          <w:position w:val="0"/>
        </w:rPr>
        <w:t>）因早发性听力丧失的风险较健康人群增加，需 在更早的年龄进行常规筛查</w:t>
      </w:r>
      <w:r>
        <w:rPr>
          <w:smallCaps/>
          <w:spacing w:val="0"/>
          <w:w w:val="100"/>
          <w:position w:val="0"/>
          <w:vertAlign w:val="superscript"/>
          <w:lang w:val="en-US" w:eastAsia="en-US" w:bidi="en-US"/>
        </w:rPr>
        <w:t>[35]</w:t>
      </w:r>
      <w:r>
        <w:rPr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o（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5</w:t>
      </w:r>
      <w:r>
        <w:rPr>
          <w:spacing w:val="0"/>
          <w:w w:val="100"/>
          <w:position w:val="0"/>
          <w:lang w:val="en-US" w:eastAsia="en-US" w:bidi="en-US"/>
        </w:rPr>
        <w:t xml:space="preserve"> </w:t>
      </w:r>
      <w:r>
        <w:rPr>
          <w:spacing w:val="0"/>
          <w:w w:val="100"/>
          <w:position w:val="0"/>
        </w:rPr>
        <w:t>）定期评估是 否有肢体疼痛及其对日常生活的影响</w:t>
      </w:r>
      <w:r>
        <w:rPr>
          <w:smallCaps/>
          <w:spacing w:val="0"/>
          <w:w w:val="100"/>
          <w:position w:val="0"/>
          <w:vertAlign w:val="superscript"/>
          <w:lang w:val="en-US" w:eastAsia="en-US" w:bidi="en-US"/>
        </w:rPr>
        <w:t>[11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-</w:t>
      </w:r>
      <w:r>
        <w:rPr>
          <w:smallCaps/>
          <w:spacing w:val="0"/>
          <w:w w:val="100"/>
          <w:position w:val="0"/>
          <w:vertAlign w:val="superscript"/>
          <w:lang w:val="en-US" w:eastAsia="en-US" w:bidi="en-US"/>
        </w:rPr>
        <w:t>12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,</w:t>
      </w:r>
      <w:r>
        <w:rPr>
          <w:smallCaps/>
          <w:spacing w:val="0"/>
          <w:w w:val="100"/>
          <w:position w:val="0"/>
          <w:vertAlign w:val="superscript"/>
          <w:lang w:val="en-US" w:eastAsia="en-US" w:bidi="en-US"/>
        </w:rPr>
        <w:t>46]</w:t>
      </w:r>
      <w:r>
        <w:rPr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o</w:t>
      </w:r>
      <w:r>
        <w:rPr>
          <w:spacing w:val="0"/>
          <w:w w:val="100"/>
          <w:position w:val="0"/>
          <w:lang w:val="en-US" w:eastAsia="en-US" w:bidi="en-US"/>
        </w:rPr>
        <w:t xml:space="preserve"> </w:t>
      </w: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6</w:t>
      </w:r>
      <w:r>
        <w:rPr>
          <w:spacing w:val="0"/>
          <w:w w:val="100"/>
          <w:position w:val="0"/>
        </w:rPr>
        <w:t>） 对有需求的患者提供遗传咨询。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2.4</w:t>
      </w:r>
      <w:r>
        <w:rPr>
          <w:spacing w:val="0"/>
          <w:w w:val="100"/>
          <w:position w:val="0"/>
        </w:rPr>
        <w:t xml:space="preserve">妊娠期 本声明认为临床医生应为夫妻任何一 </w:t>
      </w:r>
      <w:r>
        <w:rPr>
          <w:spacing w:val="0"/>
          <w:w w:val="100"/>
          <w:position w:val="0"/>
        </w:rPr>
        <w:t>方患有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的家庭提供孕前评估、孕期体检、产前 筛查、分娩管理、产后护理等，具体包括：（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</w:rPr>
        <w:t>）由 医疗机构对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妇女进行孕前评估，告知影响其妊 娠和分娩的</w:t>
      </w:r>
      <w:r>
        <w:rPr>
          <w:spacing w:val="0"/>
          <w:w w:val="100"/>
          <w:position w:val="0"/>
          <w:lang w:val="zh-CN" w:eastAsia="zh-CN" w:bidi="zh-CN"/>
        </w:rPr>
        <w:t>因素。</w:t>
      </w: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</w:t>
      </w:r>
      <w:r>
        <w:rPr>
          <w:spacing w:val="0"/>
          <w:w w:val="100"/>
          <w:position w:val="0"/>
        </w:rPr>
        <w:t xml:space="preserve">）建议孕妇在胎儿可能存在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风险时，立即进行产前</w:t>
      </w:r>
      <w:r>
        <w:rPr>
          <w:spacing w:val="0"/>
          <w:w w:val="100"/>
          <w:position w:val="0"/>
          <w:lang w:val="zh-CN" w:eastAsia="zh-CN" w:bidi="zh-CN"/>
        </w:rPr>
        <w:t>咨询。</w:t>
      </w: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</w:t>
      </w:r>
      <w:r>
        <w:rPr>
          <w:spacing w:val="0"/>
          <w:w w:val="100"/>
          <w:position w:val="0"/>
        </w:rPr>
        <w:t xml:space="preserve">）整个妊娠期 </w:t>
      </w:r>
      <w:r>
        <w:rPr>
          <w:spacing w:val="0"/>
          <w:w w:val="100"/>
          <w:position w:val="0"/>
        </w:rPr>
        <w:t>等相关检查，以评估孕妇的呼吸、心脏</w:t>
      </w:r>
      <w:r>
        <w:rPr>
          <w:spacing w:val="0"/>
          <w:w w:val="100"/>
          <w:position w:val="0"/>
          <w:lang w:val="zh-CN" w:eastAsia="zh-CN" w:bidi="zh-CN"/>
        </w:rPr>
        <w:t>状况。</w:t>
      </w: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4</w:t>
      </w:r>
      <w:r>
        <w:rPr>
          <w:spacing w:val="0"/>
          <w:w w:val="100"/>
          <w:position w:val="0"/>
        </w:rPr>
        <w:t>） 若父母中任何一方患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，建议在母亲在孕期定期 进行产科超声</w:t>
      </w:r>
      <w:r>
        <w:rPr>
          <w:spacing w:val="0"/>
          <w:w w:val="100"/>
          <w:position w:val="0"/>
          <w:lang w:val="zh-CN" w:eastAsia="zh-CN" w:bidi="zh-CN"/>
        </w:rPr>
        <w:t>检查。</w:t>
      </w:r>
      <w:r>
        <w:rPr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5</w:t>
      </w:r>
      <w:r>
        <w:rPr>
          <w:spacing w:val="0"/>
          <w:w w:val="100"/>
          <w:position w:val="0"/>
        </w:rPr>
        <w:t>）对高风险胎儿（如有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ACH </w:t>
      </w:r>
      <w:r>
        <w:rPr>
          <w:spacing w:val="0"/>
          <w:w w:val="100"/>
          <w:position w:val="0"/>
        </w:rPr>
        <w:t>家族史、父母一方或双方患病、曾孕有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胎儿史、 胎儿超声提示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可能等）进行产前诊断</w:t>
      </w:r>
      <w:r>
        <w:rPr>
          <w:spacing w:val="0"/>
          <w:w w:val="100"/>
          <w:position w:val="0"/>
          <w:lang w:val="zh-CN" w:eastAsia="zh-CN" w:bidi="zh-CN"/>
        </w:rPr>
        <w:t>。推</w:t>
      </w:r>
      <w:r>
        <w:rPr>
          <w:spacing w:val="0"/>
          <w:w w:val="100"/>
          <w:position w:val="0"/>
        </w:rPr>
        <w:t xml:space="preserve">荐通 过绒毛膜绒毛取样术或羊膜腔穿刺术检测是否存在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FGFR3</w:t>
      </w:r>
      <w:r>
        <w:rPr>
          <w:spacing w:val="0"/>
          <w:w w:val="100"/>
          <w:position w:val="0"/>
        </w:rPr>
        <w:t>致病性变异，或利用从母体血液中提取胎儿 的游离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DNA</w:t>
      </w:r>
      <w:r>
        <w:rPr>
          <w:spacing w:val="0"/>
          <w:w w:val="100"/>
          <w:position w:val="0"/>
        </w:rPr>
        <w:t>进行无创产前筛查</w:t>
      </w:r>
      <w:r>
        <w:rPr>
          <w:spacing w:val="0"/>
          <w:w w:val="100"/>
          <w:position w:val="0"/>
          <w:lang w:val="zh-CN" w:eastAsia="zh-CN" w:bidi="zh-CN"/>
        </w:rPr>
        <w:t>。我国</w:t>
      </w:r>
      <w:r>
        <w:rPr>
          <w:spacing w:val="0"/>
          <w:w w:val="100"/>
          <w:position w:val="0"/>
        </w:rPr>
        <w:t xml:space="preserve">专家建议在孕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9~13</w:t>
      </w:r>
      <w:r>
        <w:rPr>
          <w:spacing w:val="0"/>
          <w:w w:val="100"/>
          <w:position w:val="0"/>
        </w:rPr>
        <w:t>周行绒毛穿刺，或于孕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17~22</w:t>
      </w:r>
      <w:r>
        <w:rPr>
          <w:spacing w:val="0"/>
          <w:w w:val="100"/>
          <w:position w:val="0"/>
        </w:rPr>
        <w:t>周行羊膜腔穿刺 获取胎儿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DNA</w:t>
      </w:r>
      <w:r>
        <w:rPr>
          <w:spacing w:val="0"/>
          <w:w w:val="100"/>
          <w:position w:val="0"/>
        </w:rPr>
        <w:t>，在已知的家系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FGFR3</w:t>
      </w:r>
      <w:r>
        <w:rPr>
          <w:spacing w:val="0"/>
          <w:w w:val="100"/>
          <w:position w:val="0"/>
        </w:rPr>
        <w:t>基因致病性变 异的基础上行胎儿基因检测⑶。（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6</w:t>
      </w:r>
      <w:r>
        <w:rPr>
          <w:spacing w:val="0"/>
          <w:w w:val="100"/>
          <w:position w:val="0"/>
        </w:rPr>
        <w:t>）临床医生应为 确诊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胎儿的父母提供心理支持和后续胎儿管理 的建议</w:t>
      </w:r>
      <w:r>
        <w:rPr>
          <w:smallCaps/>
          <w:spacing w:val="0"/>
          <w:w w:val="100"/>
          <w:position w:val="0"/>
          <w:vertAlign w:val="superscript"/>
          <w:lang w:val="en-US" w:eastAsia="en-US" w:bidi="en-US"/>
        </w:rPr>
        <w:t>l13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'</w:t>
      </w:r>
      <w:r>
        <w:rPr>
          <w:smallCaps/>
          <w:spacing w:val="0"/>
          <w:w w:val="100"/>
          <w:position w:val="0"/>
          <w:vertAlign w:val="superscript"/>
          <w:lang w:val="en-US" w:eastAsia="en-US" w:bidi="en-US"/>
        </w:rPr>
        <w:t>54：</w:t>
      </w:r>
      <w:r>
        <w:rPr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>o（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7 </w:t>
      </w:r>
      <w:r>
        <w:rPr>
          <w:spacing w:val="0"/>
          <w:w w:val="100"/>
          <w:position w:val="0"/>
        </w:rPr>
        <w:t xml:space="preserve">）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不会增加孕妇早产的风险， 但由于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患者骨盆特点，可能需要提前终止</w:t>
      </w:r>
      <w:r>
        <w:rPr>
          <w:spacing w:val="0"/>
          <w:w w:val="100"/>
          <w:position w:val="0"/>
          <w:lang w:val="zh-CN" w:eastAsia="zh-CN" w:bidi="zh-CN"/>
        </w:rPr>
        <w:t xml:space="preserve">妊娠。 </w:t>
      </w:r>
      <w:r>
        <w:rPr>
          <w:spacing w:val="0"/>
          <w:w w:val="100"/>
          <w:position w:val="0"/>
        </w:rPr>
        <w:t>若孕周小于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32</w:t>
      </w:r>
      <w:r>
        <w:rPr>
          <w:spacing w:val="0"/>
          <w:w w:val="100"/>
          <w:position w:val="0"/>
        </w:rPr>
        <w:t>周，需对比胎头及孕妇骨盆大小，根 据预期的头盆比例决定分娩方式；若孕周大于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32</w:t>
      </w:r>
      <w:r>
        <w:rPr>
          <w:spacing w:val="0"/>
          <w:w w:val="100"/>
          <w:position w:val="0"/>
        </w:rPr>
        <w:t>周， 建议剖宫产，并根据患者临床情况制定剖宫产</w:t>
      </w:r>
      <w:r>
        <w:rPr>
          <w:spacing w:val="0"/>
          <w:w w:val="100"/>
          <w:position w:val="0"/>
          <w:lang w:val="zh-CN" w:eastAsia="zh-CN" w:bidi="zh-CN"/>
        </w:rPr>
        <w:t>时间。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left"/>
        <w:rPr>
          <w:sz w:val="12"/>
          <w:szCs w:val="12"/>
        </w:rPr>
      </w:pPr>
      <w:r>
        <w:rPr>
          <w:spacing w:val="0"/>
          <w:w w:val="100"/>
          <w:positio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8</w:t>
      </w:r>
      <w:r>
        <w:rPr>
          <w:spacing w:val="0"/>
          <w:w w:val="100"/>
          <w:position w:val="0"/>
          <w:sz w:val="20"/>
          <w:szCs w:val="20"/>
        </w:rPr>
        <w:t>）患有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 xml:space="preserve">的孕妇血容量往往低于健康产妇平均 水平，故分娩时即使出现中度失血也可能造成血液 的血流动力学异常，因此建议在配备重症监护设施、 先进气道设备以及能快速获得血液制品的医院进行 分娩，同时应注意根据病情即使补充液体及血液制 品 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L55]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患者临床问题管理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320" w:right="979" w:bottom="729" w:left="1070" w:header="0" w:footer="3" w:gutter="0"/>
          <w:cols w:num="2" w:space="245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3.1</w:t>
      </w:r>
      <w:r>
        <w:rPr>
          <w:spacing w:val="0"/>
          <w:w w:val="100"/>
          <w:position w:val="0"/>
        </w:rPr>
        <w:t>身材矮小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患者普遍存在身材矮小，可能 给其生理和心理带来一定负担</w:t>
      </w:r>
      <w:r>
        <w:rPr>
          <w:spacing w:val="0"/>
          <w:w w:val="100"/>
          <w:position w:val="0"/>
          <w:lang w:val="zh-CN" w:eastAsia="zh-CN" w:bidi="zh-CN"/>
        </w:rPr>
        <w:t>。针对</w:t>
      </w:r>
      <w:r>
        <w:rPr>
          <w:spacing w:val="0"/>
          <w:w w:val="100"/>
          <w:position w:val="0"/>
        </w:rPr>
        <w:t>不同地区患者 需求，可进行相应肢体延长术</w:t>
      </w:r>
      <w:r>
        <w:rPr>
          <w:spacing w:val="0"/>
          <w:w w:val="100"/>
          <w:position w:val="0"/>
          <w:lang w:val="zh-CN" w:eastAsia="zh-CN" w:bidi="zh-CN"/>
        </w:rPr>
        <w:t>治疗。</w:t>
      </w:r>
      <w:r>
        <w:rPr>
          <w:spacing w:val="0"/>
          <w:w w:val="100"/>
          <w:position w:val="0"/>
        </w:rPr>
        <w:t>下肢延长术可 增加腿长，纠正下肢错位，改变躯干下肢比例，提高 生活质量；肱骨延长术可以增加手臂长度，从而改 变躯干上肢比例，改善功能，提高自我护理能力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 xml:space="preserve">L56- </w:t>
      </w:r>
      <w:r>
        <w:rPr>
          <w:spacing w:val="0"/>
          <w:w w:val="100"/>
          <w:position w:val="0"/>
          <w:vertAlign w:val="superscript"/>
        </w:rPr>
        <w:t>57]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目前手术指征、手术方法、首次手术时间尚无 明确定论，因此肢体延长术前应由多学科团队对患者 进行详细检查和评估，以考虑和平衡患者所有功能、 生理和心理问题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L56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,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58-59 ]</w:t>
      </w:r>
      <w:r>
        <w:rPr>
          <w:spacing w:val="0"/>
          <w:w w:val="100"/>
          <w:position w:val="0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肢体延长术并发症和后遗 症包括足下垂、残留的腓总神经麻痹、膝关节和踝 关节外翻畸形、骨折、踝关节挛缩及骨骼延迟愈合 或不愈</w:t>
      </w:r>
      <w:r>
        <w:rPr>
          <w:spacing w:val="0"/>
          <w:w w:val="100"/>
          <w:position w:val="0"/>
          <w:lang w:val="zh-CN" w:eastAsia="zh-CN" w:bidi="zh-CN"/>
        </w:rPr>
        <w:t>合等。</w:t>
      </w:r>
      <w:r>
        <w:rPr>
          <w:spacing w:val="0"/>
          <w:w w:val="100"/>
          <w:position w:val="0"/>
        </w:rPr>
        <w:t xml:space="preserve">在肢体延长术前须进行全椎、颈、颅 </w:t>
      </w:r>
      <w:r>
        <w:rPr>
          <w:spacing w:val="0"/>
          <w:w w:val="100"/>
          <w:position w:val="0"/>
        </w:rPr>
        <w:t>底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</w:rPr>
        <w:t>检查，以降低麻醉和手术过程中因颈部过伸 导致脊髓损伤的风险，还应特别注意对气道通畅性、 颈部活动范围、打鼾或睡眠呼吸障碍史的评估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L 60-62]</w:t>
      </w:r>
      <w:r>
        <w:rPr>
          <w:spacing w:val="0"/>
          <w:w w:val="100"/>
          <w:position w:val="0"/>
          <w:lang w:val="en-US" w:eastAsia="en-US" w:bidi="en-US"/>
        </w:rPr>
        <w:t xml:space="preserve"> </w:t>
      </w:r>
      <w:r>
        <w:rPr>
          <w:smallCaps/>
          <w:spacing w:val="0"/>
          <w:w w:val="100"/>
          <w:position w:val="0"/>
          <w:sz w:val="10"/>
          <w:szCs w:val="10"/>
          <w:lang w:val="en-US" w:eastAsia="en-US" w:bidi="en-US"/>
        </w:rPr>
        <w:t xml:space="preserve">o </w:t>
      </w:r>
      <w:r>
        <w:rPr>
          <w:spacing w:val="0"/>
          <w:w w:val="100"/>
          <w:position w:val="0"/>
        </w:rPr>
        <w:t>由于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患者嘴巴小、舌头大、鼻孔窄、面中部发 育不良、腺样体肥大、颈部短而头颈部活动受限，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20" w:right="979" w:bottom="729" w:left="107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间应进行定期评估，并完善呼吸功能及超声心动图 麻醉难度大，且可致严重并发症，故在我国并不推荐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3.2</w:t>
      </w:r>
      <w:r>
        <w:rPr>
          <w:spacing w:val="0"/>
          <w:w w:val="100"/>
          <w:position w:val="0"/>
          <w:sz w:val="20"/>
          <w:szCs w:val="20"/>
        </w:rPr>
        <w:t xml:space="preserve">枕骨大孔狭窄枕骨大孔狭窄是一种常见的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并发症，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患儿枕骨大孔外观常呈</w:t>
      </w:r>
      <w:r>
        <w:rPr>
          <w:spacing w:val="0"/>
          <w:w w:val="100"/>
          <w:position w:val="0"/>
          <w:sz w:val="20"/>
          <w:szCs w:val="20"/>
          <w:lang w:val="zh-CN" w:eastAsia="zh-CN" w:bidi="zh-CN"/>
        </w:rPr>
        <w:t xml:space="preserve">“钥匙 </w:t>
      </w:r>
      <w:r>
        <w:rPr>
          <w:spacing w:val="0"/>
          <w:w w:val="100"/>
          <w:position w:val="0"/>
          <w:sz w:val="20"/>
          <w:szCs w:val="20"/>
        </w:rPr>
        <w:t>孔</w:t>
      </w:r>
      <w:r>
        <w:rPr>
          <w:spacing w:val="0"/>
          <w:w w:val="100"/>
          <w:position w:val="0"/>
          <w:sz w:val="20"/>
          <w:szCs w:val="20"/>
          <w:lang w:val="zh-CN" w:eastAsia="zh-CN" w:bidi="zh-CN"/>
        </w:rPr>
        <w:t>”状，</w:t>
      </w:r>
      <w:r>
        <w:rPr>
          <w:spacing w:val="0"/>
          <w:w w:val="100"/>
          <w:position w:val="0"/>
          <w:sz w:val="20"/>
          <w:szCs w:val="20"/>
        </w:rPr>
        <w:t>因此延髓呼吸调节中枢发生缺氧性损伤的 风险相对较高</w:t>
      </w:r>
      <w:r>
        <w:rPr>
          <w:spacing w:val="0"/>
          <w:w w:val="100"/>
          <w:position w:val="0"/>
          <w:sz w:val="20"/>
          <w:szCs w:val="20"/>
          <w:vertAlign w:val="superscript"/>
        </w:rPr>
        <w:t>［24-25 ］</w:t>
      </w:r>
      <w:r>
        <w:rPr>
          <w:spacing w:val="0"/>
          <w:w w:val="100"/>
          <w:position w:val="0"/>
          <w:sz w:val="20"/>
          <w:szCs w:val="20"/>
        </w:rPr>
        <w:t xml:space="preserve">。故婴幼儿期应定期进行神经系 统病变的询问及检查评估，必要时进行颅颈交界区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CT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、</w:t>
      </w:r>
      <w:r>
        <w:rPr>
          <w:spacing w:val="0"/>
          <w:w w:val="100"/>
          <w:position w:val="0"/>
          <w:sz w:val="20"/>
          <w:szCs w:val="20"/>
        </w:rPr>
        <w:t>多导睡眠监测等，建议由神经科、呼吸科医师 进行综合评估。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是判断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患儿颈髓是否受压 的首选方式，建议在无症状的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 xml:space="preserve">婴儿出生后的第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  <w:sz w:val="20"/>
          <w:szCs w:val="20"/>
        </w:rPr>
        <w:t>个月进行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扫描以评估颈髓交界区和枕骨大孔 大小</w:t>
      </w:r>
      <w:r>
        <w:rPr>
          <w:spacing w:val="0"/>
          <w:w w:val="100"/>
          <w:position w:val="0"/>
          <w:sz w:val="12"/>
          <w:szCs w:val="12"/>
        </w:rPr>
        <w:t>［</w:t>
      </w:r>
      <w:r>
        <w:rPr>
          <w:spacing w:val="0"/>
          <w:w w:val="100"/>
          <w:position w:val="0"/>
          <w:sz w:val="20"/>
          <w:szCs w:val="20"/>
          <w:vertAlign w:val="superscript"/>
        </w:rPr>
        <w:t>24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</w:rPr>
        <w:t xml:space="preserve">, </w:t>
      </w:r>
      <w:r>
        <w:rPr>
          <w:spacing w:val="0"/>
          <w:w w:val="100"/>
          <w:position w:val="0"/>
          <w:sz w:val="20"/>
          <w:szCs w:val="20"/>
          <w:vertAlign w:val="superscript"/>
        </w:rPr>
        <w:t>2</w:t>
      </w:r>
      <w:r>
        <w:rPr>
          <w:spacing w:val="0"/>
          <w:w w:val="100"/>
          <w:position w:val="0"/>
          <w:sz w:val="12"/>
          <w:szCs w:val="12"/>
        </w:rPr>
        <w:t>7 , 32 , 63-68］</w:t>
      </w:r>
      <w:r>
        <w:rPr>
          <w:spacing w:val="0"/>
          <w:w w:val="100"/>
          <w:position w:val="0"/>
          <w:sz w:val="20"/>
          <w:szCs w:val="20"/>
        </w:rPr>
        <w:t>。对患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的婴儿和儿童进行 颅颈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检查时应包括全脑成像。根据具体情况进 行分析鉴别，处理措施如下：（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  <w:sz w:val="20"/>
          <w:szCs w:val="20"/>
        </w:rPr>
        <w:t>）若患儿为无症状 脑室扩大则无需治疗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［67］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 xml:space="preserve">o（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</w:t>
      </w:r>
      <w:r>
        <w:rPr>
          <w:spacing w:val="0"/>
          <w:w w:val="100"/>
          <w:position w:val="0"/>
          <w:sz w:val="20"/>
          <w:szCs w:val="20"/>
        </w:rPr>
        <w:t>）若患儿存在神经系 统异常，要除外颈髓受压，应根据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检查进一步 评估</w:t>
      </w:r>
      <w:r>
        <w:rPr>
          <w:spacing w:val="0"/>
          <w:w w:val="100"/>
          <w:position w:val="0"/>
          <w:sz w:val="20"/>
          <w:szCs w:val="20"/>
          <w:vertAlign w:val="superscript"/>
        </w:rPr>
        <w:t>［24</w:t>
      </w:r>
      <w:r>
        <w:rPr>
          <w:spacing w:val="0"/>
          <w:w w:val="100"/>
          <w:position w:val="0"/>
          <w:sz w:val="12"/>
          <w:szCs w:val="12"/>
        </w:rPr>
        <w:t>'</w:t>
      </w:r>
      <w:r>
        <w:rPr>
          <w:spacing w:val="0"/>
          <w:w w:val="100"/>
          <w:position w:val="0"/>
          <w:sz w:val="20"/>
          <w:szCs w:val="20"/>
          <w:vertAlign w:val="superscript"/>
        </w:rPr>
        <w:t>69］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</w:rPr>
        <w:t>患儿一旦经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证实存在颈髓受压， 无论有无相关症状或体征，均应进行神经外科相关 评估⑵-</w:t>
      </w:r>
      <w:r>
        <w:rPr>
          <w:spacing w:val="0"/>
          <w:w w:val="100"/>
          <w:position w:val="0"/>
          <w:sz w:val="20"/>
          <w:szCs w:val="20"/>
          <w:vertAlign w:val="superscript"/>
        </w:rPr>
        <w:t>25</w:t>
      </w:r>
      <w:r>
        <w:rPr>
          <w:spacing w:val="0"/>
          <w:w w:val="100"/>
          <w:position w:val="0"/>
          <w:sz w:val="12"/>
          <w:szCs w:val="12"/>
        </w:rPr>
        <w:t>,</w:t>
      </w:r>
      <w:r>
        <w:rPr>
          <w:spacing w:val="0"/>
          <w:w w:val="100"/>
          <w:position w:val="0"/>
          <w:sz w:val="20"/>
          <w:szCs w:val="20"/>
          <w:vertAlign w:val="superscript"/>
        </w:rPr>
        <w:t>64</w:t>
      </w:r>
      <w:r>
        <w:rPr>
          <w:spacing w:val="0"/>
          <w:w w:val="100"/>
          <w:position w:val="0"/>
          <w:sz w:val="12"/>
          <w:szCs w:val="12"/>
        </w:rPr>
        <w:t>,</w:t>
      </w:r>
      <w:r>
        <w:rPr>
          <w:spacing w:val="0"/>
          <w:w w:val="100"/>
          <w:position w:val="0"/>
          <w:sz w:val="20"/>
          <w:szCs w:val="20"/>
          <w:vertAlign w:val="superscript"/>
        </w:rPr>
        <w:t>70</w:t>
      </w:r>
      <w:r>
        <w:rPr>
          <w:spacing w:val="0"/>
          <w:w w:val="100"/>
          <w:position w:val="0"/>
          <w:sz w:val="12"/>
          <w:szCs w:val="12"/>
        </w:rPr>
        <w:t>］</w:t>
      </w:r>
      <w:r>
        <w:rPr>
          <w:spacing w:val="0"/>
          <w:w w:val="100"/>
          <w:position w:val="0"/>
          <w:sz w:val="20"/>
          <w:szCs w:val="20"/>
        </w:rPr>
        <w:t xml:space="preserve">。（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 xml:space="preserve">3 </w:t>
      </w:r>
      <w:r>
        <w:rPr>
          <w:spacing w:val="0"/>
          <w:w w:val="100"/>
          <w:position w:val="0"/>
          <w:sz w:val="20"/>
          <w:szCs w:val="20"/>
        </w:rPr>
        <w:t>）枕骨大孔减压术适用于 伴或不伴脊髓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信号变化的有症状的颈髓受压 患儿⑵,</w:t>
      </w:r>
      <w:r>
        <w:rPr>
          <w:spacing w:val="0"/>
          <w:w w:val="100"/>
          <w:position w:val="0"/>
          <w:sz w:val="20"/>
          <w:szCs w:val="20"/>
          <w:vertAlign w:val="superscript"/>
        </w:rPr>
        <w:t>64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</w:rPr>
        <w:t xml:space="preserve">, </w:t>
      </w:r>
      <w:r>
        <w:rPr>
          <w:spacing w:val="0"/>
          <w:w w:val="100"/>
          <w:position w:val="0"/>
          <w:sz w:val="20"/>
          <w:szCs w:val="20"/>
          <w:vertAlign w:val="superscript"/>
        </w:rPr>
        <w:t>66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</w:rPr>
        <w:t xml:space="preserve">' </w:t>
      </w:r>
      <w:r>
        <w:rPr>
          <w:spacing w:val="0"/>
          <w:w w:val="100"/>
          <w:position w:val="0"/>
          <w:sz w:val="20"/>
          <w:szCs w:val="20"/>
          <w:vertAlign w:val="superscript"/>
        </w:rPr>
        <w:t>70</w:t>
      </w:r>
      <w:r>
        <w:rPr>
          <w:spacing w:val="0"/>
          <w:w w:val="100"/>
          <w:position w:val="0"/>
          <w:sz w:val="12"/>
          <w:szCs w:val="12"/>
        </w:rPr>
        <w:t>］</w:t>
      </w:r>
      <w:r>
        <w:rPr>
          <w:spacing w:val="0"/>
          <w:w w:val="100"/>
          <w:position w:val="0"/>
          <w:sz w:val="20"/>
          <w:szCs w:val="20"/>
        </w:rPr>
        <w:t>，需根据临床和放射检查、多导睡 眠图等综合评估手术风险</w:t>
      </w:r>
      <w:r>
        <w:rPr>
          <w:spacing w:val="0"/>
          <w:w w:val="100"/>
          <w:position w:val="0"/>
          <w:sz w:val="20"/>
          <w:szCs w:val="20"/>
          <w:lang w:val="zh-CN" w:eastAsia="zh-CN" w:bidi="zh-CN"/>
        </w:rPr>
        <w:t>。我</w:t>
      </w:r>
      <w:r>
        <w:rPr>
          <w:spacing w:val="0"/>
          <w:w w:val="100"/>
          <w:position w:val="0"/>
          <w:sz w:val="20"/>
          <w:szCs w:val="20"/>
        </w:rPr>
        <w:t>国共识指出患儿颅内 压增高可行脑室腹腔分流术，颅颈交界区受压可行 枕下减压术⑶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。（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4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的大龄儿童和成人的上 颈髓中，其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信号改变常不伴枕骨大孔狭窄，通 常不需要干预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［70-71］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3.3</w:t>
      </w:r>
      <w:r>
        <w:rPr>
          <w:spacing w:val="0"/>
          <w:w w:val="100"/>
          <w:position w:val="0"/>
        </w:rPr>
        <w:t>脊柱问题早期无支撑坐立是导致椎体楔形变、 脊柱后凸和椎管狭窄的王要因素，故无需过早对患 儿进行独坐练习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［18,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颈、胸椎的椎管狭窄的早期 症状通常表现为背痛及臀部疼痛，当出现神经系统 症状（如下肢无力、运动能力受损、大小便改变、 病理反射等）时，需进行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</w:rPr>
        <w:t>检查</w:t>
      </w:r>
      <w:r>
        <w:rPr>
          <w:spacing w:val="0"/>
          <w:w w:val="100"/>
          <w:position w:val="0"/>
          <w:vertAlign w:val="superscript"/>
        </w:rPr>
        <w:t>［46</w:t>
      </w:r>
      <w:r>
        <w:rPr>
          <w:spacing w:val="0"/>
          <w:w w:val="100"/>
          <w:position w:val="0"/>
          <w:sz w:val="12"/>
          <w:szCs w:val="12"/>
        </w:rPr>
        <w:t>-</w:t>
      </w:r>
      <w:r>
        <w:rPr>
          <w:spacing w:val="0"/>
          <w:w w:val="100"/>
          <w:position w:val="0"/>
          <w:vertAlign w:val="superscript"/>
        </w:rPr>
        <w:t>47</w:t>
      </w:r>
      <w:r>
        <w:rPr>
          <w:spacing w:val="0"/>
          <w:w w:val="100"/>
          <w:position w:val="0"/>
          <w:sz w:val="12"/>
          <w:szCs w:val="12"/>
        </w:rPr>
        <w:t>'</w:t>
      </w:r>
      <w:r>
        <w:rPr>
          <w:spacing w:val="0"/>
          <w:w w:val="100"/>
          <w:position w:val="0"/>
          <w:vertAlign w:val="superscript"/>
        </w:rPr>
        <w:t>72］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胸 腰椎狭窄可导致神经源性跛行，可采取减轻体重和 物理治疗等保守治疗方式，若保守治疗无效则考虑 手术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［14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'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39］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在初次进行脊柱手术减压时，考虑到椎 极切除术后脊柱持续生长可导致脊柱后凸，故骨骼 未成熟的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患者初次进行脊柱减压术时应对脊柱 进行融合和稳定</w:t>
      </w:r>
      <w:r>
        <w:rPr>
          <w:spacing w:val="0"/>
          <w:w w:val="100"/>
          <w:position w:val="0"/>
          <w:vertAlign w:val="superscript"/>
        </w:rPr>
        <w:t>［47］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为了防止骨骼成熟的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 者术后脊柱后凸复发，当行超过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5</w:t>
      </w:r>
      <w:r>
        <w:rPr>
          <w:spacing w:val="0"/>
          <w:w w:val="100"/>
          <w:position w:val="0"/>
        </w:rPr>
        <w:t>个以上节段或跨越 连接区的脊柱减压术，或出现脊柱矢状位排列不良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</w:rPr>
        <w:t>（包括胸腰椎后凸）时，需对脊柱进行融合和稳定 治疗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［ 36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'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47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'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49 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</w:rPr>
        <w:t>我国的共识还指出正侧位腰椎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X</w:t>
      </w:r>
      <w:r>
        <w:rPr>
          <w:spacing w:val="0"/>
          <w:w w:val="100"/>
          <w:position w:val="0"/>
        </w:rPr>
        <w:t>线 片发现固定结构大于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30</w:t>
      </w:r>
      <w:r>
        <w:rPr>
          <w:spacing w:val="0"/>
          <w:w w:val="100"/>
          <w:position w:val="0"/>
        </w:rPr>
        <w:t>°，或明显的楔入及明显的 椎骨移位时，应佩戴改良胸腰骶部支具治疗</w:t>
      </w:r>
      <w:r>
        <w:rPr>
          <w:spacing w:val="0"/>
          <w:w w:val="100"/>
          <w:position w:val="0"/>
          <w:lang w:val="zh-CN" w:eastAsia="zh-CN" w:bidi="zh-CN"/>
        </w:rPr>
        <w:t>⑶。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rPr>
          <w:sz w:val="12"/>
          <w:szCs w:val="12"/>
        </w:rPr>
      </w:pPr>
      <w:r>
        <w:rPr>
          <w:spacing w:val="0"/>
          <w:w w:val="100"/>
          <w:position w:val="0"/>
          <w:sz w:val="20"/>
          <w:szCs w:val="20"/>
        </w:rPr>
        <w:t>本声明推荐在患者俯卧位、仰卧位和站立位时进行 下肢活动能力的临床评估，分析胫骨内旋、外翻、 肢体稳定性及关节屈曲等情况</w:t>
      </w:r>
      <w:r>
        <w:rPr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m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</w:rPr>
        <w:t>通过立位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X</w:t>
      </w:r>
      <w:r>
        <w:rPr>
          <w:spacing w:val="0"/>
          <w:w w:val="100"/>
          <w:position w:val="0"/>
          <w:sz w:val="20"/>
          <w:szCs w:val="20"/>
        </w:rPr>
        <w:t>光 片评估下肢是否存在成角畸形</w:t>
      </w:r>
      <w:r>
        <w:rPr>
          <w:spacing w:val="0"/>
          <w:w w:val="100"/>
          <w:position w:val="0"/>
          <w:sz w:val="20"/>
          <w:szCs w:val="20"/>
          <w:vertAlign w:val="superscript"/>
        </w:rPr>
        <w:t>［73</w:t>
      </w:r>
      <w:r>
        <w:rPr>
          <w:spacing w:val="0"/>
          <w:w w:val="100"/>
          <w:position w:val="0"/>
          <w:sz w:val="10"/>
          <w:szCs w:val="10"/>
        </w:rPr>
        <w:t>"</w:t>
      </w:r>
      <w:r>
        <w:rPr>
          <w:spacing w:val="0"/>
          <w:w w:val="100"/>
          <w:position w:val="0"/>
          <w:sz w:val="20"/>
          <w:szCs w:val="20"/>
          <w:vertAlign w:val="superscript"/>
        </w:rPr>
        <w:t>76］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</w:rPr>
        <w:t>患者的膝内翻 不宜使用支具治疗</w:t>
      </w:r>
      <w:r>
        <w:rPr>
          <w:spacing w:val="0"/>
          <w:w w:val="100"/>
          <w:position w:val="0"/>
          <w:sz w:val="20"/>
          <w:szCs w:val="20"/>
          <w:lang w:val="zh-CN" w:eastAsia="zh-CN" w:bidi="zh-CN"/>
        </w:rPr>
        <w:t>。膝</w:t>
      </w:r>
      <w:r>
        <w:rPr>
          <w:spacing w:val="0"/>
          <w:w w:val="100"/>
          <w:position w:val="0"/>
          <w:sz w:val="20"/>
          <w:szCs w:val="20"/>
        </w:rPr>
        <w:t>关节周围持续疼痛、稳定性 差、伴有影响生活的步态改变是膝内翻的主要手术 指征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［21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'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73］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</w:rPr>
        <w:t>对于膝关节外侧疼痛，特别是在无成角 畸形的情况下，建议行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MRI</w:t>
      </w:r>
      <w:r>
        <w:rPr>
          <w:spacing w:val="0"/>
          <w:w w:val="100"/>
          <w:position w:val="0"/>
          <w:sz w:val="20"/>
          <w:szCs w:val="20"/>
        </w:rPr>
        <w:t>检查排除盘状半月板的 存在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［77-79 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oT</w:t>
      </w:r>
      <w:r>
        <w:rPr>
          <w:spacing w:val="0"/>
          <w:w w:val="100"/>
          <w:position w:val="0"/>
          <w:sz w:val="20"/>
          <w:szCs w:val="20"/>
        </w:rPr>
        <w:t>肢对位不良可通过裁骨术或引导生长 术矫正</w:t>
      </w:r>
      <w:r>
        <w:rPr>
          <w:spacing w:val="0"/>
          <w:w w:val="100"/>
          <w:position w:val="0"/>
          <w:sz w:val="20"/>
          <w:szCs w:val="20"/>
          <w:vertAlign w:val="superscript"/>
        </w:rPr>
        <w:t>［80］</w:t>
      </w:r>
      <w:r>
        <w:rPr>
          <w:spacing w:val="0"/>
          <w:w w:val="100"/>
          <w:position w:val="0"/>
          <w:sz w:val="20"/>
          <w:szCs w:val="20"/>
        </w:rPr>
        <w:t>。若患者合并枕骨大孔狭窄，在手术过程 中进行气管摇管或面罩通气时，可应用可视喉镜或 现成的气道辅助设备来避免或减少头颈部活动。矫 正的时间和方式应根据症状、严重程度、生长模式 以及生长空间等进行调整</w:t>
      </w:r>
      <w:r>
        <w:rPr>
          <w:spacing w:val="0"/>
          <w:w w:val="100"/>
          <w:position w:val="0"/>
          <w:sz w:val="20"/>
          <w:szCs w:val="20"/>
          <w:vertAlign w:val="superscript"/>
        </w:rPr>
        <w:t>［21</w:t>
      </w:r>
      <w:r>
        <w:rPr>
          <w:spacing w:val="0"/>
          <w:w w:val="100"/>
          <w:position w:val="0"/>
          <w:sz w:val="10"/>
          <w:szCs w:val="10"/>
        </w:rPr>
        <w:t>'</w:t>
      </w:r>
      <w:r>
        <w:rPr>
          <w:spacing w:val="0"/>
          <w:w w:val="100"/>
          <w:position w:val="0"/>
          <w:sz w:val="20"/>
          <w:szCs w:val="20"/>
          <w:vertAlign w:val="superscript"/>
        </w:rPr>
        <w:t>81］</w:t>
      </w:r>
      <w:r>
        <w:rPr>
          <w:spacing w:val="0"/>
          <w:w w:val="100"/>
          <w:position w:val="0"/>
          <w:sz w:val="20"/>
          <w:szCs w:val="20"/>
        </w:rPr>
        <w:t xml:space="preserve"> 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3.5</w:t>
      </w:r>
      <w:r>
        <w:rPr>
          <w:spacing w:val="0"/>
          <w:w w:val="100"/>
          <w:position w:val="0"/>
          <w:sz w:val="20"/>
          <w:szCs w:val="20"/>
        </w:rPr>
        <w:t>颌面部相关问题 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1</w:t>
      </w:r>
      <w:r>
        <w:rPr>
          <w:spacing w:val="0"/>
          <w:w w:val="100"/>
          <w:position w:val="0"/>
          <w:sz w:val="20"/>
          <w:szCs w:val="20"/>
        </w:rPr>
        <w:t>）本声明建议将评估耳膜 情况、听力情况作为定期复查时的常规项目，以及 时发现并纠正耳部相关问题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［14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'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35］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 xml:space="preserve">o（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</w:t>
      </w:r>
      <w:r>
        <w:rPr>
          <w:spacing w:val="0"/>
          <w:w w:val="100"/>
          <w:position w:val="0"/>
          <w:sz w:val="20"/>
          <w:szCs w:val="20"/>
        </w:rPr>
        <w:t xml:space="preserve">）因慢性咽 鼓管功能障碍导致的中耳积液和传导性听力丧失是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 xml:space="preserve">患者的常见症状，也是患儿语言交流能力发展 受限的原因之一 </w:t>
      </w:r>
      <w:r>
        <w:rPr>
          <w:spacing w:val="0"/>
          <w:w w:val="100"/>
          <w:position w:val="0"/>
          <w:sz w:val="12"/>
          <w:szCs w:val="12"/>
        </w:rPr>
        <w:t>I</w:t>
      </w:r>
      <w:r>
        <w:rPr>
          <w:spacing w:val="0"/>
          <w:w w:val="100"/>
          <w:position w:val="0"/>
          <w:sz w:val="20"/>
          <w:szCs w:val="20"/>
          <w:vertAlign w:val="superscript"/>
        </w:rPr>
        <w:t>35</w:t>
      </w:r>
      <w:r>
        <w:rPr>
          <w:spacing w:val="0"/>
          <w:w w:val="100"/>
          <w:position w:val="0"/>
          <w:sz w:val="10"/>
          <w:szCs w:val="10"/>
        </w:rPr>
        <w:t>〕</w:t>
      </w:r>
      <w:r>
        <w:rPr>
          <w:spacing w:val="0"/>
          <w:w w:val="100"/>
          <w:position w:val="0"/>
          <w:sz w:val="20"/>
          <w:szCs w:val="20"/>
        </w:rPr>
        <w:t>。当中耳积液持续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</w:t>
      </w:r>
      <w:r>
        <w:rPr>
          <w:spacing w:val="0"/>
          <w:w w:val="100"/>
          <w:position w:val="0"/>
          <w:sz w:val="20"/>
          <w:szCs w:val="20"/>
        </w:rPr>
        <w:t>个月以上且 有听力损失时，建议放置鼓室造痿管或使用助听器治 疗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［21</w:t>
      </w: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'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82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-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84 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z w:val="20"/>
          <w:szCs w:val="20"/>
        </w:rPr>
        <w:t xml:space="preserve">（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3</w:t>
      </w:r>
      <w:r>
        <w:rPr>
          <w:spacing w:val="0"/>
          <w:w w:val="100"/>
          <w:position w:val="0"/>
          <w:sz w:val="20"/>
          <w:szCs w:val="20"/>
        </w:rPr>
        <w:t>）中耳颈静脉球高位多见于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患者， 在进行鼓膜切开术或其他耳科手术之前，应仔细检 查颈静脉球高位的耳镜征象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［63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'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85 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4</w:t>
      </w:r>
      <w:r>
        <w:rPr>
          <w:spacing w:val="0"/>
          <w:w w:val="100"/>
          <w:position w:val="0"/>
          <w:sz w:val="20"/>
          <w:szCs w:val="20"/>
        </w:rPr>
        <w:t>）对于上颌 弓发育不良的患儿，需评估是否需要正畸治疗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［86］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5</w:t>
      </w:r>
      <w:r>
        <w:rPr>
          <w:spacing w:val="0"/>
          <w:w w:val="100"/>
          <w:position w:val="0"/>
          <w:sz w:val="20"/>
          <w:szCs w:val="20"/>
        </w:rPr>
        <w:t>）若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患者在咽部手术后残留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  <w:sz w:val="20"/>
          <w:szCs w:val="20"/>
        </w:rPr>
        <w:t>，可考虑 行上颌正畸扩张和上颌非手术前牵引，以增加上气道 容量⑻</w:t>
      </w:r>
      <w:r>
        <w:rPr>
          <w:spacing w:val="0"/>
          <w:w w:val="100"/>
          <w:position w:val="0"/>
          <w:sz w:val="20"/>
          <w:szCs w:val="20"/>
          <w:vertAlign w:val="superscript"/>
        </w:rPr>
        <w:t>-</w:t>
      </w:r>
      <w:r>
        <w:rPr>
          <w:spacing w:val="0"/>
          <w:w w:val="100"/>
          <w:position w:val="0"/>
          <w:sz w:val="20"/>
          <w:szCs w:val="20"/>
        </w:rPr>
        <w:t>"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6</w:t>
      </w:r>
      <w:r>
        <w:rPr>
          <w:spacing w:val="0"/>
          <w:w w:val="100"/>
          <w:position w:val="0"/>
          <w:sz w:val="20"/>
          <w:szCs w:val="20"/>
        </w:rPr>
        <w:t>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  <w:sz w:val="20"/>
          <w:szCs w:val="20"/>
        </w:rPr>
        <w:t>患者通过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Le Fort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I</w:t>
      </w:r>
      <w:r>
        <w:rPr>
          <w:spacing w:val="0"/>
          <w:w w:val="100"/>
          <w:position w:val="0"/>
          <w:sz w:val="20"/>
          <w:szCs w:val="20"/>
        </w:rPr>
        <w:t>或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Le Fort III</w:t>
      </w:r>
      <w:r>
        <w:rPr>
          <w:spacing w:val="0"/>
          <w:w w:val="100"/>
          <w:position w:val="0"/>
          <w:sz w:val="20"/>
          <w:szCs w:val="20"/>
        </w:rPr>
        <w:t>裁骨术完成骨生长后，可以考虑进行正颌手术矫 正颌面部发育不良</w:t>
      </w:r>
      <w:r>
        <w:rPr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［89］</w:t>
      </w:r>
      <w:r>
        <w:rPr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1320" w:right="979" w:bottom="720" w:left="1080" w:header="0" w:footer="3" w:gutter="0"/>
          <w:cols w:num="2" w:space="245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3.6</w:t>
      </w:r>
      <w:r>
        <w:rPr>
          <w:spacing w:val="0"/>
          <w:w w:val="100"/>
          <w:position w:val="0"/>
        </w:rPr>
        <w:t>呼吸问题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 xml:space="preserve">患者由于面中部发育不良，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发病率较高</w:t>
      </w:r>
      <w:r>
        <w:rPr>
          <w:spacing w:val="0"/>
          <w:w w:val="100"/>
          <w:position w:val="0"/>
          <w:lang w:val="zh-CN" w:eastAsia="zh-CN" w:bidi="zh-CN"/>
        </w:rPr>
        <w:t>。部分</w:t>
      </w:r>
      <w:r>
        <w:rPr>
          <w:spacing w:val="0"/>
          <w:w w:val="100"/>
          <w:position w:val="0"/>
        </w:rPr>
        <w:t>患者由于存在小胸廓，导致 肺顺应性降低，从而引发限制性肺疾病，出现氧饱 和度降低，慢性低氧血症</w:t>
      </w:r>
      <w:r>
        <w:rPr>
          <w:spacing w:val="0"/>
          <w:w w:val="100"/>
          <w:position w:val="0"/>
          <w:lang w:val="zh-CN" w:eastAsia="zh-CN" w:bidi="zh-CN"/>
        </w:rPr>
        <w:t>⑶。</w:t>
      </w:r>
      <w:r>
        <w:rPr>
          <w:spacing w:val="0"/>
          <w:w w:val="100"/>
          <w:position w:val="0"/>
        </w:rPr>
        <w:t>在婴幼儿中，若颈髓 交界处脊髓受压，可导致中枢性睡眠呼吸暂停</w:t>
      </w:r>
      <w:r>
        <w:rPr>
          <w:spacing w:val="0"/>
          <w:w w:val="100"/>
          <w:position w:val="0"/>
          <w:lang w:val="zh-CN" w:eastAsia="zh-CN" w:bidi="zh-CN"/>
        </w:rPr>
        <w:t xml:space="preserve">。上 </w:t>
      </w:r>
      <w:r>
        <w:rPr>
          <w:spacing w:val="0"/>
          <w:w w:val="100"/>
          <w:position w:val="0"/>
        </w:rPr>
        <w:t>气道梗阻和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多见于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儿童期</w:t>
      </w:r>
      <w:r>
        <w:rPr>
          <w:spacing w:val="0"/>
          <w:w w:val="100"/>
          <w:position w:val="0"/>
          <w:lang w:val="zh-CN" w:eastAsia="zh-CN" w:bidi="zh-CN"/>
        </w:rPr>
        <w:t>。婴儿</w:t>
      </w:r>
      <w:r>
        <w:rPr>
          <w:spacing w:val="0"/>
          <w:w w:val="100"/>
          <w:position w:val="0"/>
        </w:rPr>
        <w:t>可表现 为呼吸暂停或周期性呼吸过度、呼吸困难、难以平 躺入睡、频繁醒来、喂养困难、咳嗽</w:t>
      </w:r>
      <w:r>
        <w:rPr>
          <w:spacing w:val="0"/>
          <w:w w:val="100"/>
          <w:position w:val="0"/>
          <w:lang w:val="zh-CN" w:eastAsia="zh-CN" w:bidi="zh-CN"/>
        </w:rPr>
        <w:t>。长期</w:t>
      </w:r>
      <w:r>
        <w:rPr>
          <w:spacing w:val="0"/>
          <w:w w:val="100"/>
          <w:position w:val="0"/>
        </w:rPr>
        <w:t>睡眠紊 乱可影响患儿身高的增长，增加日间活动中发生各 种意外事件的风险，长期反复的缺氧状态还会增加 肺动脉高压和肺源性心脏病的发病风险</w:t>
      </w:r>
      <w:r>
        <w:rPr>
          <w:spacing w:val="0"/>
          <w:w w:val="100"/>
          <w:position w:val="0"/>
          <w:vertAlign w:val="superscript"/>
        </w:rPr>
        <w:t>［90］</w:t>
      </w:r>
      <w:r>
        <w:rPr>
          <w:spacing w:val="0"/>
          <w:w w:val="100"/>
          <w:position w:val="0"/>
        </w:rPr>
        <w:t>，故及 时识别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患儿有无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的临床表现十分</w:t>
      </w:r>
      <w:r>
        <w:rPr>
          <w:spacing w:val="0"/>
          <w:w w:val="100"/>
          <w:position w:val="0"/>
          <w:lang w:val="zh-CN" w:eastAsia="zh-CN" w:bidi="zh-CN"/>
        </w:rPr>
        <w:t>重要。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20" w:right="979" w:bottom="720" w:left="108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3.4</w:t>
      </w:r>
      <w:r>
        <w:rPr>
          <w:spacing w:val="0"/>
          <w:w w:val="100"/>
          <w:position w:val="0"/>
        </w:rPr>
        <w:t>膝内翻 膝内翻可导致步态不稳或活动性疼痛。 因此建议应在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</w:rPr>
        <w:t>2</w:t>
      </w:r>
      <w:r>
        <w:rPr>
          <w:spacing w:val="0"/>
          <w:w w:val="100"/>
          <w:position w:val="0"/>
        </w:rPr>
        <w:t>岁前完成夜间多导睡眠图等睡眠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both"/>
      </w:pPr>
      <w:r>
        <w:rPr>
          <w:spacing w:val="0"/>
          <w:w w:val="100"/>
          <w:position w:val="0"/>
        </w:rPr>
        <w:t>监测"4,汕对，《94],同时进行耳鼻喉科、呼吸科等 多学科团队会诊综合评估患者面中部发育不良的严 重程度、扁桃体肥大程度和鼻腔通畅程度。无创正压 通气可用于治疗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，对于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伴有扁桃体或腺样 体肥大时，建议手术治疗</w:t>
      </w:r>
      <w:r>
        <w:rPr>
          <w:spacing w:val="0"/>
          <w:w w:val="100"/>
          <w:position w:val="0"/>
          <w:vertAlign w:val="superscript"/>
        </w:rPr>
        <w:t>[18]</w:t>
      </w:r>
      <w:r>
        <w:rPr>
          <w:spacing w:val="0"/>
          <w:w w:val="100"/>
          <w:position w:val="0"/>
        </w:rPr>
        <w:t>。扁桃体切除术和腺体 切除术是儿童期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的一线治疗方法，应于术后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 xml:space="preserve">2-4 </w:t>
      </w:r>
      <w:r>
        <w:rPr>
          <w:spacing w:val="0"/>
          <w:w w:val="100"/>
          <w:position w:val="0"/>
        </w:rPr>
        <w:t>个月复查多导睡眠图评估患者状态。可通过后续睡 眠监测患者是否有持续性或复发性疾病</w:t>
      </w:r>
      <w:r>
        <w:rPr>
          <w:spacing w:val="0"/>
          <w:w w:val="100"/>
          <w:position w:val="0"/>
          <w:vertAlign w:val="superscript"/>
        </w:rPr>
        <w:t>91</w:t>
      </w:r>
      <w:r>
        <w:rPr>
          <w:spacing w:val="0"/>
          <w:w w:val="100"/>
          <w:position w:val="0"/>
        </w:rPr>
        <w:t>，</w:t>
      </w:r>
      <w:r>
        <w:rPr>
          <w:spacing w:val="0"/>
          <w:w w:val="100"/>
          <w:position w:val="0"/>
          <w:vertAlign w:val="superscript"/>
        </w:rPr>
        <w:t>93-94 ]</w:t>
      </w:r>
      <w:r>
        <w:rPr>
          <w:spacing w:val="0"/>
          <w:w w:val="100"/>
          <w:position w:val="0"/>
        </w:rPr>
        <w:t>。 对于腺体扁桃体切除术后仍有持续性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的成人， 可经评估后进行额外的气道手术⑶，</w:t>
      </w:r>
      <w:r>
        <w:rPr>
          <w:spacing w:val="0"/>
          <w:w w:val="100"/>
          <w:position w:val="0"/>
          <w:vertAlign w:val="superscript"/>
        </w:rPr>
        <w:t>8</w:t>
      </w:r>
      <w:r>
        <w:rPr>
          <w:spacing w:val="0"/>
          <w:w w:val="100"/>
          <w:position w:val="0"/>
        </w:rPr>
        <w:t>"。上气道手术 后残留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OSA</w:t>
      </w:r>
      <w:r>
        <w:rPr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儿童，应接受持续气道正压治疗 等替代治疗</w:t>
      </w:r>
      <w:r>
        <w:rPr>
          <w:spacing w:val="0"/>
          <w:w w:val="100"/>
          <w:position w:val="0"/>
          <w:vertAlign w:val="superscript"/>
          <w:lang w:val="en-US" w:eastAsia="en-US" w:bidi="en-US"/>
        </w:rPr>
        <w:t>[91-92]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可采取避免被动吸烟、避免接触 呼吸道感染者、用单克隆抗体预防呼吸道合胞病毒 等方法降低呼吸道感染的风险，从而减少发生期间 发生呼吸衰竭风险3"。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00"/>
        <w:jc w:val="both"/>
      </w:pPr>
      <w:r>
        <w:rPr>
          <w:spacing w:val="0"/>
          <w:w w:val="100"/>
          <w:position w:val="0"/>
        </w:rPr>
        <w:t>本声明是基于现有证据对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患者在其整个生 命周期和涉及的各专科领域诊疗标准化的共识。社 会给予系统的医疗保健及宣传支持对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患者及其 家庭十分重要。因此，除了了解软骨发育不全的诊 断以外，我们还应对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lang w:val="en-US" w:eastAsia="en-US" w:bidi="en-US"/>
        </w:rPr>
        <w:t>ACH</w:t>
      </w:r>
      <w:r>
        <w:rPr>
          <w:spacing w:val="0"/>
          <w:w w:val="100"/>
          <w:position w:val="0"/>
        </w:rPr>
        <w:t>各种并发症做到及早发现， 及时治疗，全面管理，并予以心理咨询，以最大程度 地减轻患者及家庭的负担，延缓并发症的发生发展， 提高生活质量，降低致死致残率。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00"/>
        <w:jc w:val="both"/>
      </w:pPr>
      <w:r>
        <w:rPr>
          <w:b/>
          <w:bCs/>
          <w:spacing w:val="0"/>
          <w:w w:val="100"/>
          <w:position w:val="0"/>
        </w:rPr>
        <w:t>作者贡献：孙文文参与文章撰写、查阅文献、文 章设计；刘晶参与文献查阅，对文章内容进行批评性 审阅及补充；孔德先参与文献查阅，对文章内容进 行审阅；张智敏参与文献查阅，对文章内容进行审阅； 马慧娟参与文章指导，对文章内容进行批评性审阅 及补充，文章设计。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00"/>
        <w:jc w:val="left"/>
      </w:pPr>
      <w:r>
        <w:rPr>
          <w:b/>
          <w:bCs/>
          <w:spacing w:val="0"/>
          <w:w w:val="100"/>
          <w:position w:val="0"/>
        </w:rPr>
        <w:t>本文无利益冲突。</w:t>
      </w:r>
    </w:p>
    <w:p>
      <w:pPr>
        <w:pStyle w:val="Style6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10" w:name="bookmark10"/>
      <w:bookmarkStart w:id="11" w:name="bookmark11"/>
      <w:bookmarkStart w:id="12" w:name="bookmark12"/>
      <w:r>
        <w:rPr>
          <w:spacing w:val="0"/>
          <w:w w:val="100"/>
          <w:position w:val="0"/>
        </w:rPr>
        <w:t>参考文献</w:t>
      </w:r>
      <w:bookmarkEnd w:id="10"/>
      <w:bookmarkEnd w:id="11"/>
      <w:bookmarkEnd w:id="12"/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400" w:right="0" w:hanging="400"/>
        <w:jc w:val="both"/>
      </w:pPr>
      <w:bookmarkStart w:id="13" w:name="bookmark13"/>
      <w:bookmarkEnd w:id="1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FOREMAN P K,VAN KESSEL F,VAN HOORN R,et al. Birth prevalence of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systematic literature review and meta-analysis[J]. Am J Med Genet 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2020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182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2297-2316.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10.1002/ajmg.a.61787.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400" w:right="0" w:hanging="400"/>
        <w:jc w:val="both"/>
      </w:pPr>
      <w:bookmarkStart w:id="14" w:name="bookmark14"/>
      <w:bookmarkEnd w:id="1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HOOVER-FONG J,CHEUNG M S,FANO V,et al. Lifetime impact of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current evidence and perspectives on the natural history[j]. Bone,2021,146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115872.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j.bone.2021.115872.</w:t>
      </w:r>
    </w:p>
    <w:p>
      <w:pPr>
        <w:pStyle w:val="Style4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80" w:line="260" w:lineRule="exact"/>
        <w:ind w:left="400" w:right="0" w:hanging="400"/>
        <w:jc w:val="both"/>
      </w:pPr>
      <w:bookmarkStart w:id="15" w:name="bookmark15"/>
      <w:bookmarkEnd w:id="15"/>
      <w:r>
        <w:rPr>
          <w:spacing w:val="0"/>
          <w:w w:val="100"/>
          <w:position w:val="0"/>
        </w:rPr>
        <w:t>中国医师协会医学遗传医师分会，中华医学会儿科学分会内分 泌遗传代谢学组，中华医学会儿科学分会罕见病学组，等.软 骨发育不全诊断及治疗专家共识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</w:t>
      </w:r>
      <w:r>
        <w:rPr>
          <w:spacing w:val="0"/>
          <w:w w:val="100"/>
          <w:position w:val="0"/>
        </w:rPr>
        <w:t>中华儿科杂志，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2021, 59(7</w:t>
      </w:r>
      <w:r>
        <w:rPr>
          <w:spacing w:val="0"/>
          <w:w w:val="100"/>
          <w:position w:val="0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545-550. DOI</w:t>
      </w:r>
      <w:r>
        <w:rPr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10.3760/cma.j.cn112140-20201229-01142.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400" w:right="0" w:hanging="400"/>
        <w:jc w:val="both"/>
      </w:pPr>
      <w:bookmarkStart w:id="16" w:name="bookmark16"/>
      <w:bookmarkEnd w:id="1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SAVARIRAYAN R, IRELAND P,IRVING M,et al. International consensus statement on the diagnosis,multidisciplinary management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603" w:val="left"/>
          <w:tab w:pos="3835" w:val="left"/>
        </w:tabs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9"/>
          <w:szCs w:val="9"/>
          <w:lang w:val="en-US" w:eastAsia="en-US" w:bidi="en-US"/>
        </w:rPr>
        <w:t>,.</w:t>
        <w:tab/>
        <w:t xml:space="preserve">{■ A- A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9"/>
          <w:szCs w:val="9"/>
          <w:vertAlign w:val="subscript"/>
          <w:lang w:val="en-US" w:eastAsia="en-US" w:bidi="en-US"/>
        </w:rPr>
        <w:t>t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0"/>
          <w:szCs w:val="10"/>
        </w:rPr>
        <w:t xml:space="preserve">•山 </w:t>
      </w:r>
      <w:r>
        <w:rPr>
          <w:spacing w:val="0"/>
          <w:w w:val="100"/>
          <w:position w:val="0"/>
          <w:lang w:val="en-US" w:eastAsia="en-US" w:bidi="en-US"/>
        </w:rPr>
        <w:t>X H i</w:t>
        <w:tab/>
        <w:t>r I- -| IV . R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and lifelong care of individuals with achondroplasia [J]. Nat Rev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Endocrinol,2021,18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173-189.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10.1038/s41574- 021-00595-x.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360" w:right="0" w:hanging="36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GLER W,WARD L M. New developments in the management of achondroplasia [J]. Wien Med Wochenschr, 2020, 170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5/6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104-111.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10.1007/s10354-020-00741-6.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360" w:right="0" w:hanging="360"/>
        <w:jc w:val="both"/>
      </w:pPr>
      <w:bookmarkStart w:id="18" w:name="bookmark18"/>
      <w:bookmarkEnd w:id="1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SAVARIRAYAN R,RIMOIN D L. Skeletal dysplasias[J]. Adv Pediatr,2004,51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209-229.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360" w:right="0" w:hanging="360"/>
        <w:jc w:val="both"/>
      </w:pPr>
      <w:bookmarkStart w:id="19" w:name="bookmark19"/>
      <w:bookmarkEnd w:id="1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HOOVER-FONG J,MCGREADY J,SCHULZE K,et al. A height-for-age growth reference for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expanded applications and comparison with original reference dat[ J ]. Am J Med Genet A,2017,173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1226-1230.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ajmg.a.38150.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80" w:line="260" w:lineRule="exact"/>
        <w:ind w:left="360" w:right="0" w:hanging="360"/>
        <w:jc w:val="both"/>
      </w:pPr>
      <w:bookmarkStart w:id="20" w:name="bookmark20"/>
      <w:bookmarkEnd w:id="2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MERKER A, NEUMEYER L, HERTEL N T, et al. Development of body proportions in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sitting height,leg length,arm span,and foot length[J]. Am J Med Genet A, 2018,176 （9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1819-1829.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10.1002/ajmg.a.40356.</w:t>
      </w:r>
    </w:p>
    <w:p>
      <w:pPr>
        <w:pStyle w:val="Style2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360" w:lineRule="auto"/>
        <w:ind w:left="360" w:right="0" w:hanging="360"/>
        <w:jc w:val="both"/>
      </w:pPr>
      <w:bookmarkStart w:id="21" w:name="bookmark21"/>
      <w:bookmarkEnd w:id="2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NEUMEYER L,MERKER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A,HaGEN</w:t>
      </w:r>
      <w:r>
        <w:rPr>
          <w:rFonts w:ascii="SimSun" w:eastAsia="SimSun" w:hAnsi="SimSun" w:cs="SimSun"/>
          <w:smallCaps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L. Clinical charts for surveillance of growth and body proportion development in achondroplasia and examples of their use [J]. Am J Med Genet A, 2021,185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401-412.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10.1002/ajmg.a.61974.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360" w:lineRule="auto"/>
        <w:ind w:left="440" w:right="0" w:hanging="440"/>
        <w:jc w:val="both"/>
      </w:pPr>
      <w:bookmarkStart w:id="22" w:name="bookmark22"/>
      <w:bookmarkEnd w:id="2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TOFTS L,DAS S,COLLINS F,et al. Growth charts for Australian children with achondroplasia[J]. Am J Med Genet A,2017,173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60" w:lineRule="exact"/>
        <w:ind w:left="0" w:right="0" w:firstLine="440"/>
        <w:jc w:val="both"/>
      </w:pP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2189-2200.DOI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10.1002/ajmg.a.38312.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260" w:lineRule="exact"/>
        <w:ind w:left="440" w:right="0" w:hanging="440"/>
        <w:jc w:val="both"/>
      </w:pPr>
      <w:bookmarkStart w:id="23" w:name="bookmark23"/>
      <w:bookmarkEnd w:id="2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ALADE Y,TUNKEL D,SCHULZE K,et al. Cross-sectional assessment of pain and physical function in skeletal dysplasia patients [J]. Clin Genet,2013,84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237-243.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10.1111/cge.12045.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80" w:line="260" w:lineRule="exact"/>
        <w:ind w:left="440" w:right="0" w:hanging="44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DHIMAN N,ALBAGHDADI A,ZOGG C K,et al. Factors associated with health-related quality of life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HRQOL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in adults with short stature skeletal dysplasias[j]. Qual Life Res,2017, 26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1337-1348.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10.1007/s11136-016-1455-7.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360" w:lineRule="auto"/>
        <w:ind w:left="440" w:right="0" w:hanging="440"/>
        <w:jc w:val="both"/>
      </w:pPr>
      <w:bookmarkStart w:id="25" w:name="bookmark25"/>
      <w:bookmarkEnd w:id="2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WRIGHT M J, IRVING M D. Clinical management of achondroplasia[J]. Arch Dis Child,2012,97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129-134.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360" w:lineRule="auto"/>
        <w:ind w:left="440" w:right="0" w:hanging="44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HOOVER-FONG J,SCOTT C I,JONES M C. Health supervision for people with achondroplasia [J]. Pediatrics, 2020, 145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e20201010.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10.1542/peds.2020-1010.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80" w:line="260" w:lineRule="exact"/>
        <w:ind w:left="440" w:right="0" w:hanging="440"/>
        <w:jc w:val="both"/>
      </w:pPr>
      <w:bookmarkStart w:id="27" w:name="bookmark27"/>
      <w:bookmarkEnd w:id="2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HOOVER-FONG J E,MCGREADY J,SCHULZE K J,et al. Weight for age charts for children with achondroplasia[J]. Am J Med Genet A,2007,143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2227-2235.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ajmg.a.31873.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360" w:lineRule="auto"/>
        <w:ind w:left="440" w:right="0" w:hanging="44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HOOVER-FONG J E,SCHULZE K J,MCGREADY J,et al. Age-appropriate body mass index in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interpretation in relation to indexes of height[J]. Am J Clin Nutr, 2008,88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364-371.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10.1093/ajcn/88.2.364.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360" w:lineRule="auto"/>
        <w:ind w:left="440" w:right="0" w:hanging="44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SAINT-LAURENT C,GARDE-ETAYO L,GOUZE E. Obesity in achondroplasia patients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from evidence to medical monitoring[J]. Orphanet J Rare Dis,2019,14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1）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253.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10.1186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s13023-019-1247-6.</w:t>
      </w:r>
    </w:p>
    <w:p>
      <w:pPr>
        <w:pStyle w:val="Style2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1" w:val="left"/>
        </w:tabs>
        <w:bidi w:val="0"/>
        <w:spacing w:before="0" w:after="0" w:line="360" w:lineRule="auto"/>
        <w:ind w:left="440" w:right="0" w:hanging="44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KUBOTA T,ADACHI M,KITAOKA T,et al. Clinical practice guidelines for achondroplasia[J]. Clin Pediatr Endocrinol,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2020,29（1）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25-42.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10.1297/cpe.29.25.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90" w:val="left"/>
        </w:tabs>
        <w:bidi w:val="0"/>
        <w:spacing w:before="0" w:after="0" w:line="130" w:lineRule="exact"/>
        <w:ind w:left="0" w:right="0" w:firstLine="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SIMS D,ONAMB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-PEARSON G,BURDEN A,et al. Whole- </w:t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sz w:val="20"/>
          <w:szCs w:val="20"/>
          <w:lang w:val="en-US" w:eastAsia="en-US" w:bidi="en-US"/>
        </w:rPr>
        <w:t xml:space="preserve">;Hoxise. All limits reserved^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"http://www.cnkiTnet1"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sz w:val="20"/>
          <w:szCs w:val="20"/>
          <w:lang w:val="en-US" w:eastAsia="en-US" w:bidi="en-US"/>
        </w:rPr>
        <w:t>http://www.cnki</w:t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sz w:val="20"/>
          <w:szCs w:val="20"/>
          <w:lang w:val="en-US" w:eastAsia="en-US" w:bidi="en-US"/>
        </w:rPr>
        <w:t>net</w:t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1</w:t>
      </w:r>
      <w:r>
        <w:fldChar w:fldCharType="end"/>
      </w:r>
      <w:r>
        <w:rPr>
          <w:rFonts w:ascii="Times New Roman" w:eastAsia="Times New Roman" w:hAnsi="Times New Roman" w:cs="Times New Roman"/>
          <w:color w:val="B2B2B2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 xml:space="preserve">k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body and segmental analysis of body composition in adult males with</w:t>
        <w:br w:type="pag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achondroplasia using dual X-ray absorptiometry^j]. PLoS One, 2019,14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e0213806.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10.1371/journal.pone.0213806.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2" w:name="bookmark32"/>
      <w:bookmarkEnd w:id="3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WITT S,KOLB B,BLOEMEKE J,et al. Quality of life of children with achondroplasia and their parents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German cross-sectional study [j]. Orphanet J Rare Dis,2019,14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194.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10.1186/s13023-019-1171-9.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PAULI R M. Achondroplasia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comprehensive clinical review [j]. Orphanet J Rare Dis,2019,14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ROHENKOHL A C, BULLINGER M,QUITMANN J. Quality of life in children,adolescents,and young adults with achondroplasia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Orthopade,2015,44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212—218.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s00132-014-3020-9.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SOMMER R,BL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MEKE J,DABS M,et al. An ICF-CY-based approach to assessing self- and observer-reported functioning in young persons with achondroplasia-development of the pilot version of the Achondroplasia Personal Life Experience Scale(APLES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Disabil Rehabil,2017,39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2499-2503.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10.1080/09638288.2016.1226969.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CHEUNG M S,IRVING M,COCCA A,et al. Achondroplasia Foramen Magnum Score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screening infants for stenosis[J]. Arch Dis Child,2021,106(2)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180-184.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10.1136/ archdischild-2020-319625.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7" w:name="bookmark37"/>
      <w:bookmarkEnd w:id="3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NADEL J L,WILKINSON D A,GARTON H J L,et al. Screening and surgery for foramen magnum stenosis in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large,national database analysis[J]. J Neurosurg Pediatr,2018,23(3)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374-380.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10.3171/2018.9.PEDS18410.</w:t>
      </w:r>
    </w:p>
    <w:p>
      <w:pPr>
        <w:pStyle w:val="Style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38" w:name="bookmark38"/>
      <w:bookmarkEnd w:id="3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ESPOSITO S,PRINCIPI N. Immunization against pertussis in adolescents and adults[J]. Clin Microbiol Infect,2016,22 Suppl 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s89-95.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27]TROTTER T L,HALL J G. Health supervision for children with achondroplasia[J]. Pediatrics,2005,116(3)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771-783.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[28] IRELAND P J,MCGILL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J,ZaNKL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A,et al. Functional performance in young Australian children with achondroplasia[J]. Dev Med Child Neurol,2011,53(10)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944-950.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10.1111/j.1469-8749.2011.04050.x.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29]IRELAND P J,DONAGHEY S,MCGILL J,et al. Development in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prospective clinical cohort study [J]. Dev Med Child Neurol,2012,54(6)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532-537.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10.1111/j.1469-8749.2012.04234.x.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[30] IRELAND P J,PACEY V,ZANKL A,et al. Optimal management of complications associated with achondroplasia[J]. Appl Clin Genet,2014,7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117-125.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10.2147/TACG.S51485.</w:t>
      </w:r>
    </w:p>
    <w:p>
      <w:pPr>
        <w:pStyle w:val="Style2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3" w:val="left"/>
        </w:tabs>
        <w:bidi w:val="0"/>
        <w:spacing w:before="0" w:after="0" w:line="360" w:lineRule="auto"/>
        <w:ind w:left="420" w:right="0" w:hanging="42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PAULI R M,BREED A,HORTON V K,et al. Prevention of fixed,angular kyphosis in achondroplasia[j]. J Pediatr Orthop, 1997,17(6)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726-733.</w:t>
      </w:r>
    </w:p>
    <w:p>
      <w:pPr>
        <w:pStyle w:val="Style2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3" w:val="left"/>
        </w:tabs>
        <w:bidi w:val="0"/>
        <w:spacing w:before="0" w:after="0" w:line="360" w:lineRule="auto"/>
        <w:ind w:left="420" w:right="0" w:hanging="420"/>
        <w:jc w:val="both"/>
      </w:pPr>
      <w:bookmarkStart w:id="40" w:name="bookmark40"/>
      <w:bookmarkEnd w:id="4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SANDERS V R,SHELDON S H,CHARROW J. Cervical spinal cord compression in infants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should neuroimaging be routine[J]. Genet Med,2019,21(2)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459- 463.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10.1038/s41436-018-0070-0.</w:t>
      </w:r>
    </w:p>
    <w:p>
      <w:pPr>
        <w:pStyle w:val="Style2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3" w:val="left"/>
        </w:tabs>
        <w:bidi w:val="0"/>
        <w:spacing w:before="0" w:after="0" w:line="360" w:lineRule="auto"/>
        <w:ind w:left="0" w:right="0" w:firstLine="0"/>
        <w:jc w:val="both"/>
      </w:pPr>
      <w:bookmarkStart w:id="41" w:name="bookmark41"/>
      <w:bookmarkEnd w:id="4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SAVARIRAYAN R,TUNKEL D E,STERNI L M,et al. Best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10.1186/s13023-021-01678-8.</w:t>
      </w:r>
    </w:p>
    <w:p>
      <w:pPr>
        <w:pStyle w:val="Style24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360" w:lineRule="auto"/>
        <w:ind w:left="420" w:right="0" w:hanging="420"/>
        <w:jc w:val="both"/>
      </w:pPr>
      <w:bookmarkStart w:id="42" w:name="bookmark42"/>
      <w:bookmarkEnd w:id="4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TENCONI R,KHIRANI S,AMADDEO A,et al. Sleep-disordered breathing and its management in children with achondroplasia[J]. Am J Med Genet A,2017,173(4)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868-878.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 ajmg.a.38130.</w:t>
      </w:r>
    </w:p>
    <w:p>
      <w:pPr>
        <w:pStyle w:val="Style2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66" w:val="left"/>
        </w:tabs>
        <w:bidi w:val="0"/>
        <w:spacing w:before="0" w:after="0" w:line="360" w:lineRule="auto"/>
        <w:ind w:left="420" w:right="0" w:hanging="420"/>
        <w:jc w:val="both"/>
      </w:pPr>
      <w:bookmarkStart w:id="43" w:name="bookmark43"/>
      <w:bookmarkEnd w:id="4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TUNKEL D,ALADE Y,KERBAVAZ R,et al. Hearing loss in skeletal dysplasia patients[J]. Am J Med Genet A,2012,158(7)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1551-1555.</w:t>
      </w:r>
    </w:p>
    <w:p>
      <w:pPr>
        <w:pStyle w:val="Style2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66" w:val="left"/>
        </w:tabs>
        <w:bidi w:val="0"/>
        <w:spacing w:before="0" w:after="0" w:line="360" w:lineRule="auto"/>
        <w:ind w:left="420" w:right="0" w:hanging="420"/>
        <w:jc w:val="both"/>
      </w:pPr>
      <w:bookmarkStart w:id="44" w:name="bookmark44"/>
      <w:bookmarkEnd w:id="4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AIN M C,SHIRLEY E D,PIROUZMANESH A,et al. Postlaminectomy kyphosis in the skeletally immature achondroplast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Spine,2006,31(2)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197-201.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10.1097/01. brs.0000194778.60486.a3.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MARGALIT A,MCKEAN G,LAWING C,et al. Walking out of the curve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thoracolumbar kyphosis in achondroplasia[J]. J Pediatr Orthop,2018,38(10)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491-497.DOI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 BPO.0000000000000862.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AL-SALEEM A,AL-JOBAIR A.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craniofacial manifestations and considerations in dental management[J]. Saudi Dent J,2010,22(4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195-199.DOI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10.1016/j.sdentj.2010.07.001.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47" w:name="bookmark47"/>
      <w:bookmarkEnd w:id="4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MISRA S N,MORGAN H W. Thoracolumbar spinal deformity in achondroplasia[J]. Neurosurg Focus,2003,14(1)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10.3171/foc.2003.14.1.5.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48" w:name="bookmark48"/>
      <w:bookmarkEnd w:id="4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BORKHUU B,NAGARAJU D K,CHAN G,et al. Factors related to progression of thoracolumbar kyphosis in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retrospective cohort study of forty-eight children treated in a comprehensive orthopaedic center[J]. Spine,2009, 34(16)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1699-1705.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10.1097/BRS.0b013e3181ac8f9d.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HORTON W A,HALL J G,HECHT J T. Achondroplasia[J]. Lancet,2007,370(9582)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162-172.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50" w:name="bookmark50"/>
      <w:bookmarkEnd w:id="5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DWEK J R. A framework for the radiologic diagnosis of skeletal dysplasias and syndromes as revealed by molecular genetics[J]. Pediatr Radiol,2019,49(12)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1576-1586.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 s00247-019-04545-8.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51" w:name="bookmark51"/>
      <w:bookmarkEnd w:id="5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OFFIAH A C,HALL C M. The radiologic diagnosis of skeletal dysplasias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past,present and future[J]. Pediatr Radiol,2020, 50(12)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1650-1657.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10.1007/s00247-019-04533-y.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52" w:name="bookmark52"/>
      <w:bookmarkEnd w:id="5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WATSON S G,CALDER A D,OFFIAH A C ,et al. A review of imaging protocols for suspected skeletal dysplasia and a proposal for standardisation[J]. Pediatr Radiol,2015,45(12)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1733- 1737.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10.1007/s00247-015-3381-1.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53" w:name="bookmark53"/>
      <w:bookmarkEnd w:id="5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IRELAND P J,JOHNSON S,DONAGHEY S,et al. Medical management of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evaluation of an Australasian cohort aged 0-5 years[J]. J Paediatr Child Health, 2012,48(5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443-449.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10.1111/j.1440-1754.2011.02255.x.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54" w:name="bookmark54"/>
      <w:bookmarkEnd w:id="5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FREDWALL S O,STEEN U,DE VRIES O,et al. High prevalence of symptomatic spinal stenosis in Norwegian adults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population-based study[J]. Orphanet J Rare Dis,2020,15(1)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123.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0" w:val="left"/>
        </w:tabs>
        <w:bidi w:val="0"/>
        <w:spacing w:before="0" w:after="0" w:line="360" w:lineRule="auto"/>
        <w:ind w:left="420" w:right="0" w:hanging="420"/>
        <w:jc w:val="both"/>
      </w:pPr>
      <w:bookmarkStart w:id="55" w:name="bookmark55"/>
      <w:bookmarkEnd w:id="5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WHITE K K,BOBER M B,CHO T J,et al. Best practice guidelines for management of spinal disorders in skeletal dysplasia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360" w:lineRule="auto"/>
        <w:ind w:left="0" w:right="0" w:firstLine="420"/>
        <w:jc w:val="both"/>
      </w:pPr>
      <w:r>
        <mc:AlternateContent>
          <mc:Choice Requires="wps">
            <w:drawing>
              <wp:anchor distT="0" distB="254000" distL="114300" distR="114300" simplePos="0" relativeHeight="125829378" behindDoc="0" locked="0" layoutInCell="1" allowOverlap="1">
                <wp:simplePos x="0" y="0"/>
                <wp:positionH relativeFrom="page">
                  <wp:posOffset>697865</wp:posOffset>
                </wp:positionH>
                <wp:positionV relativeFrom="margin">
                  <wp:posOffset>8540750</wp:posOffset>
                </wp:positionV>
                <wp:extent cx="6388735" cy="29591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88735" cy="295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68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4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practice guidelines in managing the craniofacial aspects of skeletal</w:t>
                              <w:tab/>
                              <w:t>10.1186/s13023-020-01415-7.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24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9D9D9D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(C</w:t>
                            </w:r>
                            <w:r>
                              <w:rPr>
                                <w:rFonts w:ascii="SimSun" w:eastAsia="SimSun" w:hAnsi="SimSun" w:cs="SimSun"/>
                                <w:color w:val="9D9D9D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D9D9D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splasia[J]. Orphanet J Rare Dis,2021,16 ( 1 )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31. DOI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[48]CaRLISLE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E S, TING B L, ABDULLAH M A, et al.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4.950000000000003pt;margin-top:672.5pt;width:503.05000000000001pt;height:23.300000000000001pt;z-index:-125829375;mso-wrap-distance-left:9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687" w:val="left"/>
                        </w:tabs>
                        <w:bidi w:val="0"/>
                        <w:spacing w:before="0" w:after="0" w:line="240" w:lineRule="auto"/>
                        <w:ind w:left="0" w:right="0" w:firstLine="4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practice guidelines in managing the craniofacial aspects of skeletal</w:t>
                        <w:tab/>
                        <w:t>10.1186/s13023-020-01415-7.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24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9D9D9D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(C</w:t>
                      </w:r>
                      <w:r>
                        <w:rPr>
                          <w:rFonts w:ascii="SimSun" w:eastAsia="SimSun" w:hAnsi="SimSun" w:cs="SimSun"/>
                          <w:color w:val="9D9D9D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9D9D9D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l%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splasia[J]. Orphanet J Rare Dis,2021,16 ( 1 )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31. DOI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[48]CaRLISLE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E S, TING B L, ABDULLAH M A, et al.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Orphanet J Rare Dis,2020,15(1)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161.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Laminectomy in patients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the impact of time to surgery on long-term function[j]. Spine,2011,36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886-892.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10.1097/BRS.0b013e3181e7cb2a.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56" w:name="bookmark56"/>
      <w:bookmarkEnd w:id="5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SCIUBBA D M,NOGGLE J C,MARUPUDI N I,et al. Spinal stenosis surgery in pediatric patients with achondroplasia [j]. J Neurosurg,2007,106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 Suppl)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372-378.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10.3171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ped.2007.106.5.372.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80" w:line="260" w:lineRule="exact"/>
        <w:ind w:left="480" w:right="0" w:hanging="480"/>
        <w:jc w:val="both"/>
      </w:pPr>
      <w:bookmarkStart w:id="57" w:name="bookmark57"/>
      <w:bookmarkEnd w:id="5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FREDWALL S O,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VERLAND B,BERDAL H,et al. Obstructive sleep apnea in Norwegian adults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population</w:t>
        <w:softHyphen/>
        <w:t xml:space="preserve">based study[j]. Orphanet J Rare Dis,2021,16 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156.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10.1186/s13023-021-01792-7.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58" w:name="bookmark58"/>
      <w:bookmarkEnd w:id="5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HOOVER-FONG J,ALADE A Y,AIN M,et al. Blood pressure in adults with short stature skeletal dysplasias[j]. Am J Med Genet A, 2020, 182( 1 )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150-161.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10.1002/ajmg.a.61402.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59" w:name="bookmark59"/>
      <w:bookmarkEnd w:id="5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FREDWALL S O,LINGE J,LEINHARD O D,et al. Cardiovascular risk factors and body composition in adults with achondroplasia[J]. Genet Med,2021,23(4)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732-739.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0" w:name="bookmark60"/>
      <w:bookmarkEnd w:id="6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LEGEAI-MALLET L, SAVARIRAYAN R. Novel therapeutic approaches for the treatment of achondroplasia[J]. Bone,2020, 141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115579.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10.1016/j.bone.2020.115579.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1" w:name="bookmark61"/>
      <w:bookmarkEnd w:id="6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GILES C. Having both patient advocates and patients at the MDT meeting might be useful[J]. BMJ,2015,351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h5285.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10.1136/bmj.h5285.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2" w:name="bookmark62"/>
      <w:bookmarkEnd w:id="6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SAVARIRAYAN R,ROSSITER J P,HOOVER-FONG J E,et al. Best practice guidelines regarding prenatal evaluation and delivery of patients with skeletal dysplasia[J]. Am J Obstet Gynecol, 2018,219 (6):545-562.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10.1016/j.ajog.2018.07.017.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3" w:name="bookmark63"/>
      <w:bookmarkEnd w:id="6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LEIVA-GEA A,DELGADO-RUFINO F B,QUEIPO-DE- LLANO A,et al. Staged upper and lower limb lengthening performing bilateral simultaneous surgery of the femur and tibia in achondroplastic patients[J]. Arch Orthop Trauma Surg,2020, 140(11)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1665-1676.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10.1007/s00402-020-03360-3.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4" w:name="bookmark64"/>
      <w:bookmarkEnd w:id="6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MATSUSHITA M,KITOH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lang w:val="en-US" w:eastAsia="en-US" w:bidi="en-US"/>
        </w:rPr>
        <w:t>H,MiSHIMA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K,et al. Physical, mental,and social problems of adolescent and adult patients with achondroplasia[J]. Calcif Tissue Int,2019,104(4)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364- 372.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10.1007/s00223-019-00518-z.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5" w:name="bookmark65"/>
      <w:bookmarkEnd w:id="6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LAUNAY F,YOUNSI R,PITHIOUX M,et al. Fracture following lower limb lengthening in children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series of 58 patients[J]. Orthop Traumatol Surg Res,2013,99(1)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72-79.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10.1016/j.otsr.2012.08.005.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80" w:right="0" w:hanging="480"/>
        <w:jc w:val="both"/>
      </w:pPr>
      <w:bookmarkStart w:id="66" w:name="bookmark66"/>
      <w:bookmarkEnd w:id="6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BLOEMEKE J,SOMMER R,WITT S,et al. Cross-cultural selection and validation of instruments to assess patient-reported outcomes in children and adolescents with achondroplasia[J]. Qual Life Res,2019,28(9)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2553-2563.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 s11136-019-02210-z.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260" w:lineRule="exact"/>
        <w:ind w:left="480" w:right="0" w:hanging="480"/>
        <w:jc w:val="both"/>
      </w:pPr>
      <w:bookmarkStart w:id="67" w:name="bookmark67"/>
      <w:bookmarkEnd w:id="6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SISK E A,HEATLEY D G,BOROWSKI B J,et al. Obstructive sleep apnea in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surgical and anesthetic considerations[J]. Otolaryngol Head Neck Surg,1999,120(2)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248-254.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2" w:val="left"/>
        </w:tabs>
        <w:bidi w:val="0"/>
        <w:spacing w:before="0" w:after="0" w:line="260" w:lineRule="exact"/>
        <w:ind w:left="480" w:right="0" w:hanging="480"/>
        <w:jc w:val="both"/>
      </w:pPr>
      <w:bookmarkStart w:id="68" w:name="bookmark68"/>
      <w:bookmarkEnd w:id="6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WHITE K K,BOMPADRE V,GOLDBERG M J,et al. Best practices in peri-operative management of patients with skeletal dysplasias[J]. Am J Med Genet A,2017,173(10)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2584-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27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9D9D9D"/>
          <w:spacing w:val="0"/>
          <w:w w:val="100"/>
          <w:position w:val="0"/>
          <w:sz w:val="20"/>
          <w:szCs w:val="20"/>
          <w:lang w:val="en-US" w:eastAsia="en-US" w:bidi="en-US"/>
        </w:rPr>
        <w:t>(C)%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10.1002/ajmg.a.38357.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</w:tabs>
        <w:bidi w:val="0"/>
        <w:spacing w:before="0" w:after="0" w:line="360" w:lineRule="auto"/>
        <w:ind w:left="420" w:right="0" w:hanging="420"/>
        <w:jc w:val="both"/>
      </w:pPr>
      <w:bookmarkStart w:id="69" w:name="bookmark69"/>
      <w:bookmarkEnd w:id="6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ZUCCONI M,WEBER G,CASTRONOVO V,et al. Sleep and upper airway obstruction in children with achondroplasia[J]. J Pediatr,1996,129(5)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743-749.</w:t>
      </w:r>
    </w:p>
    <w:p>
      <w:pPr>
        <w:pStyle w:val="Style2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0" w:name="bookmark70"/>
      <w:bookmarkEnd w:id="7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BOSEMANI T,ORMAN G,HERGAN B,et al. Achondroplasia in children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correlation of ventriculomegaly,size of foramen magnum and jugular foramina,and emissary vein enlargement [J]. Childs Nerv Syst,2015,31(1)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129-133.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10.1007/s00381- 014-2559-4.</w:t>
      </w:r>
    </w:p>
    <w:p>
      <w:pPr>
        <w:pStyle w:val="Style2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1" w:name="bookmark71"/>
      <w:bookmarkEnd w:id="7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WHITE K K,BOMPADRE V,GOLDBERG M J,et al. Best practices in the evaluation and treatment of foramen magnum stenosis in achondroplasia during infancy[J]. Am J Med Genet A,2016, 170(1)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42-51.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bookmarkStart w:id="72" w:name="bookmark7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</w:t>
      </w:r>
      <w:bookmarkEnd w:id="7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65] CHEUNG M S,AIVES I,HAGEN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 L,et al. Meeting report from the achondroplasia foramen magnum workshop,Salzburg, Austria 22nd June 2019[J]. Bone,2019,127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499-502.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10.1016/j.bone.2019.07.020.</w:t>
      </w:r>
    </w:p>
    <w:p>
      <w:pPr>
        <w:pStyle w:val="Style2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3" w:name="bookmark73"/>
      <w:bookmarkEnd w:id="7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HOOVER-FONG J E,ALADE A Y,HASHMI S S,et al. Achondroplasia Natural History Study(CLARITY)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multicenter retrospective cohort study of achondroplasia in the United States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Genet Med,2021,23(8)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1498-1505.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10.1038/ s41436-021-01165-2.</w:t>
      </w:r>
    </w:p>
    <w:p>
      <w:pPr>
        <w:pStyle w:val="Style2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4" w:name="bookmark74"/>
      <w:bookmarkEnd w:id="7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KING J A,VACHHRAJANI S,DRAKE J M,et al. Neurosurgical implications of achondroplasia[J]. J Neurosurg Pediatr,2009,4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297-306.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[68] CALANDRELLI R,PANFILI M,D'APOLITO G,et al. Quantitative approach to the posterior cranial fossa and craniocervical junction in asymptomatic children with achondroplasia[J]. Neuroradiology,2017,59(10)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1031-1041.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 s00234-017-1887-y.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5" w:name="bookmark75"/>
      <w:bookmarkEnd w:id="7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MACKENZIE W G,DHAWALE A A,DEMCZKO M M,et al. Flexion-extension cervical spine MRI in children with skeletal dysplasia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is it safe and effective[J].J Pediatr Orthop,2013,33( 1 ) 91-98.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6" w:name="bookmark76"/>
      <w:bookmarkEnd w:id="7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BROUWER P A,LUBOUT C M,VAN DIJK J M,et al. Cervical high-intensity intramedullary lesions in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aetiology, prevalence and clinical relevance[J]. Eur Radiol,2012,22(10)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2264-2272.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10.1007/s00330-012-2488-0.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7" w:name="bookmark77"/>
      <w:bookmarkEnd w:id="7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VAN DIJK J M,LUBOUT C M,BROUWER P A. Cervical high- intensity intramedullary lesions without spinal cord compression in achondroplasia[J]. J Neurosurg Spine,2007,6(4)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304- 308.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10.3171/spi.2007.6.4.3.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8" w:name="bookmark78"/>
      <w:bookmarkEnd w:id="7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JEONG S T,SONG H R,KENY S M,et al. MRI study of the lumbar spine in achondroplasia. A morphometric analysis for the evaluation of stenosis of the canal[J]. J Bone Joint Surg Br,2006,88(9)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1192-1196.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10.1302/0301-620X.88B9.17758.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79" w:name="bookmark79"/>
      <w:bookmarkEnd w:id="7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INAN M,JEONG C,CHAN G,et al. Analysis of lower extremity alignment in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interobserver reliability and intraobserver reproducibility[J]. J Pediatr Orthop,2006,26(1)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75-78.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10.1097/01.bpo.0000187999.68966.58.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80" w:name="bookmark80"/>
      <w:bookmarkEnd w:id="8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SABHARWAL S,ZHAO C. Assessment of lower limb alignment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supine fluoroscopy compared with a standing full-length radiograph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60" w:lineRule="exact"/>
        <w:ind w:left="0" w:right="0" w:firstLine="0"/>
        <w:jc w:val="both"/>
      </w:pPr>
      <w:r>
        <w:rPr>
          <w:rFonts w:ascii="SimSun" w:eastAsia="SimSun" w:hAnsi="SimSun" w:cs="SimSun"/>
          <w:color w:val="B2B2B2"/>
          <w:spacing w:val="0"/>
          <w:w w:val="100"/>
          <w:position w:val="0"/>
          <w:sz w:val="20"/>
          <w:szCs w:val="20"/>
          <w:lang w:val="zh-CN" w:eastAsia="zh-CN" w:bidi="zh-CN"/>
        </w:rPr>
        <w:t>溥</w:t>
      </w:r>
      <w:r>
        <w:rPr>
          <w:rFonts w:ascii="SimSun" w:eastAsia="SimSun" w:hAnsi="SimSun" w:cs="SimSun"/>
          <w:color w:val="B2B2B2"/>
          <w:spacing w:val="0"/>
          <w:w w:val="100"/>
          <w:position w:val="0"/>
          <w:sz w:val="16"/>
          <w:szCs w:val="16"/>
          <w:lang w:val="en-US" w:eastAsia="en-US" w:bidi="en-US"/>
        </w:rPr>
        <w:t xml:space="preserve">OU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J Bone Joint Surg Am,2008,90 ( 1 )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43-51.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10.2106/JBJS.F.01514.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81" w:name="bookmark81"/>
      <w:bookmarkEnd w:id="8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SABHARWAL S,ZHAO C,MCKEON J,et al. Reliability analysis for radiographic measurement of limb length discrepancy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full-length standing anteroposterior radiograph versus scanogramf j]. J Pediatr Orthop,2007,27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46-50.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10.1097/01. bpo.0000242444.26929.9f.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82" w:name="bookmark82"/>
      <w:bookmarkEnd w:id="8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WHITAKER A T,VUILLERMIN C. Lower extremity growth and deformity[J]. Curr Rev Musculoskelet Med,2016,9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454-461.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83" w:name="bookmark83"/>
      <w:bookmarkEnd w:id="8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AKYOL Y,AVERILL L W,ATANDA A,et al. Magnetic resonance evaluation of the knee in children and adolescents with achondroplasia [J]. Pediatr Radiol,2015,45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888-895.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10.1007/s00247-014-3228-1.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84" w:name="bookmark84"/>
      <w:bookmarkEnd w:id="8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ATANDA A,WALLACE M,BOBER M B,et al. Arthroscopic treatment of discoid lateral meniscus tears in children with achondroplasia[J]. J Pediatr Orthop, 2016,36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e55-58.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10.1097/BPO.0000000000000622.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85" w:name="bookmark85"/>
      <w:bookmarkEnd w:id="8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HOERNSCHEMEYER D G,ATANDA A,DEAN-DAVIS E,et al. Discoid meniscus associated with achondroplasia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[J]. Orthopedics,2016,39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e498-503.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10.3928/01477447-20160427-06.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2" w:val="left"/>
        </w:tabs>
        <w:bidi w:val="0"/>
        <w:spacing w:before="0" w:after="0" w:line="360" w:lineRule="auto"/>
        <w:ind w:left="420" w:right="0" w:hanging="420"/>
        <w:jc w:val="both"/>
      </w:pPr>
      <w:bookmarkStart w:id="86" w:name="bookmark86"/>
      <w:bookmarkEnd w:id="8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MCCLURE P K,KILINC E,BIRCH J G. Growth modulation in achondroplasia[J]. J Pediatr Orthop,2017,37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e384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- 387.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87" w:name="bookmark87"/>
      <w:bookmarkEnd w:id="8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VAIDYA S V,SONG H R,LEE S H,et al. Bifocal tibial corrective osteotomy with lengthening in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an analysis of results and complications [J] . J Pediatr Orthop, 2006, 26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788-793.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10.1097/01.bpo.0000242429.83866.97.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88" w:name="bookmark88"/>
      <w:bookmarkEnd w:id="8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ROSENFELD R M,SHIN J J,SCHWARTZ S R,et al. Clinical practice guideline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otitis media with effusion executive summary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(update) [J]. Otolaryngol Head Neck Surg, 2016, 154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)：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201-214.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10.1177/0194599815624407.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89" w:name="bookmark89"/>
      <w:bookmarkEnd w:id="8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TUNKEL D E,KERBAVAZ R,SMITH B,et al. Hearing screening in children with skeletal dysplasia[J]. Arch Otolaryngol Head Neck Surg,2011,137(12)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1236-1239.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10.1001/ archoto.2011.206.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90" w:name="bookmark90"/>
      <w:bookmarkEnd w:id="9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ROSENFELD R M,SCHWARTZ S R,PYNNONEN M A,et al. Clinical practice guideline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tympanostomy tubes in children- executive summary[J]. Otolaryngol Head Neck Surg,2013,149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8-16.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10.1177/0194599813490141.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80" w:line="360" w:lineRule="auto"/>
        <w:ind w:left="0" w:right="0" w:firstLine="0"/>
        <w:jc w:val="both"/>
      </w:pPr>
      <w:bookmarkStart w:id="91" w:name="bookmark91"/>
      <w:bookmarkEnd w:id="9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PAULI R M, MODAFF P. Jugular bulb dehiscence in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achondroplasia[J]. Int J Pediatr Otorhinolaryngol,1999,48(2)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169-174.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92" w:name="bookmark92"/>
      <w:bookmarkEnd w:id="9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STEPHEN L,HOLMES H,ROBERTS T,et al. Orthodontic management of achondroplasia in South Africa[J]. S Afr Med J, 2005,95(8)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588-589.</w:t>
      </w:r>
    </w:p>
    <w:p>
      <w:pPr>
        <w:pStyle w:val="Style2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93" w:name="bookmark93"/>
      <w:bookmarkEnd w:id="9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ZAFFANELLO M,CANTALUPO G,PIACENTINI G,et al. Sleep disordered breathing in children with achondroplasia[J]. World J Pediatr,2017,13(1)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8-14.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bookmarkStart w:id="94" w:name="bookmark9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</w:t>
      </w:r>
      <w:bookmarkEnd w:id="9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88] MACHADO-J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>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NIOR A J,ZANCANELLA E,CRESPO A N. Rapid maxillary expansion and obstructive sleep apnea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 review and meta-analysis[J]. Med Oral Patol Oral Cir Bucal,2016,21 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e465-469.</w:t>
      </w:r>
    </w:p>
    <w:p>
      <w:pPr>
        <w:pStyle w:val="Style2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0" w:val="left"/>
        </w:tabs>
        <w:bidi w:val="0"/>
        <w:spacing w:before="0" w:after="0" w:line="360" w:lineRule="auto"/>
        <w:ind w:left="420" w:right="0" w:hanging="420"/>
        <w:jc w:val="both"/>
      </w:pPr>
      <w:bookmarkStart w:id="95" w:name="bookmark95"/>
      <w:bookmarkEnd w:id="9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SUSARLA S M,MUNDINGER G S,KAPADIA H,et al. Subcranial and orthognathic surgery for obstructive sleep apnea in achondroplasia[J]. J Craniomaxillofac Surg,2017,45(12)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2028-2034.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10.1016/j.jcms.2017.09.028.</w:t>
      </w:r>
    </w:p>
    <w:p>
      <w:pPr>
        <w:pStyle w:val="Style2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96" w:name="bookmark96"/>
      <w:bookmarkEnd w:id="9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STROHL K P,BROWN D B,COLLOP N,et al. An official American Thoracic Society Clinical Practice Guideline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sleep apnea,sleepiness,and driving risk in noncommercial drivers. An update of a 1994 statement[J]. Am J Respir Crit Care Med, 2013,187(11)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1259-1266.</w:t>
      </w:r>
    </w:p>
    <w:p>
      <w:pPr>
        <w:pStyle w:val="Style2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97" w:name="bookmark97"/>
      <w:bookmarkEnd w:id="9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AFSHARPAIMAN S,SILLENCE D O,SHEIKHVATAN M,et al. Respiratory events and obstructive sleep apnea in children with achondroplasia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investigation and treatment outcomes[J]. Sleep Breath,2011,15(4)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755-761.DOI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10.1007/s11325-010- 0432-6.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420" w:right="0" w:hanging="420"/>
        <w:jc w:val="both"/>
      </w:pPr>
      <w:bookmarkStart w:id="98" w:name="bookmark9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[</w:t>
      </w:r>
      <w:bookmarkEnd w:id="9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92] JULLIAND S,BOUL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M,BAUJAT G,et al. Lung function, diagnosis,and treatment of sleep-disordered breathing in children with achondroplasia[J]. Am J Med Genet A,2012,158(8)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1987-1993.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10.1002/ajmg.a.35441.</w:t>
      </w:r>
    </w:p>
    <w:p>
      <w:pPr>
        <w:pStyle w:val="Style2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5" w:val="left"/>
        </w:tabs>
        <w:bidi w:val="0"/>
        <w:spacing w:before="0" w:after="0" w:line="360" w:lineRule="auto"/>
        <w:ind w:left="420" w:right="0" w:hanging="420"/>
        <w:jc w:val="both"/>
      </w:pPr>
      <w:bookmarkStart w:id="99" w:name="bookmark99"/>
      <w:bookmarkEnd w:id="9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AFSHARPAIMAN S,SABURI A,WATERS K A. Respiratory difficulties and breathing disorders in achondroplasia[J]. Paediatr Respir Rev,2013,14(4)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250-255.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10.1016/ j.prrv.2013.02.009.</w:t>
      </w:r>
    </w:p>
    <w:p>
      <w:pPr>
        <w:pStyle w:val="Style2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5" w:val="left"/>
        </w:tabs>
        <w:bidi w:val="0"/>
        <w:spacing w:before="0" w:after="0" w:line="261" w:lineRule="exact"/>
        <w:ind w:left="420" w:right="0" w:hanging="420"/>
        <w:jc w:val="both"/>
      </w:pPr>
      <w:bookmarkStart w:id="100" w:name="bookmark100"/>
      <w:bookmarkEnd w:id="10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EDNICK M,TINKLE B T,PHROMCHAIRAK J,et al. Sleep-related respiratory abnormalities and arousal pattern in achondroplasia during early infancy[J]. J Pediatr,2009,155(4)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510-515. DOI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10.1016/j.jpeds.2009.04.031.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61" w:lineRule="exact"/>
        <w:ind w:left="102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2240" w:h="15840"/>
          <w:pgMar w:top="1224" w:right="1021" w:bottom="676" w:left="1101" w:header="0" w:footer="3" w:gutter="0"/>
          <w:cols w:num="2" w:space="269"/>
          <w:noEndnote/>
          <w:rtlGutter w:val="0"/>
          <w:docGrid w:linePitch="360"/>
        </w:sectPr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(收稿日期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2022-08-11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；修回日期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2022-11-01 )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(本文编辑：张亚丽)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3" w:after="9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30" w:right="0" w:bottom="76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01" w:name="bookmark101"/>
      <w:bookmarkStart w:id="102" w:name="bookmark102"/>
      <w:bookmarkStart w:id="103" w:name="bookmark10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(C) 1994-2022 China Academic Journal Electronic Publishing House. All rights reserved, </w:t>
      </w:r>
      <w:r>
        <w:fldChar w:fldCharType="begin"/>
      </w:r>
      <w:r>
        <w:rPr/>
        <w:instrText> HYPERLINK "http://www.cnki.net"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//www.cnki.net</w:t>
      </w:r>
      <w:bookmarkEnd w:id="101"/>
      <w:bookmarkEnd w:id="102"/>
      <w:bookmarkEnd w:id="103"/>
      <w:r>
        <w:fldChar w:fldCharType="end"/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330" w:right="1042" w:bottom="768" w:left="111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4407535</wp:posOffset>
              </wp:positionH>
              <wp:positionV relativeFrom="page">
                <wp:posOffset>670560</wp:posOffset>
              </wp:positionV>
              <wp:extent cx="2172970" cy="914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7297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http://www.chinagp.net E—mail:zgqkyx@chinagp.net.cn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7.05000000000001pt;margin-top:52.800000000000004pt;width:171.09999999999999pt;height:7.2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http://www.chinagp.net E—mail:zgqkyx@chinagp.net.cn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4407535</wp:posOffset>
              </wp:positionH>
              <wp:positionV relativeFrom="page">
                <wp:posOffset>670560</wp:posOffset>
              </wp:positionV>
              <wp:extent cx="2172970" cy="914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7297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http://www.chinagp.net E—mail:zgqkyx@chinagp.net.cn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47.05000000000001pt;margin-top:52.800000000000004pt;width:171.09999999999999pt;height:7.2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http://www.chinagp.net E—mail:zgqkyx@chinagp.net.cn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716280</wp:posOffset>
              </wp:positionH>
              <wp:positionV relativeFrom="page">
                <wp:posOffset>521335</wp:posOffset>
              </wp:positionV>
              <wp:extent cx="6309360" cy="1371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936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35" w:val="right"/>
                              <w:tab w:pos="993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中国全科医学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http://www.chinagp.net E—mail:zgqkyx@chinagp.net.cn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6.399999999999999pt;margin-top:41.050000000000004pt;width:496.80000000000001pt;height:10.80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35" w:val="right"/>
                        <w:tab w:pos="993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中国全科医学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http://www.chinagp.net E—mail:zgqkyx@chinagp.net.cn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749935</wp:posOffset>
              </wp:positionH>
              <wp:positionV relativeFrom="page">
                <wp:posOffset>514985</wp:posOffset>
              </wp:positionV>
              <wp:extent cx="6312535" cy="14351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253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152" w:val="right"/>
                              <w:tab w:pos="994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・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http://www.chinagp.net E—mail:zgqkyx@chinagp.net.cn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中国全科医学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9.050000000000004pt;margin-top:40.550000000000004pt;width:497.05000000000001pt;height:11.3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152" w:val="right"/>
                        <w:tab w:pos="994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・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http://www.chinagp.net E—mail:zgqkyx@chinagp.net.cn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中国全科医学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0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9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31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35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37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49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FFFFFF"/>
        <w:lang w:val="en-US" w:eastAsia="en-US" w:bidi="en-US"/>
      </w:rPr>
    </w:lvl>
  </w:abstractNum>
  <w:abstractNum w:abstractNumId="18">
    <w:multiLevelType w:val="multilevel"/>
    <w:lvl w:ilvl="0">
      <w:start w:val="63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66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69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75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81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89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93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4_"/>
    <w:basedOn w:val="DefaultParagraphFont"/>
    <w:link w:val="Style2"/>
    <w:rPr>
      <w:b/>
      <w:bCs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</w:rPr>
  </w:style>
  <w:style w:type="character" w:customStyle="1" w:styleId="CharStyle7">
    <w:name w:val="Header or footer|2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">
    <w:name w:val="Body text|2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7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7">
    <w:name w:val="Heading #1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22">
    <w:name w:val="Body text|3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1_"/>
    <w:basedOn w:val="DefaultParagraphFont"/>
    <w:link w:val="Style24"/>
    <w:rPr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</w:rPr>
  </w:style>
  <w:style w:type="character" w:customStyle="1" w:styleId="CharStyle44">
    <w:name w:val="Body text|6_"/>
    <w:basedOn w:val="DefaultParagraphFont"/>
    <w:link w:val="Style43"/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character" w:customStyle="1" w:styleId="CharStyle48">
    <w:name w:val="Body text|5_"/>
    <w:basedOn w:val="DefaultParagraphFont"/>
    <w:link w:val="Style4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68">
    <w:name w:val="Heading #3|1_"/>
    <w:basedOn w:val="DefaultParagraphFont"/>
    <w:link w:val="Style6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81">
    <w:name w:val="Heading #2|1_"/>
    <w:basedOn w:val="DefaultParagraphFont"/>
    <w:link w:val="Style80"/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auto"/>
      <w:spacing w:line="343" w:lineRule="auto"/>
      <w:ind w:left="560"/>
    </w:pPr>
    <w:rPr>
      <w:b/>
      <w:bCs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</w:rPr>
  </w:style>
  <w:style w:type="paragraph" w:customStyle="1" w:styleId="Style6">
    <w:name w:val="Header or footer|2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1">
    <w:name w:val="Body text|2"/>
    <w:basedOn w:val="Normal"/>
    <w:link w:val="CharStyle12"/>
    <w:pPr>
      <w:widowControl w:val="0"/>
      <w:shd w:val="clear" w:color="auto" w:fill="auto"/>
      <w:spacing w:line="336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4">
    <w:name w:val="Body text|7"/>
    <w:basedOn w:val="Normal"/>
    <w:link w:val="CharStyle15"/>
    <w:pPr>
      <w:widowControl w:val="0"/>
      <w:shd w:val="clear" w:color="auto" w:fill="auto"/>
      <w:spacing w:after="36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6">
    <w:name w:val="Heading #1|1"/>
    <w:basedOn w:val="Normal"/>
    <w:link w:val="CharStyle17"/>
    <w:pPr>
      <w:widowControl w:val="0"/>
      <w:shd w:val="clear" w:color="auto" w:fill="auto"/>
      <w:spacing w:after="360" w:line="398" w:lineRule="exact"/>
      <w:ind w:left="56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21">
    <w:name w:val="Body text|3"/>
    <w:basedOn w:val="Normal"/>
    <w:link w:val="CharStyle22"/>
    <w:pPr>
      <w:widowControl w:val="0"/>
      <w:shd w:val="clear" w:color="auto" w:fill="auto"/>
      <w:spacing w:line="279" w:lineRule="exact"/>
      <w:ind w:left="560"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4">
    <w:name w:val="Body text|1"/>
    <w:basedOn w:val="Normal"/>
    <w:link w:val="CharStyle25"/>
    <w:pPr>
      <w:widowControl w:val="0"/>
      <w:shd w:val="clear" w:color="auto" w:fill="auto"/>
      <w:spacing w:after="20" w:line="279" w:lineRule="exact"/>
      <w:ind w:left="560" w:firstLine="400"/>
    </w:pPr>
    <w:rPr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</w:rPr>
  </w:style>
  <w:style w:type="paragraph" w:customStyle="1" w:styleId="Style43">
    <w:name w:val="Body text|6"/>
    <w:basedOn w:val="Normal"/>
    <w:link w:val="CharStyle44"/>
    <w:pPr>
      <w:widowControl w:val="0"/>
      <w:shd w:val="clear" w:color="auto" w:fill="auto"/>
      <w:spacing w:line="278" w:lineRule="auto"/>
    </w:pPr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47">
    <w:name w:val="Body text|5"/>
    <w:basedOn w:val="Normal"/>
    <w:link w:val="CharStyle48"/>
    <w:pPr>
      <w:widowControl w:val="0"/>
      <w:shd w:val="clear" w:color="auto" w:fill="auto"/>
      <w:spacing w:line="222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67">
    <w:name w:val="Heading #3|1"/>
    <w:basedOn w:val="Normal"/>
    <w:link w:val="CharStyle68"/>
    <w:pPr>
      <w:widowControl w:val="0"/>
      <w:shd w:val="clear" w:color="auto" w:fill="auto"/>
      <w:spacing w:after="80" w:line="260" w:lineRule="exact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80">
    <w:name w:val="Heading #2|1"/>
    <w:basedOn w:val="Normal"/>
    <w:link w:val="CharStyle81"/>
    <w:pPr>
      <w:widowControl w:val="0"/>
      <w:shd w:val="clear" w:color="auto" w:fill="auto"/>
      <w:outlineLvl w:val="1"/>
    </w:pPr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