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0" w:right="0" w:firstLine="0"/>
        <w:jc w:val="right"/>
      </w:pPr>
      <w:r>
        <w:rPr>
          <w:spacing w:val="0"/>
          <w:w w:val="100"/>
          <w:position w:val="0"/>
        </w:rPr>
        <w:t>指南与共识</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lang w:val="en-US" w:eastAsia="en-US" w:bidi="en-US"/>
        </w:rPr>
        <w:t xml:space="preserve">DOI: </w:t>
      </w:r>
      <w:r>
        <w:rPr>
          <w:rFonts w:ascii="Times New Roman" w:eastAsia="Times New Roman" w:hAnsi="Times New Roman" w:cs="Times New Roman"/>
          <w:spacing w:val="0"/>
          <w:w w:val="100"/>
          <w:position w:val="0"/>
          <w:lang w:val="zh-TW" w:eastAsia="zh-TW" w:bidi="zh-TW"/>
        </w:rPr>
        <w:t>1</w:t>
      </w:r>
      <w:r>
        <w:rPr>
          <w:rFonts w:ascii="Times New Roman" w:eastAsia="Times New Roman" w:hAnsi="Times New Roman" w:cs="Times New Roman"/>
          <w:spacing w:val="0"/>
          <w:w w:val="100"/>
          <w:position w:val="0"/>
          <w:lang w:val="en-US" w:eastAsia="en-US" w:bidi="en-US"/>
        </w:rPr>
        <w:t>0.</w:t>
      </w:r>
      <w:r>
        <w:rPr>
          <w:rFonts w:ascii="Times New Roman" w:eastAsia="Times New Roman" w:hAnsi="Times New Roman" w:cs="Times New Roman"/>
          <w:spacing w:val="0"/>
          <w:w w:val="100"/>
          <w:position w:val="0"/>
          <w:lang w:val="zh-TW" w:eastAsia="zh-TW" w:bidi="zh-TW"/>
        </w:rPr>
        <w:t>1</w:t>
      </w:r>
      <w:r>
        <w:rPr>
          <w:rFonts w:ascii="Times New Roman" w:eastAsia="Times New Roman" w:hAnsi="Times New Roman" w:cs="Times New Roman"/>
          <w:spacing w:val="0"/>
          <w:w w:val="100"/>
          <w:position w:val="0"/>
          <w:lang w:val="en-US" w:eastAsia="en-US" w:bidi="en-US"/>
        </w:rPr>
        <w:t>9538/j.nk20220901</w:t>
      </w:r>
      <w:r>
        <w:rPr>
          <w:rFonts w:ascii="Times New Roman" w:eastAsia="Times New Roman" w:hAnsi="Times New Roman" w:cs="Times New Roman"/>
          <w:spacing w:val="0"/>
          <w:w w:val="100"/>
          <w:position w:val="0"/>
          <w:lang w:val="zh-TW" w:eastAsia="zh-TW" w:bidi="zh-TW"/>
        </w:rPr>
        <w:t>08</w:t>
      </w:r>
    </w:p>
    <w:p>
      <w:pPr>
        <w:pStyle w:val="Style11"/>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《慢性肾脏病早期筛查、诊断及防治指南</w:t>
        <w:br/>
      </w:r>
      <w:r>
        <w:rPr>
          <w:rFonts w:ascii="Times New Roman" w:eastAsia="Times New Roman" w:hAnsi="Times New Roman" w:cs="Times New Roman"/>
          <w:spacing w:val="0"/>
          <w:w w:val="100"/>
          <w:position w:val="0"/>
          <w:sz w:val="42"/>
          <w:szCs w:val="42"/>
        </w:rPr>
        <w:t>(2022</w:t>
      </w:r>
      <w:r>
        <w:rPr>
          <w:spacing w:val="0"/>
          <w:w w:val="100"/>
          <w:position w:val="0"/>
        </w:rPr>
        <w:t>年版)》解读</w:t>
      </w:r>
      <w:bookmarkEnd w:id="0"/>
      <w:bookmarkEnd w:id="1"/>
      <w:bookmarkEnd w:id="2"/>
    </w:p>
    <w:p>
      <w:pPr>
        <w:pStyle w:val="Style2"/>
        <w:keepNext w:val="0"/>
        <w:keepLines w:val="0"/>
        <w:widowControl w:val="0"/>
        <w:shd w:val="clear" w:color="auto" w:fill="auto"/>
        <w:bidi w:val="0"/>
        <w:spacing w:before="0" w:after="340" w:line="240" w:lineRule="auto"/>
        <w:ind w:left="0" w:right="0" w:firstLine="0"/>
        <w:jc w:val="center"/>
        <w:rPr>
          <w:sz w:val="19"/>
          <w:szCs w:val="19"/>
        </w:rPr>
      </w:pPr>
      <w:r>
        <w:rPr>
          <w:spacing w:val="0"/>
          <w:w w:val="100"/>
          <w:position w:val="0"/>
          <w:sz w:val="19"/>
          <w:szCs w:val="19"/>
        </w:rPr>
        <w:t>髙翔,梅长林</w:t>
      </w:r>
    </w:p>
    <w:p>
      <w:pPr>
        <w:pStyle w:val="Style15"/>
        <w:keepNext w:val="0"/>
        <w:keepLines w:val="0"/>
        <w:widowControl w:val="0"/>
        <w:shd w:val="clear" w:color="auto" w:fill="auto"/>
        <w:bidi w:val="0"/>
        <w:spacing w:before="0" w:after="0" w:line="307" w:lineRule="exact"/>
        <w:ind w:left="360" w:right="0" w:firstLine="0"/>
        <w:jc w:val="both"/>
      </w:pPr>
      <w:r>
        <w:rPr>
          <w:spacing w:val="0"/>
          <w:w w:val="100"/>
          <w:position w:val="0"/>
        </w:rPr>
        <w:t>摘要：为提高我国慢性肾脏病</w:t>
      </w:r>
      <w:r>
        <w:rPr>
          <w:rFonts w:ascii="Times New Roman" w:eastAsia="Times New Roman" w:hAnsi="Times New Roman" w:cs="Times New Roman"/>
          <w:b/>
          <w:bCs/>
          <w:spacing w:val="0"/>
          <w:w w:val="100"/>
          <w:position w:val="0"/>
          <w:sz w:val="17"/>
          <w:szCs w:val="17"/>
          <w:lang w:val="en-US" w:eastAsia="en-US" w:bidi="en-US"/>
        </w:rPr>
        <w:t>(CKD</w:t>
      </w:r>
      <w:r>
        <w:rPr>
          <w:b/>
          <w:bCs/>
          <w:spacing w:val="0"/>
          <w:w w:val="100"/>
          <w:position w:val="0"/>
          <w:sz w:val="18"/>
          <w:szCs w:val="18"/>
          <w:lang w:val="en-US" w:eastAsia="en-US" w:bidi="en-US"/>
        </w:rPr>
        <w:t>)</w:t>
      </w:r>
      <w:r>
        <w:rPr>
          <w:spacing w:val="0"/>
          <w:w w:val="100"/>
          <w:position w:val="0"/>
        </w:rPr>
        <w:t>的认识和管理水平，国内肾脏病专家于</w:t>
      </w:r>
      <w:r>
        <w:rPr>
          <w:rFonts w:ascii="Times New Roman" w:eastAsia="Times New Roman" w:hAnsi="Times New Roman" w:cs="Times New Roman"/>
          <w:b/>
          <w:bCs/>
          <w:spacing w:val="0"/>
          <w:w w:val="100"/>
          <w:position w:val="0"/>
          <w:sz w:val="17"/>
          <w:szCs w:val="17"/>
        </w:rPr>
        <w:t>2017</w:t>
      </w:r>
      <w:r>
        <w:rPr>
          <w:spacing w:val="0"/>
          <w:w w:val="100"/>
          <w:position w:val="0"/>
        </w:rPr>
        <w:t>年制定了《慢性肾脏病筛查、诊断及 防治指南》。随着近年来</w:t>
      </w:r>
      <w:r>
        <w:rPr>
          <w:rFonts w:ascii="Times New Roman" w:eastAsia="Times New Roman" w:hAnsi="Times New Roman" w:cs="Times New Roman"/>
          <w:b/>
          <w:bCs/>
          <w:spacing w:val="0"/>
          <w:w w:val="100"/>
          <w:position w:val="0"/>
          <w:sz w:val="17"/>
          <w:szCs w:val="17"/>
          <w:lang w:val="en-US" w:eastAsia="en-US" w:bidi="en-US"/>
        </w:rPr>
        <w:t>CKD</w:t>
      </w:r>
      <w:r>
        <w:rPr>
          <w:spacing w:val="0"/>
          <w:w w:val="100"/>
          <w:position w:val="0"/>
        </w:rPr>
        <w:t>领域的进展及循证医学证据积累，我们对原指南进行了修订和更新，形成了《慢性肾脏 病早期筛查、诊断及防治指南</w:t>
      </w:r>
      <w:r>
        <w:rPr>
          <w:b/>
          <w:bCs/>
          <w:spacing w:val="0"/>
          <w:w w:val="100"/>
          <w:position w:val="0"/>
          <w:sz w:val="18"/>
          <w:szCs w:val="18"/>
        </w:rPr>
        <w:t>(</w:t>
      </w:r>
      <w:r>
        <w:rPr>
          <w:rFonts w:ascii="Times New Roman" w:eastAsia="Times New Roman" w:hAnsi="Times New Roman" w:cs="Times New Roman"/>
          <w:b/>
          <w:bCs/>
          <w:spacing w:val="0"/>
          <w:w w:val="100"/>
          <w:position w:val="0"/>
          <w:sz w:val="17"/>
          <w:szCs w:val="17"/>
        </w:rPr>
        <w:t>2022</w:t>
      </w:r>
      <w:r>
        <w:rPr>
          <w:spacing w:val="0"/>
          <w:w w:val="100"/>
          <w:position w:val="0"/>
        </w:rPr>
        <w:t>年版)》，并于</w:t>
      </w:r>
      <w:r>
        <w:rPr>
          <w:rFonts w:ascii="Times New Roman" w:eastAsia="Times New Roman" w:hAnsi="Times New Roman" w:cs="Times New Roman"/>
          <w:b/>
          <w:bCs/>
          <w:spacing w:val="0"/>
          <w:w w:val="100"/>
          <w:position w:val="0"/>
          <w:sz w:val="17"/>
          <w:szCs w:val="17"/>
        </w:rPr>
        <w:t>2022</w:t>
      </w:r>
      <w:r>
        <w:rPr>
          <w:spacing w:val="0"/>
          <w:w w:val="100"/>
          <w:position w:val="0"/>
        </w:rPr>
        <w:t>年</w:t>
      </w:r>
      <w:r>
        <w:rPr>
          <w:rFonts w:ascii="Times New Roman" w:eastAsia="Times New Roman" w:hAnsi="Times New Roman" w:cs="Times New Roman"/>
          <w:b/>
          <w:bCs/>
          <w:spacing w:val="0"/>
          <w:w w:val="100"/>
          <w:position w:val="0"/>
          <w:sz w:val="17"/>
          <w:szCs w:val="17"/>
        </w:rPr>
        <w:t>5</w:t>
      </w:r>
      <w:r>
        <w:rPr>
          <w:spacing w:val="0"/>
          <w:w w:val="100"/>
          <w:position w:val="0"/>
        </w:rPr>
        <w:t>月在《中华肾脏病杂志》发表。指南涵盖</w:t>
      </w:r>
      <w:r>
        <w:rPr>
          <w:rFonts w:ascii="Times New Roman" w:eastAsia="Times New Roman" w:hAnsi="Times New Roman" w:cs="Times New Roman"/>
          <w:b/>
          <w:bCs/>
          <w:spacing w:val="0"/>
          <w:w w:val="100"/>
          <w:position w:val="0"/>
          <w:sz w:val="17"/>
          <w:szCs w:val="17"/>
          <w:lang w:val="en-US" w:eastAsia="en-US" w:bidi="en-US"/>
        </w:rPr>
        <w:t>CKD</w:t>
      </w:r>
      <w:r>
        <w:rPr>
          <w:spacing w:val="0"/>
          <w:w w:val="100"/>
          <w:position w:val="0"/>
        </w:rPr>
        <w:t>筛查、诊断及 防治的各环节，提出切合临床工作实际的全面建议。文章对指南进行解读，以期为临床医生提供参考。</w:t>
      </w:r>
    </w:p>
    <w:p>
      <w:pPr>
        <w:pStyle w:val="Style15"/>
        <w:keepNext w:val="0"/>
        <w:keepLines w:val="0"/>
        <w:widowControl w:val="0"/>
        <w:shd w:val="clear" w:color="auto" w:fill="auto"/>
        <w:bidi w:val="0"/>
        <w:spacing w:before="0" w:after="0" w:line="307" w:lineRule="exact"/>
        <w:ind w:left="0" w:right="0" w:firstLine="360"/>
        <w:jc w:val="left"/>
      </w:pPr>
      <w:r>
        <w:rPr>
          <w:spacing w:val="0"/>
          <w:w w:val="100"/>
          <w:position w:val="0"/>
        </w:rPr>
        <w:t>关键词:慢性肾脏病；筛查;诊断；治疗；指南；解读</w:t>
      </w:r>
    </w:p>
    <w:p>
      <w:pPr>
        <w:pStyle w:val="Style15"/>
        <w:keepNext w:val="0"/>
        <w:keepLines w:val="0"/>
        <w:widowControl w:val="0"/>
        <w:shd w:val="clear" w:color="auto" w:fill="auto"/>
        <w:bidi w:val="0"/>
        <w:spacing w:before="0" w:after="160" w:line="307" w:lineRule="exact"/>
        <w:ind w:left="0" w:right="0" w:firstLine="360"/>
        <w:jc w:val="left"/>
        <w:rPr>
          <w:sz w:val="17"/>
          <w:szCs w:val="17"/>
        </w:rPr>
      </w:pPr>
      <w:r>
        <w:rPr>
          <w:spacing w:val="0"/>
          <w:w w:val="100"/>
          <w:position w:val="0"/>
          <w:sz w:val="16"/>
          <w:szCs w:val="16"/>
        </w:rPr>
        <w:t>中图分类号:</w:t>
      </w:r>
      <w:r>
        <w:rPr>
          <w:rFonts w:ascii="Times New Roman" w:eastAsia="Times New Roman" w:hAnsi="Times New Roman" w:cs="Times New Roman"/>
          <w:b/>
          <w:bCs/>
          <w:spacing w:val="0"/>
          <w:w w:val="100"/>
          <w:position w:val="0"/>
          <w:sz w:val="17"/>
          <w:szCs w:val="17"/>
          <w:lang w:val="en-US" w:eastAsia="en-US" w:bidi="en-US"/>
        </w:rPr>
        <w:t>R692</w:t>
      </w:r>
      <w:r>
        <w:rPr>
          <w:spacing w:val="0"/>
          <w:w w:val="100"/>
          <w:position w:val="0"/>
          <w:sz w:val="16"/>
          <w:szCs w:val="16"/>
        </w:rPr>
        <w:t>文献标识码:</w:t>
      </w:r>
      <w:r>
        <w:rPr>
          <w:rFonts w:ascii="Times New Roman" w:eastAsia="Times New Roman" w:hAnsi="Times New Roman" w:cs="Times New Roman"/>
          <w:b/>
          <w:bCs/>
          <w:spacing w:val="0"/>
          <w:w w:val="100"/>
          <w:position w:val="0"/>
          <w:sz w:val="17"/>
          <w:szCs w:val="17"/>
          <w:lang w:val="en-US" w:eastAsia="en-US" w:bidi="en-US"/>
        </w:rPr>
        <w:t>A</w:t>
      </w:r>
    </w:p>
    <w:p>
      <w:pPr>
        <w:pStyle w:val="Style19"/>
        <w:keepNext w:val="0"/>
        <w:keepLines w:val="0"/>
        <w:widowControl w:val="0"/>
        <w:shd w:val="clear" w:color="auto" w:fill="auto"/>
        <w:bidi w:val="0"/>
        <w:spacing w:before="0"/>
        <w:ind w:right="0" w:firstLine="0"/>
        <w:jc w:val="both"/>
      </w:pPr>
      <w:r>
        <w:rPr>
          <w:rFonts w:ascii="Times New Roman" w:eastAsia="Times New Roman" w:hAnsi="Times New Roman" w:cs="Times New Roman"/>
          <w:b/>
          <w:bCs/>
          <w:i w:val="0"/>
          <w:iCs w:val="0"/>
          <w:spacing w:val="0"/>
          <w:w w:val="100"/>
          <w:position w:val="0"/>
          <w:lang w:val="en-US" w:eastAsia="en-US" w:bidi="en-US"/>
        </w:rPr>
        <w:t>Inteipretation of guideline for early screening, diagnosis, prevention and treatment of chronic kidney disease</w:t>
      </w:r>
      <w:r>
        <w:rPr>
          <w:rFonts w:ascii="SimSun" w:eastAsia="SimSun" w:hAnsi="SimSun" w:cs="SimSun"/>
          <w:b/>
          <w:bCs/>
          <w:i w:val="0"/>
          <w:iCs w:val="0"/>
          <w:spacing w:val="0"/>
          <w:w w:val="100"/>
          <w:position w:val="0"/>
          <w:sz w:val="18"/>
          <w:szCs w:val="18"/>
          <w:lang w:val="en-US" w:eastAsia="en-US" w:bidi="en-US"/>
        </w:rPr>
        <w:t>(</w:t>
      </w:r>
      <w:r>
        <w:rPr>
          <w:rFonts w:ascii="Times New Roman" w:eastAsia="Times New Roman" w:hAnsi="Times New Roman" w:cs="Times New Roman"/>
          <w:b/>
          <w:bCs/>
          <w:i w:val="0"/>
          <w:iCs w:val="0"/>
          <w:spacing w:val="0"/>
          <w:w w:val="100"/>
          <w:position w:val="0"/>
          <w:lang w:val="en-US" w:eastAsia="en-US" w:bidi="en-US"/>
        </w:rPr>
        <w:t xml:space="preserve">2022 edition). </w:t>
      </w:r>
      <w:r>
        <w:rPr>
          <w:rFonts w:ascii="Times New Roman" w:eastAsia="Times New Roman" w:hAnsi="Times New Roman" w:cs="Times New Roman"/>
          <w:spacing w:val="0"/>
          <w:w w:val="100"/>
          <w:position w:val="0"/>
          <w:lang w:val="en-US" w:eastAsia="en-US" w:bidi="en-US"/>
        </w:rPr>
        <w:t>GAO Xiang, MEI Chang-lin. Department of Nephrology, Changzheng Hospital, Naval Medical University, Shanghai 200003, China</w:t>
      </w:r>
    </w:p>
    <w:p>
      <w:pPr>
        <w:pStyle w:val="Style19"/>
        <w:keepNext w:val="0"/>
        <w:keepLines w:val="0"/>
        <w:widowControl w:val="0"/>
        <w:shd w:val="clear" w:color="auto" w:fill="auto"/>
        <w:bidi w:val="0"/>
        <w:spacing w:before="0" w:after="0" w:line="379" w:lineRule="auto"/>
        <w:ind w:left="0" w:right="0" w:firstLine="360"/>
        <w:jc w:val="both"/>
      </w:pPr>
      <w:r>
        <w:rPr>
          <w:rFonts w:ascii="Times New Roman" w:eastAsia="Times New Roman" w:hAnsi="Times New Roman" w:cs="Times New Roman"/>
          <w:spacing w:val="0"/>
          <w:w w:val="100"/>
          <w:position w:val="0"/>
          <w:lang w:val="en-US" w:eastAsia="en-US" w:bidi="en-US"/>
        </w:rPr>
        <w:t xml:space="preserve">Corresponding author: MEI Chang-lin, E-mail:chlmeil954@l </w:t>
      </w:r>
      <w:r>
        <w:rPr>
          <w:rFonts w:ascii="Times New Roman" w:eastAsia="Times New Roman" w:hAnsi="Times New Roman" w:cs="Times New Roman"/>
          <w:spacing w:val="0"/>
          <w:w w:val="100"/>
          <w:position w:val="0"/>
          <w:lang w:val="en-US" w:eastAsia="en-US" w:bidi="en-US"/>
        </w:rPr>
        <w:t>26.com</w:t>
      </w:r>
    </w:p>
    <w:p>
      <w:pPr>
        <w:pStyle w:val="Style23"/>
        <w:keepNext w:val="0"/>
        <w:keepLines w:val="0"/>
        <w:widowControl w:val="0"/>
        <w:shd w:val="clear" w:color="auto" w:fill="auto"/>
        <w:bidi w:val="0"/>
        <w:spacing w:before="0"/>
        <w:ind w:right="0" w:firstLine="0"/>
        <w:jc w:val="both"/>
      </w:pPr>
      <w:r>
        <w:rPr>
          <w:rFonts w:ascii="Times New Roman" w:eastAsia="Times New Roman" w:hAnsi="Times New Roman" w:cs="Times New Roman"/>
          <w:b/>
          <w:bCs/>
          <w:spacing w:val="0"/>
          <w:w w:val="100"/>
          <w:position w:val="0"/>
          <w:sz w:val="17"/>
          <w:szCs w:val="17"/>
          <w:lang w:val="en-US" w:eastAsia="en-US" w:bidi="en-US"/>
        </w:rPr>
        <w:t xml:space="preserve">Abstract: </w:t>
      </w:r>
      <w:r>
        <w:rPr>
          <w:spacing w:val="0"/>
          <w:w w:val="100"/>
          <w:position w:val="0"/>
          <w:lang w:val="en-US" w:eastAsia="en-US" w:bidi="en-US"/>
        </w:rPr>
        <w:t xml:space="preserve">In order to improve the understanding and management of chronic kidney disease (CKD) in China, domestic nephrologists formulated the Guideline for Screening, Diagnosis, Prevention andTreatment of Chronic Kidney Disease in 2017. With the progression in the field of CKD and the accumulation of evidence-based medicine in recent years, </w:t>
      </w:r>
      <w:r>
        <w:rPr>
          <w:rFonts w:ascii="Times New Roman" w:eastAsia="Times New Roman" w:hAnsi="Times New Roman" w:cs="Times New Roman"/>
          <w:i/>
          <w:iCs/>
          <w:spacing w:val="0"/>
          <w:w w:val="100"/>
          <w:position w:val="0"/>
          <w:sz w:val="17"/>
          <w:szCs w:val="17"/>
          <w:lang w:val="en-US" w:eastAsia="en-US" w:bidi="en-US"/>
        </w:rPr>
        <w:t>we</w:t>
      </w:r>
      <w:r>
        <w:rPr>
          <w:spacing w:val="0"/>
          <w:w w:val="100"/>
          <w:position w:val="0"/>
          <w:lang w:val="en-US" w:eastAsia="en-US" w:bidi="en-US"/>
        </w:rPr>
        <w:t xml:space="preserve"> have revised and updated the original guidelines to form the Guideline for Early Screening, Diagnosis, Prevention and Treatment of Chronic Kidney Disease (2022 Edition) , which has been published on </w:t>
      </w:r>
      <w:r>
        <w:rPr>
          <w:spacing w:val="0"/>
          <w:w w:val="100"/>
          <w:position w:val="0"/>
          <w:vertAlign w:val="superscript"/>
          <w:lang w:val="en-US" w:eastAsia="en-US" w:bidi="en-US"/>
        </w:rPr>
        <w:t>u</w:t>
      </w:r>
      <w:r>
        <w:rPr>
          <w:spacing w:val="0"/>
          <w:w w:val="100"/>
          <w:position w:val="0"/>
          <w:lang w:val="en-US" w:eastAsia="en-US" w:bidi="en-US"/>
        </w:rPr>
        <w:t>Chinese Journal of Nephrology" in May 2022. The guideline covers all aspects of CKD screening, diagnosis, prevention and treatment, and put forward comprehensive recommendations that are in line with clinical practice. This paper aims to interpret the guideline in order to provide reference for the clinicians.</w:t>
      </w:r>
    </w:p>
    <w:p>
      <w:pPr>
        <w:pStyle w:val="Style23"/>
        <w:keepNext w:val="0"/>
        <w:keepLines w:val="0"/>
        <w:widowControl w:val="0"/>
        <w:shd w:val="clear" w:color="auto" w:fill="auto"/>
        <w:bidi w:val="0"/>
        <w:spacing w:before="0" w:after="0" w:line="379" w:lineRule="auto"/>
        <w:ind w:left="0" w:right="0" w:firstLine="36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359" w:right="1096" w:bottom="1393" w:left="1108" w:header="0" w:footer="3" w:gutter="0"/>
          <w:pgNumType w:start="735"/>
          <w:cols w:space="720"/>
          <w:noEndnote/>
          <w:rtlGutter w:val="0"/>
          <w:docGrid w:linePitch="360"/>
        </w:sectPr>
      </w:pPr>
      <w:r>
        <w:rPr>
          <w:rFonts w:ascii="Times New Roman" w:eastAsia="Times New Roman" w:hAnsi="Times New Roman" w:cs="Times New Roman"/>
          <w:b/>
          <w:bCs/>
          <w:spacing w:val="0"/>
          <w:w w:val="100"/>
          <w:position w:val="0"/>
          <w:sz w:val="17"/>
          <w:szCs w:val="17"/>
          <w:lang w:val="en-US" w:eastAsia="en-US" w:bidi="en-US"/>
        </w:rPr>
        <w:t xml:space="preserve">Keywords: </w:t>
      </w:r>
      <w:r>
        <w:rPr>
          <w:spacing w:val="0"/>
          <w:w w:val="100"/>
          <w:position w:val="0"/>
          <w:lang w:val="en-US" w:eastAsia="en-US" w:bidi="en-US"/>
        </w:rPr>
        <w:t>chronic kidney disease; screening; diagnosis; treatment; guideline; interpretation</w:t>
      </w:r>
    </w:p>
    <w:p>
      <w:pPr>
        <w:pStyle w:val="Style2"/>
        <w:keepNext w:val="0"/>
        <w:keepLines w:val="0"/>
        <w:widowControl w:val="0"/>
        <w:shd w:val="clear" w:color="auto" w:fill="auto"/>
        <w:bidi w:val="0"/>
        <w:spacing w:before="0" w:after="160" w:line="338" w:lineRule="exact"/>
        <w:ind w:left="0" w:right="0" w:firstLine="420"/>
        <w:jc w:val="both"/>
        <w:rPr>
          <w:sz w:val="18"/>
          <w:szCs w:val="18"/>
        </w:rPr>
      </w:pPr>
      <w:r>
        <w:rPr>
          <w:spacing w:val="0"/>
          <w:w w:val="100"/>
          <w:position w:val="0"/>
          <w:sz w:val="20"/>
          <w:szCs w:val="20"/>
        </w:rPr>
        <w:t>慢性肾脏病</w:t>
      </w:r>
      <w:r>
        <w:rPr>
          <w:spacing w:val="0"/>
          <w:w w:val="100"/>
          <w:position w:val="0"/>
          <w:sz w:val="20"/>
          <w:szCs w:val="20"/>
          <w:lang w:val="en-US" w:eastAsia="en-US" w:bidi="en-US"/>
        </w:rPr>
        <w:t>(</w:t>
      </w:r>
      <w:r>
        <w:rPr>
          <w:spacing w:val="0"/>
          <w:w w:val="100"/>
          <w:position w:val="0"/>
          <w:sz w:val="18"/>
          <w:szCs w:val="18"/>
          <w:lang w:val="en-US" w:eastAsia="en-US" w:bidi="en-US"/>
        </w:rPr>
        <w:t>chronic kidney disease, CKD )</w:t>
      </w:r>
      <w:r>
        <w:rPr>
          <w:spacing w:val="0"/>
          <w:w w:val="100"/>
          <w:position w:val="0"/>
          <w:sz w:val="20"/>
          <w:szCs w:val="20"/>
        </w:rPr>
        <w:t>是全 球性公共卫生问题,具有发生率高、知晓率低、预后 差和医疗费用高等特点。在参考国外相关指南的 基础上，结合中国特点,</w:t>
      </w:r>
      <w:r>
        <w:rPr>
          <w:spacing w:val="0"/>
          <w:w w:val="100"/>
          <w:position w:val="0"/>
          <w:sz w:val="18"/>
          <w:szCs w:val="18"/>
        </w:rPr>
        <w:t>2017</w:t>
      </w:r>
      <w:r>
        <w:rPr>
          <w:spacing w:val="0"/>
          <w:w w:val="100"/>
          <w:position w:val="0"/>
          <w:sz w:val="20"/>
          <w:szCs w:val="20"/>
        </w:rPr>
        <w:t>年组织制定了</w:t>
      </w:r>
      <w:r>
        <w:rPr>
          <w:spacing w:val="0"/>
          <w:w w:val="100"/>
          <w:position w:val="0"/>
          <w:sz w:val="20"/>
          <w:szCs w:val="20"/>
          <w:lang w:val="en-US" w:eastAsia="en-US" w:bidi="en-US"/>
        </w:rPr>
        <w:t>《</w:t>
      </w:r>
      <w:r>
        <w:rPr>
          <w:spacing w:val="0"/>
          <w:w w:val="100"/>
          <w:position w:val="0"/>
          <w:sz w:val="18"/>
          <w:szCs w:val="18"/>
          <w:lang w:val="en-US" w:eastAsia="en-US" w:bidi="en-US"/>
        </w:rPr>
        <w:t>CKD</w:t>
      </w:r>
      <w:r>
        <w:rPr>
          <w:spacing w:val="0"/>
          <w:w w:val="100"/>
          <w:position w:val="0"/>
          <w:sz w:val="20"/>
          <w:szCs w:val="20"/>
        </w:rPr>
        <w:t>筛 査、诊断及防治指南》，并于</w:t>
      </w:r>
      <w:r>
        <w:rPr>
          <w:spacing w:val="0"/>
          <w:w w:val="100"/>
          <w:position w:val="0"/>
          <w:sz w:val="18"/>
          <w:szCs w:val="18"/>
        </w:rPr>
        <w:t>2022</w:t>
      </w:r>
      <w:r>
        <w:rPr>
          <w:spacing w:val="0"/>
          <w:w w:val="100"/>
          <w:position w:val="0"/>
          <w:sz w:val="20"/>
          <w:szCs w:val="20"/>
        </w:rPr>
        <w:t xml:space="preserve">年进行了更新， </w:t>
      </w:r>
      <w:r>
        <w:rPr>
          <w:spacing w:val="0"/>
          <w:w w:val="100"/>
          <w:position w:val="0"/>
          <w:sz w:val="18"/>
          <w:szCs w:val="18"/>
        </w:rPr>
        <w:t>2022</w:t>
      </w:r>
      <w:r>
        <w:rPr>
          <w:spacing w:val="0"/>
          <w:w w:val="100"/>
          <w:position w:val="0"/>
          <w:sz w:val="20"/>
          <w:szCs w:val="20"/>
        </w:rPr>
        <w:t>年版指南已发表于《中华肾脏病杂志》,本文旨 在对该版指南进行解读，以期为肾脏病医生提供参 考和建议</w:t>
      </w:r>
      <w:r>
        <w:rPr>
          <w:spacing w:val="0"/>
          <w:w w:val="100"/>
          <w:position w:val="0"/>
          <w:sz w:val="18"/>
          <w:szCs w:val="18"/>
          <w:lang w:val="en-US" w:eastAsia="en-US" w:bidi="en-US"/>
        </w:rPr>
        <w:t>"I</w:t>
      </w:r>
    </w:p>
    <w:p>
      <w:pPr>
        <w:pStyle w:val="Style2"/>
        <w:keepNext w:val="0"/>
        <w:keepLines w:val="0"/>
        <w:widowControl w:val="0"/>
        <w:shd w:val="clear" w:color="auto" w:fill="auto"/>
        <w:bidi w:val="0"/>
        <w:spacing w:before="0" w:after="160" w:line="338" w:lineRule="exact"/>
        <w:ind w:left="0" w:right="0" w:firstLine="0"/>
        <w:jc w:val="both"/>
      </w:pPr>
      <w:r>
        <w:rPr>
          <w:spacing w:val="0"/>
          <w:w w:val="100"/>
          <w:position w:val="0"/>
          <w:sz w:val="18"/>
          <w:szCs w:val="18"/>
        </w:rPr>
        <w:t>1</w:t>
      </w:r>
      <w:r>
        <w:rPr>
          <w:spacing w:val="0"/>
          <w:w w:val="100"/>
          <w:position w:val="0"/>
        </w:rPr>
        <w:t>指南制定的背景</w:t>
      </w:r>
    </w:p>
    <w:p>
      <w:pPr>
        <w:pStyle w:val="Style2"/>
        <w:keepNext w:val="0"/>
        <w:keepLines w:val="0"/>
        <w:widowControl w:val="0"/>
        <w:shd w:val="clear" w:color="auto" w:fill="auto"/>
        <w:bidi w:val="0"/>
        <w:spacing w:before="0" w:after="380" w:line="326" w:lineRule="exact"/>
        <w:ind w:left="0" w:right="0" w:firstLine="420"/>
        <w:jc w:val="both"/>
      </w:pPr>
      <w:r>
        <w:rPr>
          <w:spacing w:val="0"/>
          <w:w w:val="100"/>
          <w:position w:val="0"/>
        </w:rPr>
        <w:t>为满足我国肾脏病从业人员，特别是广大基层 医务工作者提高</w:t>
      </w:r>
      <w:r>
        <w:rPr>
          <w:spacing w:val="0"/>
          <w:w w:val="100"/>
          <w:position w:val="0"/>
          <w:sz w:val="18"/>
          <w:szCs w:val="18"/>
          <w:lang w:val="en-US" w:eastAsia="en-US" w:bidi="en-US"/>
        </w:rPr>
        <w:t>CKD</w:t>
      </w:r>
      <w:r>
        <w:rPr>
          <w:spacing w:val="0"/>
          <w:w w:val="100"/>
          <w:position w:val="0"/>
        </w:rPr>
        <w:t>防治水平的迫切需要,</w:t>
      </w:r>
      <w:r>
        <w:rPr>
          <w:spacing w:val="0"/>
          <w:w w:val="100"/>
          <w:position w:val="0"/>
          <w:sz w:val="18"/>
          <w:szCs w:val="18"/>
        </w:rPr>
        <w:t>2015</w:t>
      </w:r>
      <w:r>
        <w:rPr>
          <w:spacing w:val="0"/>
          <w:w w:val="100"/>
          <w:position w:val="0"/>
        </w:rPr>
        <w:t>年</w:t>
      </w:r>
    </w:p>
    <w:p>
      <w:pPr>
        <w:pStyle w:val="Style15"/>
        <w:keepNext w:val="0"/>
        <w:keepLines w:val="0"/>
        <w:widowControl w:val="0"/>
        <w:shd w:val="clear" w:color="auto" w:fill="auto"/>
        <w:bidi w:val="0"/>
        <w:spacing w:before="0" w:after="80" w:line="293" w:lineRule="exact"/>
        <w:ind w:right="0" w:firstLine="0"/>
        <w:jc w:val="both"/>
        <w:rPr>
          <w:sz w:val="12"/>
          <w:szCs w:val="12"/>
        </w:rPr>
      </w:pPr>
      <w:r>
        <w:rPr>
          <w:spacing w:val="0"/>
          <w:w w:val="100"/>
          <w:position w:val="0"/>
          <w:sz w:val="16"/>
          <w:szCs w:val="16"/>
        </w:rPr>
        <w:t>基金项目：上海市临床重点专科基金</w:t>
      </w:r>
      <w:r>
        <w:rPr>
          <w:spacing w:val="0"/>
          <w:w w:val="100"/>
          <w:position w:val="0"/>
          <w:sz w:val="12"/>
          <w:szCs w:val="12"/>
          <w:lang w:val="en-US" w:eastAsia="en-US" w:bidi="en-US"/>
        </w:rPr>
        <w:t xml:space="preserve">(shslez&lt;lzk02503 </w:t>
      </w:r>
      <w:r>
        <w:rPr>
          <w:spacing w:val="0"/>
          <w:w w:val="100"/>
          <w:position w:val="0"/>
          <w:sz w:val="12"/>
          <w:szCs w:val="12"/>
        </w:rPr>
        <w:t xml:space="preserve">) </w:t>
      </w:r>
      <w:r>
        <w:rPr>
          <w:spacing w:val="0"/>
          <w:w w:val="100"/>
          <w:position w:val="0"/>
          <w:sz w:val="16"/>
          <w:szCs w:val="16"/>
        </w:rPr>
        <w:t>作者单位:海军军医大学长征医院肾脏病科，上海</w:t>
      </w:r>
      <w:r>
        <w:rPr>
          <w:spacing w:val="0"/>
          <w:w w:val="100"/>
          <w:position w:val="0"/>
          <w:sz w:val="12"/>
          <w:szCs w:val="12"/>
        </w:rPr>
        <w:t>200003</w:t>
      </w:r>
    </w:p>
    <w:p>
      <w:pPr>
        <w:pStyle w:val="Style29"/>
        <w:keepNext w:val="0"/>
        <w:keepLines w:val="0"/>
        <w:widowControl w:val="0"/>
        <w:shd w:val="clear" w:color="auto" w:fill="auto"/>
        <w:bidi w:val="0"/>
        <w:spacing w:before="0" w:after="0" w:line="240" w:lineRule="auto"/>
        <w:ind w:right="0" w:firstLine="0"/>
        <w:jc w:val="both"/>
        <w:rPr>
          <w:sz w:val="20"/>
          <w:szCs w:val="20"/>
        </w:rPr>
      </w:pPr>
      <w:r>
        <w:rPr>
          <w:spacing w:val="0"/>
          <w:w w:val="100"/>
          <w:position w:val="0"/>
          <w:sz w:val="16"/>
          <w:szCs w:val="16"/>
          <w:lang w:val="zh-TW" w:eastAsia="zh-TW" w:bidi="zh-TW"/>
        </w:rPr>
        <w:t>通信作者:梅长林，电子信箱:</w:t>
      </w:r>
      <w:r>
        <w:rPr>
          <w:spacing w:val="0"/>
          <w:w w:val="100"/>
          <w:position w:val="0"/>
          <w:sz w:val="12"/>
          <w:szCs w:val="12"/>
          <w:lang w:val="en-US" w:eastAsia="en-US" w:bidi="en-US"/>
        </w:rPr>
        <w:t xml:space="preserve">ehlmeil954(S&gt; </w:t>
      </w:r>
      <w:r>
        <w:rPr>
          <w:spacing w:val="0"/>
          <w:w w:val="100"/>
          <w:position w:val="0"/>
          <w:sz w:val="12"/>
          <w:szCs w:val="12"/>
          <w:lang w:val="en-US" w:eastAsia="en-US" w:bidi="en-US"/>
        </w:rPr>
        <w:t>126.com</w:t>
      </w:r>
      <w:r>
        <w:rPr>
          <w:spacing w:val="0"/>
          <w:w w:val="100"/>
          <w:position w:val="0"/>
          <w:sz w:val="12"/>
          <w:szCs w:val="12"/>
          <w:lang w:val="en-US" w:eastAsia="en-US" w:bidi="en-US"/>
        </w:rPr>
        <w:t xml:space="preserve"> </w:t>
      </w:r>
      <w:r>
        <w:rPr>
          <w:rStyle w:val="CharStyle3"/>
        </w:rPr>
        <w:t>上海市卫生和计划生育委员会批准</w:t>
      </w:r>
      <w:r>
        <w:rPr>
          <w:rStyle w:val="CharStyle3"/>
          <w:lang w:val="zh-CN" w:eastAsia="zh-CN" w:bidi="zh-CN"/>
        </w:rPr>
        <w:t>“上</w:t>
      </w:r>
      <w:r>
        <w:rPr>
          <w:rStyle w:val="CharStyle3"/>
        </w:rPr>
        <w:t>海地区</w:t>
      </w:r>
      <w:r>
        <w:rPr>
          <w:rStyle w:val="CharStyle3"/>
          <w:sz w:val="18"/>
          <w:szCs w:val="18"/>
          <w:lang w:val="en-US" w:eastAsia="en-US" w:bidi="en-US"/>
        </w:rPr>
        <w:t xml:space="preserve">CKD </w:t>
      </w:r>
      <w:r>
        <w:rPr>
          <w:rStyle w:val="CharStyle3"/>
        </w:rPr>
        <w:t>早发现和诊疗体系建设与示范</w:t>
      </w:r>
      <w:r>
        <w:rPr>
          <w:rStyle w:val="CharStyle3"/>
          <w:lang w:val="zh-CN" w:eastAsia="zh-CN" w:bidi="zh-CN"/>
        </w:rPr>
        <w:t>”作为</w:t>
      </w:r>
      <w:r>
        <w:rPr>
          <w:rStyle w:val="CharStyle3"/>
        </w:rPr>
        <w:t>第四轮加强公 共卫生体系建设</w:t>
      </w:r>
      <w:r>
        <w:rPr>
          <w:rStyle w:val="CharStyle3"/>
          <w:sz w:val="18"/>
          <w:szCs w:val="18"/>
        </w:rPr>
        <w:t>3</w:t>
      </w:r>
      <w:r>
        <w:rPr>
          <w:rStyle w:val="CharStyle3"/>
        </w:rPr>
        <w:t xml:space="preserve">年行动计划立项。本课题组牵头 组织上海市肾脏病专家制定了 </w:t>
      </w:r>
      <w:r>
        <w:rPr>
          <w:rStyle w:val="CharStyle3"/>
          <w:sz w:val="18"/>
          <w:szCs w:val="18"/>
          <w:lang w:val="en-US" w:eastAsia="en-US" w:bidi="en-US"/>
        </w:rPr>
        <w:t>(CKD</w:t>
      </w:r>
      <w:r>
        <w:rPr>
          <w:rStyle w:val="CharStyle3"/>
        </w:rPr>
        <w:t>筛查、诊断及 防治指南》，并于</w:t>
      </w:r>
      <w:r>
        <w:rPr>
          <w:rStyle w:val="CharStyle3"/>
          <w:sz w:val="18"/>
          <w:szCs w:val="18"/>
        </w:rPr>
        <w:t>2017</w:t>
      </w:r>
      <w:r>
        <w:rPr>
          <w:rStyle w:val="CharStyle3"/>
        </w:rPr>
        <w:t>年发表，该指南的发表极大地 推动了我国对</w:t>
      </w:r>
      <w:r>
        <w:rPr>
          <w:rStyle w:val="CharStyle3"/>
          <w:sz w:val="18"/>
          <w:szCs w:val="18"/>
          <w:lang w:val="en-US" w:eastAsia="en-US" w:bidi="en-US"/>
        </w:rPr>
        <w:t>CKD</w:t>
      </w:r>
      <w:r>
        <w:rPr>
          <w:rStyle w:val="CharStyle3"/>
        </w:rPr>
        <w:t xml:space="preserve">的认识和管理水平。近年来 </w:t>
      </w:r>
      <w:r>
        <w:rPr>
          <w:rStyle w:val="CharStyle3"/>
          <w:sz w:val="18"/>
          <w:szCs w:val="18"/>
          <w:lang w:val="en-US" w:eastAsia="en-US" w:bidi="en-US"/>
        </w:rPr>
        <w:t>CKD</w:t>
      </w:r>
      <w:r>
        <w:rPr>
          <w:rStyle w:val="CharStyle3"/>
        </w:rPr>
        <w:t>研究取得了很多重大进展，随着临床证据的积 累及各种新药的问世，有必要对原指南进行修订。 为此,上海市肾内科临床质量控制中心专家组对原 指南进行修订和更新，形成</w:t>
      </w:r>
      <w:r>
        <w:rPr>
          <w:rStyle w:val="CharStyle3"/>
          <w:lang w:val="en-US" w:eastAsia="en-US" w:bidi="en-US"/>
        </w:rPr>
        <w:t>《</w:t>
      </w:r>
      <w:r>
        <w:rPr>
          <w:rStyle w:val="CharStyle3"/>
          <w:sz w:val="18"/>
          <w:szCs w:val="18"/>
          <w:lang w:val="en-US" w:eastAsia="en-US" w:bidi="en-US"/>
        </w:rPr>
        <w:t>CKD</w:t>
      </w:r>
      <w:r>
        <w:rPr>
          <w:rStyle w:val="CharStyle3"/>
        </w:rPr>
        <w:t>早期筛查、诊断及 防治指南</w:t>
      </w:r>
      <w:r>
        <w:rPr>
          <w:rStyle w:val="CharStyle3"/>
          <w:sz w:val="18"/>
          <w:szCs w:val="18"/>
        </w:rPr>
        <w:t>(2022</w:t>
      </w:r>
      <w:r>
        <w:rPr>
          <w:rStyle w:val="CharStyle3"/>
        </w:rPr>
        <w:t>年版)》(简称指南)，该版指南主要 内容包括</w:t>
      </w:r>
      <w:r>
        <w:rPr>
          <w:rStyle w:val="CharStyle3"/>
          <w:sz w:val="18"/>
          <w:szCs w:val="18"/>
          <w:lang w:val="en-US" w:eastAsia="en-US" w:bidi="en-US"/>
        </w:rPr>
        <w:t>CKD</w:t>
      </w:r>
      <w:r>
        <w:rPr>
          <w:rStyle w:val="CharStyle3"/>
        </w:rPr>
        <w:t>筛査的对象和方式、</w:t>
      </w:r>
      <w:r>
        <w:rPr>
          <w:rStyle w:val="CharStyle3"/>
          <w:sz w:val="18"/>
          <w:szCs w:val="18"/>
          <w:lang w:val="en-US" w:eastAsia="en-US" w:bidi="en-US"/>
        </w:rPr>
        <w:t>CKD</w:t>
      </w:r>
      <w:r>
        <w:rPr>
          <w:rStyle w:val="CharStyle3"/>
        </w:rPr>
        <w:t>进展评估及 防治、</w:t>
      </w:r>
      <w:r>
        <w:rPr>
          <w:rStyle w:val="CharStyle3"/>
          <w:sz w:val="18"/>
          <w:szCs w:val="18"/>
          <w:lang w:val="en-US" w:eastAsia="en-US" w:bidi="en-US"/>
        </w:rPr>
        <w:t>CKD</w:t>
      </w:r>
      <w:r>
        <w:rPr>
          <w:rStyle w:val="CharStyle3"/>
        </w:rPr>
        <w:t xml:space="preserve">并发症的防治，并增加了 </w:t>
      </w:r>
      <w:r>
        <w:rPr>
          <w:rStyle w:val="CharStyle3"/>
          <w:sz w:val="18"/>
          <w:szCs w:val="18"/>
          <w:lang w:val="en-US" w:eastAsia="en-US" w:bidi="en-US"/>
        </w:rPr>
        <w:t>CKD</w:t>
      </w:r>
      <w:r>
        <w:rPr>
          <w:rStyle w:val="CharStyle3"/>
        </w:rPr>
        <w:t>筛査模式 和</w:t>
      </w:r>
      <w:r>
        <w:rPr>
          <w:rStyle w:val="CharStyle3"/>
          <w:sz w:val="18"/>
          <w:szCs w:val="18"/>
          <w:lang w:val="en-US" w:eastAsia="en-US" w:bidi="en-US"/>
        </w:rPr>
        <w:t>CKD</w:t>
      </w:r>
      <w:r>
        <w:rPr>
          <w:rStyle w:val="CharStyle3"/>
        </w:rPr>
        <w:t>进展至终末期肾病(</w:t>
      </w:r>
      <w:r>
        <w:rPr>
          <w:rStyle w:val="CharStyle3"/>
          <w:sz w:val="18"/>
          <w:szCs w:val="18"/>
          <w:lang w:val="en-US" w:eastAsia="en-US" w:bidi="en-US"/>
        </w:rPr>
        <w:t>end- stage kidney disease, ESKD)</w:t>
      </w:r>
      <w:r>
        <w:rPr>
          <w:rStyle w:val="CharStyle3"/>
        </w:rPr>
        <w:t>风险的预测。</w:t>
      </w:r>
    </w:p>
    <w:p>
      <w:pPr>
        <w:pStyle w:val="Style2"/>
        <w:keepNext w:val="0"/>
        <w:keepLines w:val="0"/>
        <w:widowControl w:val="0"/>
        <w:numPr>
          <w:ilvl w:val="0"/>
          <w:numId w:val="1"/>
        </w:numPr>
        <w:shd w:val="clear" w:color="auto" w:fill="auto"/>
        <w:tabs>
          <w:tab w:pos="320" w:val="left"/>
        </w:tabs>
        <w:bidi w:val="0"/>
        <w:spacing w:before="0" w:after="160" w:line="338" w:lineRule="exact"/>
        <w:ind w:left="0" w:right="0" w:firstLine="0"/>
        <w:jc w:val="both"/>
      </w:pPr>
      <w:bookmarkStart w:id="3" w:name="bookmark3"/>
      <w:bookmarkEnd w:id="3"/>
      <w:r>
        <w:rPr>
          <w:spacing w:val="0"/>
          <w:w w:val="100"/>
          <w:position w:val="0"/>
          <w:sz w:val="18"/>
          <w:szCs w:val="18"/>
          <w:lang w:val="en-US" w:eastAsia="en-US" w:bidi="en-US"/>
        </w:rPr>
        <w:t>CKD</w:t>
      </w:r>
      <w:r>
        <w:rPr>
          <w:spacing w:val="0"/>
          <w:w w:val="100"/>
          <w:position w:val="0"/>
        </w:rPr>
        <w:t>诊断和分期</w:t>
      </w:r>
    </w:p>
    <w:p>
      <w:pPr>
        <w:pStyle w:val="Style2"/>
        <w:keepNext w:val="0"/>
        <w:keepLines w:val="0"/>
        <w:widowControl w:val="0"/>
        <w:shd w:val="clear" w:color="auto" w:fill="auto"/>
        <w:bidi w:val="0"/>
        <w:spacing w:before="0" w:after="240" w:line="339" w:lineRule="exact"/>
        <w:ind w:left="0" w:right="0" w:firstLine="420"/>
        <w:jc w:val="both"/>
      </w:pPr>
      <w:r>
        <w:rPr>
          <w:spacing w:val="0"/>
          <w:w w:val="100"/>
          <w:position w:val="0"/>
        </w:rPr>
        <w:t>本指南维持原</w:t>
      </w:r>
      <w:r>
        <w:rPr>
          <w:spacing w:val="0"/>
          <w:w w:val="100"/>
          <w:position w:val="0"/>
          <w:sz w:val="18"/>
          <w:szCs w:val="18"/>
          <w:lang w:val="en-US" w:eastAsia="en-US" w:bidi="en-US"/>
        </w:rPr>
        <w:t>CKD</w:t>
      </w:r>
      <w:r>
        <w:rPr>
          <w:spacing w:val="0"/>
          <w:w w:val="100"/>
          <w:position w:val="0"/>
        </w:rPr>
        <w:t>定义、诊断、分期及危险分 层标准不变⑴。</w:t>
      </w:r>
      <w:r>
        <w:rPr>
          <w:spacing w:val="0"/>
          <w:w w:val="100"/>
          <w:position w:val="0"/>
          <w:sz w:val="18"/>
          <w:szCs w:val="18"/>
          <w:lang w:val="en-US" w:eastAsia="en-US" w:bidi="en-US"/>
        </w:rPr>
        <w:t>CKD</w:t>
      </w:r>
      <w:r>
        <w:rPr>
          <w:spacing w:val="0"/>
          <w:w w:val="100"/>
          <w:position w:val="0"/>
        </w:rPr>
        <w:t>定义为肾脏结构或功能异常</w:t>
      </w:r>
      <w:r>
        <w:rPr>
          <w:spacing w:val="0"/>
          <w:w w:val="100"/>
          <w:position w:val="0"/>
          <w:sz w:val="18"/>
          <w:szCs w:val="18"/>
        </w:rPr>
        <w:t xml:space="preserve">&gt;3 </w:t>
      </w:r>
      <w:r>
        <w:rPr>
          <w:spacing w:val="0"/>
          <w:w w:val="100"/>
          <w:position w:val="0"/>
        </w:rPr>
        <w:t>个月。基于肾损伤标志和（或）肾小球滤过率</w:t>
      </w:r>
      <w:r>
        <w:rPr>
          <w:spacing w:val="0"/>
          <w:w w:val="100"/>
          <w:position w:val="0"/>
          <w:sz w:val="18"/>
          <w:szCs w:val="18"/>
          <w:lang w:val="en-US" w:eastAsia="en-US" w:bidi="en-US"/>
        </w:rPr>
        <w:t xml:space="preserve">（GFR） </w:t>
      </w:r>
      <w:r>
        <w:rPr>
          <w:spacing w:val="0"/>
          <w:w w:val="100"/>
          <w:position w:val="0"/>
        </w:rPr>
        <w:t>下降指标,持续时间超过</w:t>
      </w:r>
      <w:r>
        <w:rPr>
          <w:spacing w:val="0"/>
          <w:w w:val="100"/>
          <w:position w:val="0"/>
          <w:sz w:val="18"/>
          <w:szCs w:val="18"/>
        </w:rPr>
        <w:t>3</w:t>
      </w:r>
      <w:r>
        <w:rPr>
          <w:spacing w:val="0"/>
          <w:w w:val="100"/>
          <w:position w:val="0"/>
        </w:rPr>
        <w:t>个月，可诊断</w:t>
      </w:r>
      <w:r>
        <w:rPr>
          <w:spacing w:val="0"/>
          <w:w w:val="100"/>
          <w:position w:val="0"/>
          <w:sz w:val="18"/>
          <w:szCs w:val="18"/>
          <w:lang w:val="en-US" w:eastAsia="en-US" w:bidi="en-US"/>
        </w:rPr>
        <w:t>CKD</w:t>
      </w:r>
      <w:r>
        <w:rPr>
          <w:spacing w:val="0"/>
          <w:w w:val="100"/>
          <w:position w:val="0"/>
          <w:lang w:val="en-US" w:eastAsia="en-US" w:bidi="en-US"/>
        </w:rPr>
        <w:t>。</w:t>
      </w:r>
      <w:r>
        <w:rPr>
          <w:spacing w:val="0"/>
          <w:w w:val="100"/>
          <w:position w:val="0"/>
        </w:rPr>
        <w:t>基于 估算</w:t>
      </w:r>
      <w:r>
        <w:rPr>
          <w:spacing w:val="0"/>
          <w:w w:val="100"/>
          <w:position w:val="0"/>
          <w:sz w:val="18"/>
          <w:szCs w:val="18"/>
          <w:lang w:val="en-US" w:eastAsia="en-US" w:bidi="en-US"/>
        </w:rPr>
        <w:t>GFR（eGFR）</w:t>
      </w:r>
      <w:r>
        <w:rPr>
          <w:spacing w:val="0"/>
          <w:w w:val="100"/>
          <w:position w:val="0"/>
        </w:rPr>
        <w:t>水平，将</w:t>
      </w:r>
      <w:r>
        <w:rPr>
          <w:spacing w:val="0"/>
          <w:w w:val="100"/>
          <w:position w:val="0"/>
          <w:sz w:val="18"/>
          <w:szCs w:val="18"/>
          <w:lang w:val="en-US" w:eastAsia="en-US" w:bidi="en-US"/>
        </w:rPr>
        <w:t>CKD</w:t>
      </w:r>
      <w:r>
        <w:rPr>
          <w:spacing w:val="0"/>
          <w:w w:val="100"/>
          <w:position w:val="0"/>
        </w:rPr>
        <w:t>分为</w:t>
      </w:r>
      <w:r>
        <w:rPr>
          <w:spacing w:val="0"/>
          <w:w w:val="100"/>
          <w:position w:val="0"/>
          <w:sz w:val="18"/>
          <w:szCs w:val="18"/>
        </w:rPr>
        <w:t>1~5</w:t>
      </w:r>
      <w:r>
        <w:rPr>
          <w:spacing w:val="0"/>
          <w:w w:val="100"/>
          <w:position w:val="0"/>
        </w:rPr>
        <w:t xml:space="preserve">期。根据 </w:t>
      </w:r>
      <w:r>
        <w:rPr>
          <w:spacing w:val="0"/>
          <w:w w:val="100"/>
          <w:position w:val="0"/>
          <w:sz w:val="18"/>
          <w:szCs w:val="18"/>
          <w:lang w:val="en-US" w:eastAsia="en-US" w:bidi="en-US"/>
        </w:rPr>
        <w:t>eGFR</w:t>
      </w:r>
      <w:r>
        <w:rPr>
          <w:spacing w:val="0"/>
          <w:w w:val="100"/>
          <w:position w:val="0"/>
        </w:rPr>
        <w:t>分期和尿白蛋白分级进行</w:t>
      </w:r>
      <w:r>
        <w:rPr>
          <w:spacing w:val="0"/>
          <w:w w:val="100"/>
          <w:position w:val="0"/>
          <w:sz w:val="18"/>
          <w:szCs w:val="18"/>
          <w:lang w:val="en-US" w:eastAsia="en-US" w:bidi="en-US"/>
        </w:rPr>
        <w:t>CKD</w:t>
      </w:r>
      <w:r>
        <w:rPr>
          <w:spacing w:val="0"/>
          <w:w w:val="100"/>
          <w:position w:val="0"/>
        </w:rPr>
        <w:t>的危险分层， 分为</w:t>
      </w:r>
      <w:r>
        <w:rPr>
          <w:spacing w:val="0"/>
          <w:w w:val="100"/>
          <w:position w:val="0"/>
          <w:sz w:val="18"/>
          <w:szCs w:val="18"/>
        </w:rPr>
        <w:t>1</w:t>
      </w:r>
      <w:r>
        <w:rPr>
          <w:spacing w:val="0"/>
          <w:w w:val="100"/>
          <w:position w:val="0"/>
        </w:rPr>
        <w:t>级（低危）、</w:t>
      </w:r>
      <w:r>
        <w:rPr>
          <w:spacing w:val="0"/>
          <w:w w:val="100"/>
          <w:position w:val="0"/>
          <w:sz w:val="18"/>
          <w:szCs w:val="18"/>
        </w:rPr>
        <w:t>2</w:t>
      </w:r>
      <w:r>
        <w:rPr>
          <w:spacing w:val="0"/>
          <w:w w:val="100"/>
          <w:position w:val="0"/>
        </w:rPr>
        <w:t>级（中危）、</w:t>
      </w:r>
      <w:r>
        <w:rPr>
          <w:spacing w:val="0"/>
          <w:w w:val="100"/>
          <w:position w:val="0"/>
          <w:sz w:val="18"/>
          <w:szCs w:val="18"/>
        </w:rPr>
        <w:t>3</w:t>
      </w:r>
      <w:r>
        <w:rPr>
          <w:spacing w:val="0"/>
          <w:w w:val="100"/>
          <w:position w:val="0"/>
        </w:rPr>
        <w:t>级（高危）和</w:t>
      </w:r>
      <w:r>
        <w:rPr>
          <w:spacing w:val="0"/>
          <w:w w:val="100"/>
          <w:position w:val="0"/>
          <w:sz w:val="18"/>
          <w:szCs w:val="18"/>
        </w:rPr>
        <w:t>4</w:t>
      </w:r>
      <w:r>
        <w:rPr>
          <w:spacing w:val="0"/>
          <w:w w:val="100"/>
          <w:position w:val="0"/>
        </w:rPr>
        <w:t>级（极 高危）。</w:t>
      </w:r>
    </w:p>
    <w:p>
      <w:pPr>
        <w:pStyle w:val="Style32"/>
        <w:keepNext w:val="0"/>
        <w:keepLines w:val="0"/>
        <w:widowControl w:val="0"/>
        <w:numPr>
          <w:ilvl w:val="0"/>
          <w:numId w:val="1"/>
        </w:numPr>
        <w:shd w:val="clear" w:color="auto" w:fill="auto"/>
        <w:tabs>
          <w:tab w:pos="320" w:val="left"/>
        </w:tabs>
        <w:bidi w:val="0"/>
        <w:spacing w:before="0" w:line="240" w:lineRule="auto"/>
        <w:ind w:left="0" w:right="0" w:firstLine="0"/>
        <w:jc w:val="both"/>
        <w:rPr>
          <w:sz w:val="20"/>
          <w:szCs w:val="20"/>
        </w:rPr>
      </w:pPr>
      <w:bookmarkStart w:id="4" w:name="bookmark4"/>
      <w:bookmarkEnd w:id="4"/>
      <w:r>
        <w:rPr>
          <w:spacing w:val="0"/>
          <w:w w:val="100"/>
          <w:position w:val="0"/>
          <w:sz w:val="18"/>
          <w:szCs w:val="18"/>
          <w:lang w:val="en-US" w:eastAsia="en-US" w:bidi="en-US"/>
        </w:rPr>
        <w:t>CKD</w:t>
      </w:r>
      <w:r>
        <w:rPr>
          <w:spacing w:val="0"/>
          <w:w w:val="100"/>
          <w:position w:val="0"/>
          <w:sz w:val="20"/>
          <w:szCs w:val="20"/>
        </w:rPr>
        <w:t>筛查</w:t>
      </w:r>
    </w:p>
    <w:p>
      <w:pPr>
        <w:pStyle w:val="Style2"/>
        <w:keepNext w:val="0"/>
        <w:keepLines w:val="0"/>
        <w:widowControl w:val="0"/>
        <w:shd w:val="clear" w:color="auto" w:fill="auto"/>
        <w:bidi w:val="0"/>
        <w:spacing w:before="0" w:after="0" w:line="338" w:lineRule="exact"/>
        <w:ind w:left="0" w:right="0" w:firstLine="420"/>
        <w:jc w:val="both"/>
      </w:pPr>
      <w:r>
        <w:rPr>
          <w:spacing w:val="0"/>
          <w:w w:val="100"/>
          <w:position w:val="0"/>
          <w:sz w:val="18"/>
          <w:szCs w:val="18"/>
          <w:lang w:val="en-US" w:eastAsia="en-US" w:bidi="en-US"/>
        </w:rPr>
        <w:t>CKD</w:t>
      </w:r>
      <w:r>
        <w:rPr>
          <w:spacing w:val="0"/>
          <w:w w:val="100"/>
          <w:position w:val="0"/>
        </w:rPr>
        <w:t>起病隐匿，往往长期处于无症状阶段，积 极筛査可做到早发现、早治疗，能使病情得到良好 控制，甚至逆转,所以积极筛査</w:t>
      </w:r>
      <w:r>
        <w:rPr>
          <w:spacing w:val="0"/>
          <w:w w:val="100"/>
          <w:position w:val="0"/>
          <w:sz w:val="18"/>
          <w:szCs w:val="18"/>
          <w:lang w:val="en-US" w:eastAsia="en-US" w:bidi="en-US"/>
        </w:rPr>
        <w:t>CKD</w:t>
      </w:r>
      <w:r>
        <w:rPr>
          <w:spacing w:val="0"/>
          <w:w w:val="100"/>
          <w:position w:val="0"/>
        </w:rPr>
        <w:t>意义重大。指 南建议对不同人群采取不同筛査策略。</w:t>
      </w:r>
    </w:p>
    <w:p>
      <w:pPr>
        <w:pStyle w:val="Style2"/>
        <w:keepNext w:val="0"/>
        <w:keepLines w:val="0"/>
        <w:widowControl w:val="0"/>
        <w:shd w:val="clear" w:color="auto" w:fill="auto"/>
        <w:bidi w:val="0"/>
        <w:spacing w:before="0" w:after="0" w:line="338" w:lineRule="exact"/>
        <w:ind w:left="0" w:right="0" w:firstLine="0"/>
        <w:jc w:val="both"/>
      </w:pPr>
      <w:r>
        <w:rPr>
          <w:spacing w:val="0"/>
          <w:w w:val="100"/>
          <w:position w:val="0"/>
          <w:sz w:val="18"/>
          <w:szCs w:val="18"/>
          <w:lang w:val="en-US" w:eastAsia="en-US" w:bidi="en-US"/>
        </w:rPr>
        <w:t>3.1</w:t>
      </w:r>
      <w:r>
        <w:rPr>
          <w:spacing w:val="0"/>
          <w:w w:val="100"/>
          <w:position w:val="0"/>
        </w:rPr>
        <w:t>成年人 成年人每年常规检测</w:t>
      </w:r>
      <w:r>
        <w:rPr>
          <w:spacing w:val="0"/>
          <w:w w:val="100"/>
          <w:position w:val="0"/>
          <w:sz w:val="18"/>
          <w:szCs w:val="18"/>
        </w:rPr>
        <w:t>1</w:t>
      </w:r>
      <w:r>
        <w:rPr>
          <w:spacing w:val="0"/>
          <w:w w:val="100"/>
          <w:position w:val="0"/>
        </w:rPr>
        <w:t>次尿白蛋白 肌酊比值</w:t>
      </w:r>
      <w:r>
        <w:rPr>
          <w:spacing w:val="0"/>
          <w:w w:val="100"/>
          <w:position w:val="0"/>
          <w:sz w:val="18"/>
          <w:szCs w:val="18"/>
          <w:lang w:val="en-US" w:eastAsia="en-US" w:bidi="en-US"/>
        </w:rPr>
        <w:t>（UACR）</w:t>
      </w:r>
      <w:r>
        <w:rPr>
          <w:spacing w:val="0"/>
          <w:w w:val="100"/>
          <w:position w:val="0"/>
        </w:rPr>
        <w:t>和血清肌酊。</w:t>
      </w:r>
    </w:p>
    <w:p>
      <w:pPr>
        <w:pStyle w:val="Style2"/>
        <w:keepNext w:val="0"/>
        <w:keepLines w:val="0"/>
        <w:widowControl w:val="0"/>
        <w:shd w:val="clear" w:color="auto" w:fill="auto"/>
        <w:bidi w:val="0"/>
        <w:spacing w:before="0" w:after="0" w:line="338" w:lineRule="exact"/>
        <w:ind w:left="0" w:right="0" w:firstLine="0"/>
        <w:jc w:val="both"/>
      </w:pPr>
      <w:r>
        <w:rPr>
          <w:spacing w:val="0"/>
          <w:w w:val="100"/>
          <w:position w:val="0"/>
          <w:sz w:val="18"/>
          <w:szCs w:val="18"/>
          <w:lang w:val="en-US" w:eastAsia="en-US" w:bidi="en-US"/>
        </w:rPr>
        <w:t>3.2 CKD</w:t>
      </w:r>
      <w:r>
        <w:rPr>
          <w:spacing w:val="0"/>
          <w:w w:val="100"/>
          <w:position w:val="0"/>
        </w:rPr>
        <w:t>高风险人群 对于</w:t>
      </w:r>
      <w:r>
        <w:rPr>
          <w:spacing w:val="0"/>
          <w:w w:val="100"/>
          <w:position w:val="0"/>
          <w:sz w:val="18"/>
          <w:szCs w:val="18"/>
          <w:lang w:val="en-US" w:eastAsia="en-US" w:bidi="en-US"/>
        </w:rPr>
        <w:t>CKD</w:t>
      </w:r>
      <w:r>
        <w:rPr>
          <w:spacing w:val="0"/>
          <w:w w:val="100"/>
          <w:position w:val="0"/>
        </w:rPr>
        <w:t>高风险人群，应 开展一级预防，每半年开展</w:t>
      </w:r>
      <w:r>
        <w:rPr>
          <w:spacing w:val="0"/>
          <w:w w:val="100"/>
          <w:position w:val="0"/>
          <w:sz w:val="18"/>
          <w:szCs w:val="18"/>
        </w:rPr>
        <w:t>1</w:t>
      </w:r>
      <w:r>
        <w:rPr>
          <w:spacing w:val="0"/>
          <w:w w:val="100"/>
          <w:position w:val="0"/>
        </w:rPr>
        <w:t>次</w:t>
      </w:r>
      <w:r>
        <w:rPr>
          <w:spacing w:val="0"/>
          <w:w w:val="100"/>
          <w:position w:val="0"/>
          <w:sz w:val="18"/>
          <w:szCs w:val="18"/>
          <w:lang w:val="en-US" w:eastAsia="en-US" w:bidi="en-US"/>
        </w:rPr>
        <w:t>CKD</w:t>
      </w:r>
      <w:r>
        <w:rPr>
          <w:spacing w:val="0"/>
          <w:w w:val="100"/>
          <w:position w:val="0"/>
        </w:rPr>
        <w:t>防治知识宣教, 每年至少进行</w:t>
      </w:r>
      <w:r>
        <w:rPr>
          <w:spacing w:val="0"/>
          <w:w w:val="100"/>
          <w:position w:val="0"/>
          <w:sz w:val="18"/>
          <w:szCs w:val="18"/>
        </w:rPr>
        <w:t>1</w:t>
      </w:r>
      <w:r>
        <w:rPr>
          <w:spacing w:val="0"/>
          <w:w w:val="100"/>
          <w:position w:val="0"/>
        </w:rPr>
        <w:t>次</w:t>
      </w:r>
      <w:r>
        <w:rPr>
          <w:spacing w:val="0"/>
          <w:w w:val="100"/>
          <w:position w:val="0"/>
          <w:sz w:val="18"/>
          <w:szCs w:val="18"/>
          <w:lang w:val="en-US" w:eastAsia="en-US" w:bidi="en-US"/>
        </w:rPr>
        <w:t>UACR</w:t>
      </w:r>
      <w:r>
        <w:rPr>
          <w:spacing w:val="0"/>
          <w:w w:val="100"/>
          <w:position w:val="0"/>
        </w:rPr>
        <w:t>和血清肌酊的检测，根据 血肌酊值应用</w:t>
      </w:r>
      <w:r>
        <w:rPr>
          <w:spacing w:val="0"/>
          <w:w w:val="100"/>
          <w:position w:val="0"/>
          <w:sz w:val="18"/>
          <w:szCs w:val="18"/>
          <w:lang w:val="en-US" w:eastAsia="en-US" w:bidi="en-US"/>
        </w:rPr>
        <w:t>CKD</w:t>
      </w:r>
      <w:r>
        <w:rPr>
          <w:spacing w:val="0"/>
          <w:w w:val="100"/>
          <w:position w:val="0"/>
        </w:rPr>
        <w:t>流行病学协作</w:t>
      </w:r>
      <w:r>
        <w:rPr>
          <w:spacing w:val="0"/>
          <w:w w:val="100"/>
          <w:position w:val="0"/>
          <w:sz w:val="18"/>
          <w:szCs w:val="18"/>
          <w:lang w:val="en-US" w:eastAsia="en-US" w:bidi="en-US"/>
        </w:rPr>
        <w:t>（CKD-EPI）</w:t>
      </w:r>
      <w:r>
        <w:rPr>
          <w:spacing w:val="0"/>
          <w:w w:val="100"/>
          <w:position w:val="0"/>
        </w:rPr>
        <w:t>公式 估算</w:t>
      </w:r>
      <w:r>
        <w:rPr>
          <w:spacing w:val="0"/>
          <w:w w:val="100"/>
          <w:position w:val="0"/>
          <w:sz w:val="18"/>
          <w:szCs w:val="18"/>
          <w:lang w:val="en-US" w:eastAsia="en-US" w:bidi="en-US"/>
        </w:rPr>
        <w:t>GFR</w:t>
      </w:r>
      <w:r>
        <w:rPr>
          <w:spacing w:val="0"/>
          <w:w w:val="100"/>
          <w:position w:val="0"/>
          <w:lang w:val="en-US" w:eastAsia="en-US" w:bidi="en-US"/>
        </w:rPr>
        <w:t>。</w:t>
      </w:r>
      <w:r>
        <w:rPr>
          <w:spacing w:val="0"/>
          <w:w w:val="100"/>
          <w:position w:val="0"/>
        </w:rPr>
        <w:t>此处</w:t>
      </w:r>
      <w:r>
        <w:rPr>
          <w:spacing w:val="0"/>
          <w:w w:val="100"/>
          <w:position w:val="0"/>
          <w:sz w:val="18"/>
          <w:szCs w:val="18"/>
          <w:lang w:val="en-US" w:eastAsia="en-US" w:bidi="en-US"/>
        </w:rPr>
        <w:t>CKD</w:t>
      </w:r>
      <w:r>
        <w:rPr>
          <w:spacing w:val="0"/>
          <w:w w:val="100"/>
          <w:position w:val="0"/>
        </w:rPr>
        <w:t>高风险人群包括有肾脏病家 族史、糖尿病、高血压、心血管疾病（</w:t>
      </w:r>
      <w:r>
        <w:rPr>
          <w:spacing w:val="0"/>
          <w:w w:val="100"/>
          <w:position w:val="0"/>
          <w:sz w:val="18"/>
          <w:szCs w:val="18"/>
          <w:lang w:val="en-US" w:eastAsia="en-US" w:bidi="en-US"/>
        </w:rPr>
        <w:t>cardiovascular disease ,CVD</w:t>
      </w:r>
      <w:r>
        <w:rPr>
          <w:spacing w:val="0"/>
          <w:w w:val="100"/>
          <w:position w:val="0"/>
        </w:rPr>
        <w:t>）、高尿酸血症、高龄、肥胖的人群</w:t>
      </w:r>
      <w:r>
        <w:rPr>
          <w:spacing w:val="0"/>
          <w:w w:val="100"/>
          <w:position w:val="0"/>
          <w:sz w:val="18"/>
          <w:szCs w:val="18"/>
        </w:rPr>
        <w:t>，</w:t>
      </w:r>
      <w:r>
        <w:rPr>
          <w:spacing w:val="0"/>
          <w:w w:val="100"/>
          <w:position w:val="0"/>
        </w:rPr>
        <w:t>以及 罹患可能继发</w:t>
      </w:r>
      <w:r>
        <w:rPr>
          <w:spacing w:val="0"/>
          <w:w w:val="100"/>
          <w:position w:val="0"/>
          <w:sz w:val="18"/>
          <w:szCs w:val="18"/>
          <w:lang w:val="en-US" w:eastAsia="en-US" w:bidi="en-US"/>
        </w:rPr>
        <w:t>CKD</w:t>
      </w:r>
      <w:r>
        <w:rPr>
          <w:spacing w:val="0"/>
          <w:w w:val="100"/>
          <w:position w:val="0"/>
        </w:rPr>
        <w:t>的疾病（如系统性红斑狼疮、乙 型病毒性肝炎）、长期服用可能造成肾损害的药物、 有急性肾损伤病史等人群</w:t>
      </w:r>
      <w:r>
        <w:rPr>
          <w:spacing w:val="0"/>
          <w:w w:val="100"/>
          <w:position w:val="0"/>
          <w:lang w:val="en-US" w:eastAsia="en-US" w:bidi="en-US"/>
        </w:rPr>
        <w:t>「E。</w:t>
      </w:r>
    </w:p>
    <w:p>
      <w:pPr>
        <w:pStyle w:val="Style2"/>
        <w:keepNext w:val="0"/>
        <w:keepLines w:val="0"/>
        <w:widowControl w:val="0"/>
        <w:shd w:val="clear" w:color="auto" w:fill="auto"/>
        <w:bidi w:val="0"/>
        <w:spacing w:before="0" w:after="160" w:line="338" w:lineRule="exact"/>
        <w:ind w:left="0" w:right="0" w:firstLine="0"/>
        <w:jc w:val="both"/>
      </w:pPr>
      <w:r>
        <w:rPr>
          <w:spacing w:val="0"/>
          <w:w w:val="100"/>
          <w:position w:val="0"/>
          <w:sz w:val="18"/>
          <w:szCs w:val="18"/>
          <w:lang w:val="en-US" w:eastAsia="en-US" w:bidi="en-US"/>
        </w:rPr>
        <w:t>3.3</w:t>
      </w:r>
      <w:r>
        <w:rPr>
          <w:spacing w:val="0"/>
          <w:w w:val="100"/>
          <w:position w:val="0"/>
        </w:rPr>
        <w:t>高龄、营养不良、肌肉含量低及肝功能障碍者 对于此类人群,以血肌酊估算</w:t>
      </w:r>
      <w:r>
        <w:rPr>
          <w:spacing w:val="0"/>
          <w:w w:val="100"/>
          <w:position w:val="0"/>
          <w:sz w:val="18"/>
          <w:szCs w:val="18"/>
          <w:lang w:val="en-US" w:eastAsia="en-US" w:bidi="en-US"/>
        </w:rPr>
        <w:t>GFR</w:t>
      </w:r>
      <w:r>
        <w:rPr>
          <w:spacing w:val="0"/>
          <w:w w:val="100"/>
          <w:position w:val="0"/>
        </w:rPr>
        <w:t>对于</w:t>
      </w:r>
      <w:r>
        <w:rPr>
          <w:spacing w:val="0"/>
          <w:w w:val="100"/>
          <w:position w:val="0"/>
          <w:sz w:val="18"/>
          <w:szCs w:val="18"/>
          <w:lang w:val="en-US" w:eastAsia="en-US" w:bidi="en-US"/>
        </w:rPr>
        <w:t>CKD</w:t>
      </w:r>
      <w:r>
        <w:rPr>
          <w:spacing w:val="0"/>
          <w:w w:val="100"/>
          <w:position w:val="0"/>
        </w:rPr>
        <w:t>的诊 断和分期不够准确,建议加测胱抑素</w:t>
      </w:r>
      <w:r>
        <w:rPr>
          <w:spacing w:val="0"/>
          <w:w w:val="100"/>
          <w:position w:val="0"/>
          <w:sz w:val="18"/>
          <w:szCs w:val="18"/>
          <w:lang w:val="en-US" w:eastAsia="en-US" w:bidi="en-US"/>
        </w:rPr>
        <w:t>C</w:t>
      </w:r>
      <w:r>
        <w:rPr>
          <w:spacing w:val="0"/>
          <w:w w:val="100"/>
          <w:position w:val="0"/>
        </w:rPr>
        <w:t>，并根据血肌 酊和胱抑素</w:t>
      </w:r>
      <w:r>
        <w:rPr>
          <w:spacing w:val="0"/>
          <w:w w:val="100"/>
          <w:position w:val="0"/>
          <w:sz w:val="18"/>
          <w:szCs w:val="18"/>
          <w:lang w:val="en-US" w:eastAsia="en-US" w:bidi="en-US"/>
        </w:rPr>
        <w:t>C</w:t>
      </w:r>
      <w:r>
        <w:rPr>
          <w:spacing w:val="0"/>
          <w:w w:val="100"/>
          <w:position w:val="0"/>
        </w:rPr>
        <w:t>值应用</w:t>
      </w:r>
      <w:r>
        <w:rPr>
          <w:spacing w:val="0"/>
          <w:w w:val="100"/>
          <w:position w:val="0"/>
          <w:sz w:val="18"/>
          <w:szCs w:val="18"/>
          <w:lang w:val="en-US" w:eastAsia="en-US" w:bidi="en-US"/>
        </w:rPr>
        <w:t>CKD-EPI</w:t>
      </w:r>
      <w:r>
        <w:rPr>
          <w:spacing w:val="0"/>
          <w:w w:val="100"/>
          <w:position w:val="0"/>
        </w:rPr>
        <w:t>公式估算</w:t>
      </w:r>
      <w:r>
        <w:rPr>
          <w:spacing w:val="0"/>
          <w:w w:val="100"/>
          <w:position w:val="0"/>
          <w:sz w:val="18"/>
          <w:szCs w:val="18"/>
          <w:lang w:val="en-US" w:eastAsia="en-US" w:bidi="en-US"/>
        </w:rPr>
        <w:t>GF#"</w:t>
      </w:r>
      <w:r>
        <w:rPr>
          <w:spacing w:val="0"/>
          <w:w w:val="100"/>
          <w:position w:val="0"/>
          <w:lang w:val="en-US" w:eastAsia="en-US" w:bidi="en-US"/>
        </w:rPr>
        <w:t>〕</w:t>
      </w:r>
      <w:r>
        <w:rPr>
          <w:spacing w:val="0"/>
          <w:w w:val="100"/>
          <w:position w:val="0"/>
        </w:rPr>
        <w:t>。</w:t>
      </w:r>
    </w:p>
    <w:p>
      <w:pPr>
        <w:pStyle w:val="Style2"/>
        <w:keepNext w:val="0"/>
        <w:keepLines w:val="0"/>
        <w:widowControl w:val="0"/>
        <w:numPr>
          <w:ilvl w:val="0"/>
          <w:numId w:val="1"/>
        </w:numPr>
        <w:shd w:val="clear" w:color="auto" w:fill="auto"/>
        <w:tabs>
          <w:tab w:pos="320" w:val="left"/>
        </w:tabs>
        <w:bidi w:val="0"/>
        <w:spacing w:before="0" w:after="160" w:line="338" w:lineRule="exact"/>
        <w:ind w:left="0" w:right="0" w:firstLine="0"/>
        <w:jc w:val="both"/>
      </w:pPr>
      <w:bookmarkStart w:id="5" w:name="bookmark5"/>
      <w:bookmarkEnd w:id="5"/>
      <w:r>
        <w:rPr>
          <w:spacing w:val="0"/>
          <w:w w:val="100"/>
          <w:position w:val="0"/>
          <w:sz w:val="18"/>
          <w:szCs w:val="18"/>
          <w:lang w:val="en-US" w:eastAsia="en-US" w:bidi="en-US"/>
        </w:rPr>
        <w:t>CKD</w:t>
      </w:r>
      <w:r>
        <w:rPr>
          <w:spacing w:val="0"/>
          <w:w w:val="100"/>
          <w:position w:val="0"/>
        </w:rPr>
        <w:t>进展评估</w:t>
      </w:r>
    </w:p>
    <w:p>
      <w:pPr>
        <w:pStyle w:val="Style2"/>
        <w:keepNext w:val="0"/>
        <w:keepLines w:val="0"/>
        <w:widowControl w:val="0"/>
        <w:shd w:val="clear" w:color="auto" w:fill="auto"/>
        <w:bidi w:val="0"/>
        <w:spacing w:before="0" w:after="0" w:line="333" w:lineRule="exact"/>
        <w:ind w:left="0" w:right="0" w:firstLine="0"/>
        <w:jc w:val="both"/>
      </w:pPr>
      <w:r>
        <w:rPr>
          <w:spacing w:val="0"/>
          <w:w w:val="100"/>
          <w:position w:val="0"/>
          <w:sz w:val="18"/>
          <w:szCs w:val="18"/>
          <w:lang w:val="en-US" w:eastAsia="en-US" w:bidi="en-US"/>
        </w:rPr>
        <w:t>4.1</w:t>
      </w:r>
      <w:r>
        <w:rPr>
          <w:spacing w:val="0"/>
          <w:w w:val="100"/>
          <w:position w:val="0"/>
        </w:rPr>
        <w:t>评估目的及建议评估的目的 是为制定合理 的治疗方案提供依据。指南建议</w:t>
      </w:r>
      <w:r>
        <w:rPr>
          <w:spacing w:val="0"/>
          <w:w w:val="100"/>
          <w:position w:val="0"/>
          <w:sz w:val="18"/>
          <w:szCs w:val="18"/>
          <w:lang w:val="en-US" w:eastAsia="en-US" w:bidi="en-US"/>
        </w:rPr>
        <w:t>CKD</w:t>
      </w:r>
      <w:r>
        <w:rPr>
          <w:spacing w:val="0"/>
          <w:w w:val="100"/>
          <w:position w:val="0"/>
        </w:rPr>
        <w:t>患者每年至 少检测</w:t>
      </w:r>
      <w:r>
        <w:rPr>
          <w:spacing w:val="0"/>
          <w:w w:val="100"/>
          <w:position w:val="0"/>
          <w:sz w:val="18"/>
          <w:szCs w:val="18"/>
        </w:rPr>
        <w:t>1</w:t>
      </w:r>
      <w:r>
        <w:rPr>
          <w:spacing w:val="0"/>
          <w:w w:val="100"/>
          <w:position w:val="0"/>
        </w:rPr>
        <w:t>次</w:t>
      </w:r>
      <w:r>
        <w:rPr>
          <w:spacing w:val="0"/>
          <w:w w:val="100"/>
          <w:position w:val="0"/>
          <w:sz w:val="18"/>
          <w:szCs w:val="18"/>
          <w:lang w:val="en-US" w:eastAsia="en-US" w:bidi="en-US"/>
        </w:rPr>
        <w:t>eGFR</w:t>
      </w:r>
      <w:r>
        <w:rPr>
          <w:spacing w:val="0"/>
          <w:w w:val="100"/>
          <w:position w:val="0"/>
        </w:rPr>
        <w:t>和</w:t>
      </w:r>
      <w:r>
        <w:rPr>
          <w:spacing w:val="0"/>
          <w:w w:val="100"/>
          <w:position w:val="0"/>
          <w:sz w:val="18"/>
          <w:szCs w:val="18"/>
          <w:lang w:val="en-US" w:eastAsia="en-US" w:bidi="en-US"/>
        </w:rPr>
        <w:t>UACR,</w:t>
      </w:r>
      <w:r>
        <w:rPr>
          <w:spacing w:val="0"/>
          <w:w w:val="100"/>
          <w:position w:val="0"/>
        </w:rPr>
        <w:t>进展风险较高或检测结 果影响治疗方案时，频率应适当增加。指南建议的 监测频率和转诊方式主要是基于</w:t>
      </w:r>
      <w:r>
        <w:rPr>
          <w:spacing w:val="0"/>
          <w:w w:val="100"/>
          <w:position w:val="0"/>
          <w:sz w:val="18"/>
          <w:szCs w:val="18"/>
          <w:lang w:val="en-US" w:eastAsia="en-US" w:bidi="en-US"/>
        </w:rPr>
        <w:t>CKD</w:t>
      </w:r>
      <w:r>
        <w:rPr>
          <w:spacing w:val="0"/>
          <w:w w:val="100"/>
          <w:position w:val="0"/>
        </w:rPr>
        <w:t xml:space="preserve">分期和尿白 蛋白水平，评估包括全因死亡率、心血管病死率、 </w:t>
      </w:r>
      <w:r>
        <w:rPr>
          <w:spacing w:val="0"/>
          <w:w w:val="100"/>
          <w:position w:val="0"/>
          <w:sz w:val="18"/>
          <w:szCs w:val="18"/>
          <w:lang w:val="en-US" w:eastAsia="en-US" w:bidi="en-US"/>
        </w:rPr>
        <w:t>ESKD</w:t>
      </w:r>
      <w:r>
        <w:rPr>
          <w:spacing w:val="0"/>
          <w:w w:val="100"/>
          <w:position w:val="0"/>
          <w:lang w:val="en-US" w:eastAsia="en-US" w:bidi="en-US"/>
        </w:rPr>
        <w:t>、</w:t>
      </w:r>
      <w:r>
        <w:rPr>
          <w:spacing w:val="0"/>
          <w:w w:val="100"/>
          <w:position w:val="0"/>
        </w:rPr>
        <w:t>急性肾损伤等在内的发生风险⑴。</w:t>
      </w:r>
    </w:p>
    <w:p>
      <w:pPr>
        <w:pStyle w:val="Style2"/>
        <w:keepNext w:val="0"/>
        <w:keepLines w:val="0"/>
        <w:widowControl w:val="0"/>
        <w:shd w:val="clear" w:color="auto" w:fill="auto"/>
        <w:bidi w:val="0"/>
        <w:spacing w:before="0" w:after="160" w:line="333" w:lineRule="exact"/>
        <w:ind w:left="0" w:right="0" w:firstLine="0"/>
        <w:jc w:val="both"/>
      </w:pPr>
      <w:r>
        <w:rPr>
          <w:spacing w:val="0"/>
          <w:w w:val="100"/>
          <w:position w:val="0"/>
          <w:sz w:val="18"/>
          <w:szCs w:val="18"/>
          <w:lang w:val="en-US" w:eastAsia="en-US" w:bidi="en-US"/>
        </w:rPr>
        <w:t>4.2</w:t>
      </w:r>
      <w:r>
        <w:rPr>
          <w:spacing w:val="0"/>
          <w:w w:val="100"/>
          <w:position w:val="0"/>
        </w:rPr>
        <w:t>利用模型预测</w:t>
      </w:r>
      <w:r>
        <w:rPr>
          <w:spacing w:val="0"/>
          <w:w w:val="100"/>
          <w:position w:val="0"/>
          <w:sz w:val="18"/>
          <w:szCs w:val="18"/>
          <w:lang w:val="en-US" w:eastAsia="en-US" w:bidi="en-US"/>
        </w:rPr>
        <w:t>CKD</w:t>
      </w:r>
      <w:r>
        <w:rPr>
          <w:spacing w:val="0"/>
          <w:w w:val="100"/>
          <w:position w:val="0"/>
        </w:rPr>
        <w:t xml:space="preserve">进展风险尚缺乏公认有 </w:t>
      </w:r>
      <w:r>
        <w:rPr>
          <w:spacing w:val="0"/>
          <w:w w:val="100"/>
          <w:position w:val="0"/>
        </w:rPr>
        <w:t>效的预测</w:t>
      </w:r>
      <w:r>
        <w:rPr>
          <w:spacing w:val="0"/>
          <w:w w:val="100"/>
          <w:position w:val="0"/>
          <w:sz w:val="18"/>
          <w:szCs w:val="18"/>
          <w:lang w:val="en-US" w:eastAsia="en-US" w:bidi="en-US"/>
        </w:rPr>
        <w:t>CKD</w:t>
      </w:r>
      <w:r>
        <w:rPr>
          <w:spacing w:val="0"/>
          <w:w w:val="100"/>
          <w:position w:val="0"/>
        </w:rPr>
        <w:t>进展的模型。目前常用的模型纳入 年龄、性别、种族、低</w:t>
      </w:r>
      <w:r>
        <w:rPr>
          <w:spacing w:val="0"/>
          <w:w w:val="100"/>
          <w:position w:val="0"/>
          <w:sz w:val="18"/>
          <w:szCs w:val="18"/>
          <w:lang w:val="en-US" w:eastAsia="en-US" w:bidi="en-US"/>
        </w:rPr>
        <w:t>eGFR</w:t>
      </w:r>
      <w:r>
        <w:rPr>
          <w:spacing w:val="0"/>
          <w:w w:val="100"/>
          <w:position w:val="0"/>
        </w:rPr>
        <w:t>水平、</w:t>
      </w:r>
      <w:r>
        <w:rPr>
          <w:spacing w:val="0"/>
          <w:w w:val="100"/>
          <w:position w:val="0"/>
          <w:sz w:val="18"/>
          <w:szCs w:val="18"/>
          <w:lang w:val="en-US" w:eastAsia="en-US" w:bidi="en-US"/>
        </w:rPr>
        <w:t>CVD</w:t>
      </w:r>
      <w:r>
        <w:rPr>
          <w:spacing w:val="0"/>
          <w:w w:val="100"/>
          <w:position w:val="0"/>
        </w:rPr>
        <w:t>史、吸烟史、高 血压、体重指数和</w:t>
      </w:r>
      <w:r>
        <w:rPr>
          <w:spacing w:val="0"/>
          <w:w w:val="100"/>
          <w:position w:val="0"/>
          <w:sz w:val="18"/>
          <w:szCs w:val="18"/>
          <w:lang w:val="en-US" w:eastAsia="en-US" w:bidi="en-US"/>
        </w:rPr>
        <w:t>UACR</w:t>
      </w:r>
      <w:r>
        <w:rPr>
          <w:spacing w:val="0"/>
          <w:w w:val="100"/>
          <w:position w:val="0"/>
        </w:rPr>
        <w:t>水平等参数;对于糖尿病患 者，还包括糖尿病药物、糖化血红蛋白水平団。</w:t>
      </w:r>
    </w:p>
    <w:p>
      <w:pPr>
        <w:pStyle w:val="Style2"/>
        <w:keepNext w:val="0"/>
        <w:keepLines w:val="0"/>
        <w:widowControl w:val="0"/>
        <w:shd w:val="clear" w:color="auto" w:fill="auto"/>
        <w:bidi w:val="0"/>
        <w:spacing w:before="0" w:after="160" w:line="335" w:lineRule="exact"/>
        <w:ind w:left="0" w:right="0" w:firstLine="0"/>
        <w:jc w:val="both"/>
      </w:pPr>
      <w:r>
        <w:rPr>
          <w:spacing w:val="0"/>
          <w:w w:val="100"/>
          <w:position w:val="0"/>
          <w:sz w:val="18"/>
          <w:szCs w:val="18"/>
        </w:rPr>
        <w:t xml:space="preserve">5 </w:t>
      </w:r>
      <w:r>
        <w:rPr>
          <w:spacing w:val="0"/>
          <w:w w:val="100"/>
          <w:position w:val="0"/>
          <w:sz w:val="18"/>
          <w:szCs w:val="18"/>
          <w:lang w:val="en-US" w:eastAsia="en-US" w:bidi="en-US"/>
        </w:rPr>
        <w:t>CKD</w:t>
      </w:r>
      <w:r>
        <w:rPr>
          <w:spacing w:val="0"/>
          <w:w w:val="100"/>
          <w:position w:val="0"/>
        </w:rPr>
        <w:t>进展防治</w:t>
      </w:r>
    </w:p>
    <w:p>
      <w:pPr>
        <w:pStyle w:val="Style2"/>
        <w:keepNext w:val="0"/>
        <w:keepLines w:val="0"/>
        <w:widowControl w:val="0"/>
        <w:shd w:val="clear" w:color="auto" w:fill="auto"/>
        <w:bidi w:val="0"/>
        <w:spacing w:before="0" w:after="0" w:line="335" w:lineRule="exact"/>
        <w:ind w:left="0" w:right="0" w:firstLine="0"/>
        <w:jc w:val="both"/>
      </w:pPr>
      <w:r>
        <w:rPr>
          <w:spacing w:val="0"/>
          <w:w w:val="100"/>
          <w:position w:val="0"/>
          <w:sz w:val="18"/>
          <w:szCs w:val="18"/>
          <w:lang w:val="en-US" w:eastAsia="en-US" w:bidi="en-US"/>
        </w:rPr>
        <w:t>5.1</w:t>
      </w:r>
      <w:r>
        <w:rPr>
          <w:spacing w:val="0"/>
          <w:w w:val="100"/>
          <w:position w:val="0"/>
        </w:rPr>
        <w:t>生活方式调整指南建议</w:t>
      </w:r>
      <w:r>
        <w:rPr>
          <w:spacing w:val="0"/>
          <w:w w:val="100"/>
          <w:position w:val="0"/>
          <w:sz w:val="18"/>
          <w:szCs w:val="18"/>
          <w:lang w:val="en-US" w:eastAsia="en-US" w:bidi="en-US"/>
        </w:rPr>
        <w:t>CKD</w:t>
      </w:r>
      <w:r>
        <w:rPr>
          <w:spacing w:val="0"/>
          <w:w w:val="100"/>
          <w:position w:val="0"/>
        </w:rPr>
        <w:t>患者在医师指 导下参加能够耐受的体育锻炼，维持</w:t>
      </w:r>
      <w:r>
        <w:rPr>
          <w:spacing w:val="0"/>
          <w:w w:val="100"/>
          <w:position w:val="0"/>
          <w:sz w:val="18"/>
          <w:szCs w:val="18"/>
          <w:lang w:val="en-US" w:eastAsia="en-US" w:bidi="en-US"/>
        </w:rPr>
        <w:t>BMI</w:t>
      </w:r>
      <w:r>
        <w:rPr>
          <w:spacing w:val="0"/>
          <w:w w:val="100"/>
          <w:position w:val="0"/>
        </w:rPr>
        <w:t>在</w:t>
      </w:r>
      <w:r>
        <w:rPr>
          <w:spacing w:val="0"/>
          <w:w w:val="100"/>
          <w:position w:val="0"/>
          <w:sz w:val="18"/>
          <w:szCs w:val="18"/>
        </w:rPr>
        <w:t>18.5~ 24,</w:t>
      </w:r>
      <w:r>
        <w:rPr>
          <w:spacing w:val="0"/>
          <w:w w:val="100"/>
          <w:position w:val="0"/>
        </w:rPr>
        <w:t>吸烟是</w:t>
      </w:r>
      <w:r>
        <w:rPr>
          <w:spacing w:val="0"/>
          <w:w w:val="100"/>
          <w:position w:val="0"/>
          <w:sz w:val="18"/>
          <w:szCs w:val="18"/>
          <w:lang w:val="en-US" w:eastAsia="en-US" w:bidi="en-US"/>
        </w:rPr>
        <w:t>CKD</w:t>
      </w:r>
      <w:r>
        <w:rPr>
          <w:spacing w:val="0"/>
          <w:w w:val="100"/>
          <w:position w:val="0"/>
        </w:rPr>
        <w:t>的危险因素，建议</w:t>
      </w:r>
      <w:r>
        <w:rPr>
          <w:spacing w:val="0"/>
          <w:w w:val="100"/>
          <w:position w:val="0"/>
          <w:sz w:val="18"/>
          <w:szCs w:val="18"/>
          <w:lang w:val="en-US" w:eastAsia="en-US" w:bidi="en-US"/>
        </w:rPr>
        <w:t>CKD</w:t>
      </w:r>
      <w:r>
        <w:rPr>
          <w:spacing w:val="0"/>
          <w:w w:val="100"/>
          <w:position w:val="0"/>
        </w:rPr>
        <w:t xml:space="preserve">患者戒烟。 </w:t>
      </w:r>
      <w:r>
        <w:rPr>
          <w:spacing w:val="0"/>
          <w:w w:val="100"/>
          <w:position w:val="0"/>
          <w:sz w:val="18"/>
          <w:szCs w:val="18"/>
          <w:lang w:val="en-US" w:eastAsia="en-US" w:bidi="en-US"/>
        </w:rPr>
        <w:t>5.2</w:t>
      </w:r>
      <w:r>
        <w:rPr>
          <w:spacing w:val="0"/>
          <w:w w:val="100"/>
          <w:position w:val="0"/>
        </w:rPr>
        <w:t>营养治疗加强对</w:t>
      </w:r>
      <w:r>
        <w:rPr>
          <w:spacing w:val="0"/>
          <w:w w:val="100"/>
          <w:position w:val="0"/>
          <w:sz w:val="18"/>
          <w:szCs w:val="18"/>
          <w:lang w:val="en-US" w:eastAsia="en-US" w:bidi="en-US"/>
        </w:rPr>
        <w:t>CKD</w:t>
      </w:r>
      <w:r>
        <w:rPr>
          <w:spacing w:val="0"/>
          <w:w w:val="100"/>
          <w:position w:val="0"/>
        </w:rPr>
        <w:t>患者的营养健康教 育。</w:t>
      </w:r>
      <w:r>
        <w:rPr>
          <w:spacing w:val="0"/>
          <w:w w:val="100"/>
          <w:position w:val="0"/>
          <w:sz w:val="18"/>
          <w:szCs w:val="18"/>
          <w:lang w:val="en-US" w:eastAsia="en-US" w:bidi="en-US"/>
        </w:rPr>
        <w:t>CKD</w:t>
      </w:r>
      <w:r>
        <w:rPr>
          <w:spacing w:val="0"/>
          <w:w w:val="100"/>
          <w:position w:val="0"/>
        </w:rPr>
        <w:t>尤其是合并蛋白尿患者原则上宜减少饮 食蛋白质，同时控制能量及钠的摄入，实施低蛋白 饮食治疗时，必要情况下可补充复方</w:t>
      </w:r>
      <w:r>
        <w:rPr>
          <w:spacing w:val="0"/>
          <w:w w:val="100"/>
          <w:position w:val="0"/>
          <w:sz w:val="18"/>
          <w:szCs w:val="18"/>
          <w:lang w:val="en-US" w:eastAsia="en-US" w:bidi="en-US"/>
        </w:rPr>
        <w:t>a</w:t>
      </w:r>
      <w:r>
        <w:rPr>
          <w:spacing w:val="0"/>
          <w:w w:val="100"/>
          <w:position w:val="0"/>
        </w:rPr>
        <w:t>酮酸宀可。推 荐饮食方案时,应考虑到文化差异、食物是否耐受、 是否容易获得、烹饪技巧、并发症和经济成本等。</w:t>
      </w:r>
    </w:p>
    <w:p>
      <w:pPr>
        <w:pStyle w:val="Style2"/>
        <w:keepNext w:val="0"/>
        <w:keepLines w:val="0"/>
        <w:widowControl w:val="0"/>
        <w:shd w:val="clear" w:color="auto" w:fill="auto"/>
        <w:bidi w:val="0"/>
        <w:spacing w:before="0" w:after="0" w:line="335" w:lineRule="exact"/>
        <w:ind w:left="0" w:right="0" w:firstLine="0"/>
        <w:jc w:val="both"/>
      </w:pPr>
      <w:r>
        <w:rPr>
          <w:spacing w:val="0"/>
          <w:w w:val="100"/>
          <w:position w:val="0"/>
          <w:sz w:val="18"/>
          <w:szCs w:val="18"/>
          <w:lang w:val="en-US" w:eastAsia="en-US" w:bidi="en-US"/>
        </w:rPr>
        <w:t>5.3</w:t>
      </w:r>
      <w:r>
        <w:rPr>
          <w:spacing w:val="0"/>
          <w:w w:val="100"/>
          <w:position w:val="0"/>
        </w:rPr>
        <w:t>控制蛋白尿过多蛋白质经肾小球滤过及肾 小管重吸收，可损伤肾小球滤过膜和肾小管细胞， 促进肾小球硬化和肾小管间质纤维化，因此控制蛋 白尿是延缓</w:t>
      </w:r>
      <w:r>
        <w:rPr>
          <w:spacing w:val="0"/>
          <w:w w:val="100"/>
          <w:position w:val="0"/>
          <w:sz w:val="18"/>
          <w:szCs w:val="18"/>
          <w:lang w:val="en-US" w:eastAsia="en-US" w:bidi="en-US"/>
        </w:rPr>
        <w:t>CKD</w:t>
      </w:r>
      <w:r>
        <w:rPr>
          <w:spacing w:val="0"/>
          <w:w w:val="100"/>
          <w:position w:val="0"/>
        </w:rPr>
        <w:t>进展的重要治疗措施。</w:t>
      </w:r>
    </w:p>
    <w:p>
      <w:pPr>
        <w:pStyle w:val="Style2"/>
        <w:keepNext w:val="0"/>
        <w:keepLines w:val="0"/>
        <w:widowControl w:val="0"/>
        <w:shd w:val="clear" w:color="auto" w:fill="auto"/>
        <w:bidi w:val="0"/>
        <w:spacing w:before="0" w:after="0" w:line="335" w:lineRule="exact"/>
        <w:ind w:left="0" w:right="0" w:firstLine="420"/>
        <w:jc w:val="both"/>
      </w:pPr>
      <w:r>
        <w:rPr>
          <w:spacing w:val="0"/>
          <w:w w:val="100"/>
          <w:position w:val="0"/>
        </w:rPr>
        <w:t>尿中蛋白质或白蛋白有多种检测方法，由于测 定</w:t>
      </w:r>
      <w:r>
        <w:rPr>
          <w:spacing w:val="0"/>
          <w:w w:val="100"/>
          <w:position w:val="0"/>
          <w:sz w:val="18"/>
          <w:szCs w:val="18"/>
          <w:lang w:val="en-US" w:eastAsia="en-US" w:bidi="en-US"/>
        </w:rPr>
        <w:t>UACR</w:t>
      </w:r>
      <w:r>
        <w:rPr>
          <w:spacing w:val="0"/>
          <w:w w:val="100"/>
          <w:position w:val="0"/>
        </w:rPr>
        <w:t>方法准确,重复性好,指南推荐以</w:t>
      </w:r>
      <w:r>
        <w:rPr>
          <w:spacing w:val="0"/>
          <w:w w:val="100"/>
          <w:position w:val="0"/>
          <w:sz w:val="18"/>
          <w:szCs w:val="18"/>
          <w:lang w:val="en-US" w:eastAsia="en-US" w:bidi="en-US"/>
        </w:rPr>
        <w:t>UACR</w:t>
      </w:r>
      <w:r>
        <w:rPr>
          <w:spacing w:val="0"/>
          <w:w w:val="100"/>
          <w:position w:val="0"/>
        </w:rPr>
        <w:t>作 为</w:t>
      </w:r>
      <w:r>
        <w:rPr>
          <w:spacing w:val="0"/>
          <w:w w:val="100"/>
          <w:position w:val="0"/>
          <w:sz w:val="18"/>
          <w:szCs w:val="18"/>
          <w:lang w:val="en-US" w:eastAsia="en-US" w:bidi="en-US"/>
        </w:rPr>
        <w:t>CKD</w:t>
      </w:r>
      <w:r>
        <w:rPr>
          <w:spacing w:val="0"/>
          <w:w w:val="100"/>
          <w:position w:val="0"/>
        </w:rPr>
        <w:t xml:space="preserve">筛査和随访的指标。糖尿病肾脏疾病 </w:t>
      </w:r>
      <w:r>
        <w:rPr>
          <w:spacing w:val="0"/>
          <w:w w:val="100"/>
          <w:position w:val="0"/>
          <w:sz w:val="18"/>
          <w:szCs w:val="18"/>
        </w:rPr>
        <w:t>（</w:t>
      </w:r>
      <w:r>
        <w:rPr>
          <w:spacing w:val="0"/>
          <w:w w:val="100"/>
          <w:position w:val="0"/>
          <w:sz w:val="18"/>
          <w:szCs w:val="18"/>
          <w:lang w:val="en-US" w:eastAsia="en-US" w:bidi="en-US"/>
        </w:rPr>
        <w:t>diabetic kidney disease</w:t>
      </w:r>
      <w:r>
        <w:rPr>
          <w:spacing w:val="0"/>
          <w:w w:val="100"/>
          <w:position w:val="0"/>
          <w:sz w:val="18"/>
          <w:szCs w:val="18"/>
        </w:rPr>
        <w:t xml:space="preserve">, </w:t>
      </w:r>
      <w:r>
        <w:rPr>
          <w:spacing w:val="0"/>
          <w:w w:val="100"/>
          <w:position w:val="0"/>
          <w:sz w:val="18"/>
          <w:szCs w:val="18"/>
          <w:lang w:val="en-US" w:eastAsia="en-US" w:bidi="en-US"/>
        </w:rPr>
        <w:t>DKD）</w:t>
      </w:r>
      <w:r>
        <w:rPr>
          <w:spacing w:val="0"/>
          <w:w w:val="100"/>
          <w:position w:val="0"/>
        </w:rPr>
        <w:t>患者尿蛋白控制目标 为</w:t>
      </w:r>
      <w:r>
        <w:rPr>
          <w:spacing w:val="0"/>
          <w:w w:val="100"/>
          <w:position w:val="0"/>
          <w:sz w:val="18"/>
          <w:szCs w:val="18"/>
          <w:lang w:val="en-US" w:eastAsia="en-US" w:bidi="en-US"/>
        </w:rPr>
        <w:t>UACR&lt;30 mg/g,</w:t>
      </w:r>
      <w:r>
        <w:rPr>
          <w:spacing w:val="0"/>
          <w:w w:val="100"/>
          <w:position w:val="0"/>
        </w:rPr>
        <w:t xml:space="preserve">非糖尿病患者尿蛋白控制目标为 </w:t>
      </w:r>
      <w:r>
        <w:rPr>
          <w:spacing w:val="0"/>
          <w:w w:val="100"/>
          <w:position w:val="0"/>
          <w:sz w:val="18"/>
          <w:szCs w:val="18"/>
          <w:lang w:val="en-US" w:eastAsia="en-US" w:bidi="en-US"/>
        </w:rPr>
        <w:t>UACR&lt;300 mg/g</w:t>
      </w:r>
      <w:r>
        <w:rPr>
          <w:spacing w:val="0"/>
          <w:w w:val="100"/>
          <w:position w:val="0"/>
          <w:sz w:val="18"/>
          <w:szCs w:val="18"/>
          <w:vertAlign w:val="superscript"/>
          <w:lang w:val="en-US" w:eastAsia="en-US" w:bidi="en-US"/>
        </w:rPr>
        <w:t>m</w:t>
      </w:r>
      <w:r>
        <w:rPr>
          <w:spacing w:val="0"/>
          <w:w w:val="100"/>
          <w:position w:val="0"/>
          <w:sz w:val="18"/>
          <w:szCs w:val="18"/>
          <w:vertAlign w:val="subscript"/>
          <w:lang w:val="en-US" w:eastAsia="en-US" w:bidi="en-US"/>
        </w:rPr>
        <w:t>o</w:t>
      </w:r>
      <w:r>
        <w:rPr>
          <w:spacing w:val="0"/>
          <w:w w:val="100"/>
          <w:position w:val="0"/>
        </w:rPr>
        <w:t>指南推荐根据</w:t>
      </w:r>
      <w:r>
        <w:rPr>
          <w:spacing w:val="0"/>
          <w:w w:val="100"/>
          <w:position w:val="0"/>
          <w:sz w:val="18"/>
          <w:szCs w:val="18"/>
          <w:lang w:val="en-US" w:eastAsia="en-US" w:bidi="en-US"/>
        </w:rPr>
        <w:t>UACR</w:t>
      </w:r>
      <w:r>
        <w:rPr>
          <w:spacing w:val="0"/>
          <w:w w:val="100"/>
          <w:position w:val="0"/>
        </w:rPr>
        <w:t>水平，使用 血管紧张素转化酶抑制剂</w:t>
      </w:r>
      <w:r>
        <w:rPr>
          <w:spacing w:val="0"/>
          <w:w w:val="100"/>
          <w:position w:val="0"/>
          <w:sz w:val="18"/>
          <w:szCs w:val="18"/>
          <w:lang w:val="en-US" w:eastAsia="en-US" w:bidi="en-US"/>
        </w:rPr>
        <w:t>（ACEI）</w:t>
      </w:r>
      <w:r>
        <w:rPr>
          <w:spacing w:val="0"/>
          <w:w w:val="100"/>
          <w:position w:val="0"/>
        </w:rPr>
        <w:t>、血管紧张素</w:t>
      </w:r>
      <w:r>
        <w:rPr>
          <w:spacing w:val="0"/>
          <w:w w:val="100"/>
          <w:position w:val="0"/>
          <w:sz w:val="18"/>
          <w:szCs w:val="18"/>
          <w:lang w:val="en-US" w:eastAsia="en-US" w:bidi="en-US"/>
        </w:rPr>
        <w:t>H</w:t>
      </w:r>
      <w:r>
        <w:rPr>
          <w:spacing w:val="0"/>
          <w:w w:val="100"/>
          <w:position w:val="0"/>
        </w:rPr>
        <w:t>受 体阻滞剂</w:t>
      </w:r>
      <w:r>
        <w:rPr>
          <w:spacing w:val="0"/>
          <w:w w:val="100"/>
          <w:position w:val="0"/>
          <w:sz w:val="18"/>
          <w:szCs w:val="18"/>
          <w:lang w:val="en-US" w:eastAsia="en-US" w:bidi="en-US"/>
        </w:rPr>
        <w:t>（ARB）</w:t>
      </w:r>
      <w:r>
        <w:rPr>
          <w:spacing w:val="0"/>
          <w:w w:val="100"/>
          <w:position w:val="0"/>
        </w:rPr>
        <w:t>或盐皮质激素受体拮抗剂</w:t>
      </w:r>
      <w:r>
        <w:rPr>
          <w:spacing w:val="0"/>
          <w:w w:val="100"/>
          <w:position w:val="0"/>
          <w:sz w:val="18"/>
          <w:szCs w:val="18"/>
          <w:lang w:val="en-US" w:eastAsia="en-US" w:bidi="en-US"/>
        </w:rPr>
        <w:t xml:space="preserve">（MRA） </w:t>
      </w:r>
      <w:r>
        <w:rPr>
          <w:spacing w:val="0"/>
          <w:w w:val="100"/>
          <w:position w:val="0"/>
        </w:rPr>
        <w:t>减少蛋白尿，但不推荐联合应用</w:t>
      </w:r>
      <w:r>
        <w:rPr>
          <w:spacing w:val="0"/>
          <w:w w:val="100"/>
          <w:position w:val="0"/>
          <w:sz w:val="18"/>
          <w:szCs w:val="18"/>
          <w:lang w:val="en-US" w:eastAsia="en-US" w:bidi="en-US"/>
        </w:rPr>
        <w:t>ACEI</w:t>
      </w:r>
      <w:r>
        <w:rPr>
          <w:spacing w:val="0"/>
          <w:w w:val="100"/>
          <w:position w:val="0"/>
        </w:rPr>
        <w:t>和</w:t>
      </w:r>
      <w:r>
        <w:rPr>
          <w:spacing w:val="0"/>
          <w:w w:val="100"/>
          <w:position w:val="0"/>
          <w:sz w:val="18"/>
          <w:szCs w:val="18"/>
          <w:lang w:val="en-US" w:eastAsia="en-US" w:bidi="en-US"/>
        </w:rPr>
        <w:t>ARB</w:t>
      </w:r>
      <w:r>
        <w:rPr>
          <w:spacing w:val="0"/>
          <w:w w:val="100"/>
          <w:position w:val="0"/>
          <w:sz w:val="18"/>
          <w:szCs w:val="18"/>
          <w:vertAlign w:val="superscript"/>
          <w:lang w:val="en-US" w:eastAsia="en-US" w:bidi="en-US"/>
        </w:rPr>
        <w:t>[II]</w:t>
      </w:r>
      <w:r>
        <w:rPr>
          <w:spacing w:val="0"/>
          <w:w w:val="100"/>
          <w:position w:val="0"/>
          <w:sz w:val="18"/>
          <w:szCs w:val="18"/>
          <w:vertAlign w:val="subscript"/>
          <w:lang w:val="en-US" w:eastAsia="en-US" w:bidi="en-US"/>
        </w:rPr>
        <w:t xml:space="preserve">C </w:t>
      </w:r>
      <w:r>
        <w:rPr>
          <w:spacing w:val="0"/>
          <w:w w:val="100"/>
          <w:position w:val="0"/>
        </w:rPr>
        <w:t>使用时注意有无双侧肾动脉狭窄、监测</w:t>
      </w:r>
      <w:r>
        <w:rPr>
          <w:spacing w:val="0"/>
          <w:w w:val="100"/>
          <w:position w:val="0"/>
          <w:sz w:val="18"/>
          <w:szCs w:val="18"/>
          <w:lang w:val="en-US" w:eastAsia="en-US" w:bidi="en-US"/>
        </w:rPr>
        <w:t>eGFR</w:t>
      </w:r>
      <w:r>
        <w:rPr>
          <w:spacing w:val="0"/>
          <w:w w:val="100"/>
          <w:position w:val="0"/>
        </w:rPr>
        <w:t>和血 清钾浓度。需注意的是</w:t>
      </w:r>
      <w:r>
        <w:rPr>
          <w:spacing w:val="0"/>
          <w:w w:val="100"/>
          <w:position w:val="0"/>
          <w:sz w:val="18"/>
          <w:szCs w:val="18"/>
          <w:lang w:val="en-US" w:eastAsia="en-US" w:bidi="en-US"/>
        </w:rPr>
        <w:t>eGFR&lt;30 mL/</w:t>
      </w:r>
      <w:r>
        <w:rPr>
          <w:spacing w:val="0"/>
          <w:w w:val="100"/>
          <w:position w:val="0"/>
          <w:sz w:val="18"/>
          <w:szCs w:val="18"/>
        </w:rPr>
        <w:t>（</w:t>
      </w:r>
      <w:r>
        <w:rPr>
          <w:spacing w:val="0"/>
          <w:w w:val="100"/>
          <w:position w:val="0"/>
          <w:sz w:val="18"/>
          <w:szCs w:val="18"/>
          <w:lang w:val="en-US" w:eastAsia="en-US" w:bidi="en-US"/>
        </w:rPr>
        <w:t xml:space="preserve">min• </w:t>
      </w:r>
      <w:r>
        <w:rPr>
          <w:spacing w:val="0"/>
          <w:w w:val="100"/>
          <w:position w:val="0"/>
          <w:sz w:val="18"/>
          <w:szCs w:val="18"/>
        </w:rPr>
        <w:t>1</w:t>
      </w:r>
      <w:r>
        <w:rPr>
          <w:spacing w:val="0"/>
          <w:w w:val="100"/>
          <w:position w:val="0"/>
          <w:sz w:val="18"/>
          <w:szCs w:val="18"/>
          <w:lang w:val="en-US" w:eastAsia="en-US" w:bidi="en-US"/>
        </w:rPr>
        <w:t>.73 m</w:t>
      </w:r>
      <w:r>
        <w:rPr>
          <w:spacing w:val="0"/>
          <w:w w:val="100"/>
          <w:position w:val="0"/>
          <w:sz w:val="18"/>
          <w:szCs w:val="18"/>
          <w:vertAlign w:val="superscript"/>
          <w:lang w:val="en-US" w:eastAsia="en-US" w:bidi="en-US"/>
        </w:rPr>
        <w:t>2</w:t>
      </w:r>
      <w:r>
        <w:rPr>
          <w:spacing w:val="0"/>
          <w:w w:val="100"/>
          <w:position w:val="0"/>
          <w:sz w:val="18"/>
          <w:szCs w:val="18"/>
        </w:rPr>
        <w:t xml:space="preserve">） </w:t>
      </w:r>
      <w:r>
        <w:rPr>
          <w:spacing w:val="0"/>
          <w:w w:val="100"/>
          <w:position w:val="0"/>
        </w:rPr>
        <w:t>并非停用此类药物的绝对指征皿。</w:t>
      </w:r>
    </w:p>
    <w:p>
      <w:pPr>
        <w:pStyle w:val="Style2"/>
        <w:keepNext w:val="0"/>
        <w:keepLines w:val="0"/>
        <w:widowControl w:val="0"/>
        <w:shd w:val="clear" w:color="auto" w:fill="auto"/>
        <w:bidi w:val="0"/>
        <w:spacing w:before="0" w:after="0" w:line="337" w:lineRule="exact"/>
        <w:ind w:left="0" w:right="0" w:firstLine="420"/>
        <w:jc w:val="both"/>
      </w:pPr>
      <w:r>
        <w:rPr>
          <w:spacing w:val="0"/>
          <w:w w:val="100"/>
          <w:position w:val="0"/>
        </w:rPr>
        <w:t>应用糖皮质激素及免疫抑制剂时应根据肾脏 病的病理类型和蛋白尿程度，结合患者性别、年龄、 体重、生育要求、有无相关药物使用禁忌证及个人 意愿等，个体化地制定治疗方案，同时注意监测和 防治相关药物的副反应。</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5.4</w:t>
      </w:r>
      <w:r>
        <w:rPr>
          <w:spacing w:val="0"/>
          <w:w w:val="100"/>
          <w:position w:val="0"/>
        </w:rPr>
        <w:t xml:space="preserve">控制血压指南强调规范测量血压,并根据 </w:t>
      </w:r>
      <w:r>
        <w:rPr>
          <w:spacing w:val="0"/>
          <w:w w:val="100"/>
          <w:position w:val="0"/>
          <w:sz w:val="18"/>
          <w:szCs w:val="18"/>
          <w:lang w:val="en-US" w:eastAsia="en-US" w:bidi="en-US"/>
        </w:rPr>
        <w:t>UACR</w:t>
      </w:r>
      <w:r>
        <w:rPr>
          <w:spacing w:val="0"/>
          <w:w w:val="100"/>
          <w:position w:val="0"/>
        </w:rPr>
        <w:t>水平设定血压控制目标值：</w:t>
      </w:r>
      <w:r>
        <w:rPr>
          <w:spacing w:val="0"/>
          <w:w w:val="100"/>
          <w:position w:val="0"/>
          <w:sz w:val="18"/>
          <w:szCs w:val="18"/>
          <w:lang w:val="en-US" w:eastAsia="en-US" w:bidi="en-US"/>
        </w:rPr>
        <w:t xml:space="preserve">UACRW30 mg/g </w:t>
      </w:r>
      <w:r>
        <w:rPr>
          <w:spacing w:val="0"/>
          <w:w w:val="100"/>
          <w:position w:val="0"/>
        </w:rPr>
        <w:t>时</w:t>
      </w:r>
      <w:r>
        <w:rPr>
          <w:spacing w:val="0"/>
          <w:w w:val="100"/>
          <w:position w:val="0"/>
          <w:sz w:val="18"/>
          <w:szCs w:val="18"/>
        </w:rPr>
        <w:t>，</w:t>
      </w:r>
      <w:r>
        <w:rPr>
          <w:spacing w:val="0"/>
          <w:w w:val="100"/>
          <w:position w:val="0"/>
        </w:rPr>
        <w:t>维持血压</w:t>
      </w:r>
      <w:r>
        <w:rPr>
          <w:spacing w:val="0"/>
          <w:w w:val="100"/>
          <w:position w:val="0"/>
          <w:sz w:val="18"/>
          <w:szCs w:val="18"/>
          <w:lang w:val="en-US" w:eastAsia="en-US" w:bidi="en-US"/>
        </w:rPr>
        <w:t>W140/90 mmHg</w:t>
      </w:r>
      <w:r>
        <w:rPr>
          <w:spacing w:val="0"/>
          <w:w w:val="100"/>
          <w:position w:val="0"/>
          <w:sz w:val="18"/>
          <w:szCs w:val="18"/>
        </w:rPr>
        <w:t xml:space="preserve">（1 </w:t>
      </w:r>
      <w:r>
        <w:rPr>
          <w:spacing w:val="0"/>
          <w:w w:val="100"/>
          <w:position w:val="0"/>
          <w:sz w:val="18"/>
          <w:szCs w:val="18"/>
          <w:lang w:val="en-US" w:eastAsia="en-US" w:bidi="en-US"/>
        </w:rPr>
        <w:t>mmHg=0.133 kPa）</w:t>
      </w:r>
      <w:r>
        <w:rPr>
          <w:spacing w:val="0"/>
          <w:w w:val="100"/>
          <w:position w:val="0"/>
          <w:sz w:val="18"/>
          <w:szCs w:val="18"/>
        </w:rPr>
        <w:t xml:space="preserve">; </w:t>
      </w:r>
      <w:r>
        <w:rPr>
          <w:spacing w:val="0"/>
          <w:w w:val="100"/>
          <w:position w:val="0"/>
          <w:sz w:val="18"/>
          <w:szCs w:val="18"/>
          <w:lang w:val="en-US" w:eastAsia="en-US" w:bidi="en-US"/>
        </w:rPr>
        <w:t xml:space="preserve">UACR&gt;30 mg/g </w:t>
      </w:r>
      <w:r>
        <w:rPr>
          <w:spacing w:val="0"/>
          <w:w w:val="100"/>
          <w:position w:val="0"/>
        </w:rPr>
        <w:t>时，控制血压</w:t>
      </w:r>
      <w:r>
        <w:rPr>
          <w:spacing w:val="0"/>
          <w:w w:val="100"/>
          <w:position w:val="0"/>
          <w:sz w:val="18"/>
          <w:szCs w:val="18"/>
          <w:lang w:val="en-US" w:eastAsia="en-US" w:bidi="en-US"/>
        </w:rPr>
        <w:t>W</w:t>
      </w:r>
      <w:r>
        <w:rPr>
          <w:spacing w:val="0"/>
          <w:w w:val="100"/>
          <w:position w:val="0"/>
          <w:sz w:val="18"/>
          <w:szCs w:val="18"/>
        </w:rPr>
        <w:t xml:space="preserve">130/80 </w:t>
      </w:r>
      <w:r>
        <w:rPr>
          <w:spacing w:val="0"/>
          <w:w w:val="100"/>
          <w:position w:val="0"/>
          <w:sz w:val="18"/>
          <w:szCs w:val="18"/>
          <w:lang w:val="en-US" w:eastAsia="en-US" w:bidi="en-US"/>
        </w:rPr>
        <w:t>mmHg</w:t>
      </w:r>
      <w:r>
        <w:rPr>
          <w:spacing w:val="0"/>
          <w:w w:val="100"/>
          <w:position w:val="0"/>
          <w:sz w:val="18"/>
          <w:szCs w:val="18"/>
          <w:vertAlign w:val="superscript"/>
          <w:lang w:val="en-US" w:eastAsia="en-US" w:bidi="en-US"/>
        </w:rPr>
        <w:t>[2 l31</w:t>
      </w:r>
      <w:r>
        <w:rPr>
          <w:spacing w:val="0"/>
          <w:w w:val="100"/>
          <w:position w:val="0"/>
          <w:sz w:val="18"/>
          <w:szCs w:val="18"/>
          <w:vertAlign w:val="subscript"/>
          <w:lang w:val="en-US" w:eastAsia="en-US" w:bidi="en-US"/>
        </w:rPr>
        <w:t>o</w:t>
      </w:r>
      <w:r>
        <w:rPr>
          <w:spacing w:val="0"/>
          <w:w w:val="100"/>
          <w:position w:val="0"/>
          <w:sz w:val="18"/>
          <w:szCs w:val="18"/>
          <w:lang w:val="en-US" w:eastAsia="en-US" w:bidi="en-US"/>
        </w:rPr>
        <w:t xml:space="preserve"> </w:t>
      </w:r>
      <w:r>
        <w:rPr>
          <w:spacing w:val="0"/>
          <w:w w:val="100"/>
          <w:position w:val="0"/>
        </w:rPr>
        <w:t xml:space="preserve">选 择降压药物种类也要兼顾有无合并蛋白尿，为提高 血压达标率,推荐使用单片复方制剂或组合制剂， </w:t>
      </w:r>
      <w:r>
        <w:rPr>
          <w:spacing w:val="0"/>
          <w:w w:val="100"/>
          <w:position w:val="0"/>
        </w:rPr>
        <w:t>严重高血压者可选择</w:t>
      </w:r>
      <w:r>
        <w:rPr>
          <w:spacing w:val="0"/>
          <w:w w:val="100"/>
          <w:position w:val="0"/>
          <w:sz w:val="18"/>
          <w:szCs w:val="18"/>
        </w:rPr>
        <w:t>3</w:t>
      </w:r>
      <w:r>
        <w:rPr>
          <w:spacing w:val="0"/>
          <w:w w:val="100"/>
          <w:position w:val="0"/>
        </w:rPr>
        <w:t>种或</w:t>
      </w:r>
      <w:r>
        <w:rPr>
          <w:spacing w:val="0"/>
          <w:w w:val="100"/>
          <w:position w:val="0"/>
          <w:sz w:val="18"/>
          <w:szCs w:val="18"/>
        </w:rPr>
        <w:t>3</w:t>
      </w:r>
      <w:r>
        <w:rPr>
          <w:spacing w:val="0"/>
          <w:w w:val="100"/>
          <w:position w:val="0"/>
        </w:rPr>
        <w:t>种以上的抗高血压药 物联合治疗两。</w:t>
      </w:r>
    </w:p>
    <w:p>
      <w:pPr>
        <w:pStyle w:val="Style2"/>
        <w:keepNext w:val="0"/>
        <w:keepLines w:val="0"/>
        <w:widowControl w:val="0"/>
        <w:shd w:val="clear" w:color="auto" w:fill="auto"/>
        <w:bidi w:val="0"/>
        <w:spacing w:before="0" w:after="0" w:line="340" w:lineRule="exact"/>
        <w:ind w:left="0" w:right="0" w:firstLine="0"/>
        <w:jc w:val="both"/>
      </w:pPr>
      <w:r>
        <w:rPr>
          <w:spacing w:val="0"/>
          <w:w w:val="100"/>
          <w:position w:val="0"/>
          <w:sz w:val="18"/>
          <w:szCs w:val="18"/>
          <w:lang w:val="en-US" w:eastAsia="en-US" w:bidi="en-US"/>
        </w:rPr>
        <w:t>5.5</w:t>
      </w:r>
      <w:r>
        <w:rPr>
          <w:spacing w:val="0"/>
          <w:w w:val="100"/>
          <w:position w:val="0"/>
        </w:rPr>
        <w:t>控制高血糖</w:t>
      </w:r>
      <w:r>
        <w:rPr>
          <w:spacing w:val="0"/>
          <w:w w:val="100"/>
          <w:position w:val="0"/>
          <w:sz w:val="18"/>
          <w:szCs w:val="18"/>
          <w:lang w:val="en-US" w:eastAsia="en-US" w:bidi="en-US"/>
        </w:rPr>
        <w:t>DKD</w:t>
      </w:r>
      <w:r>
        <w:rPr>
          <w:spacing w:val="0"/>
          <w:w w:val="100"/>
          <w:position w:val="0"/>
        </w:rPr>
        <w:t>是糖尿病最常见的微血管 并发症之一，高血糖造成的肾脏血流动力学变化及 代谢异常是肾损害的病理基础。</w:t>
      </w:r>
      <w:r>
        <w:rPr>
          <w:spacing w:val="0"/>
          <w:w w:val="100"/>
          <w:position w:val="0"/>
          <w:sz w:val="18"/>
          <w:szCs w:val="18"/>
          <w:lang w:val="en-US" w:eastAsia="en-US" w:bidi="en-US"/>
        </w:rPr>
        <w:t>DKD</w:t>
      </w:r>
      <w:r>
        <w:rPr>
          <w:spacing w:val="0"/>
          <w:w w:val="100"/>
          <w:position w:val="0"/>
        </w:rPr>
        <w:t>的诊断主要 依据糖尿病史、</w:t>
      </w:r>
      <w:r>
        <w:rPr>
          <w:spacing w:val="0"/>
          <w:w w:val="100"/>
          <w:position w:val="0"/>
          <w:sz w:val="18"/>
          <w:szCs w:val="18"/>
          <w:lang w:val="en-US" w:eastAsia="en-US" w:bidi="en-US"/>
        </w:rPr>
        <w:t>eGFR</w:t>
      </w:r>
      <w:r>
        <w:rPr>
          <w:spacing w:val="0"/>
          <w:w w:val="100"/>
          <w:position w:val="0"/>
        </w:rPr>
        <w:t>下降和(或)</w:t>
      </w:r>
      <w:r>
        <w:rPr>
          <w:spacing w:val="0"/>
          <w:w w:val="100"/>
          <w:position w:val="0"/>
          <w:sz w:val="18"/>
          <w:szCs w:val="18"/>
          <w:lang w:val="en-US" w:eastAsia="en-US" w:bidi="en-US"/>
        </w:rPr>
        <w:t>UACR</w:t>
      </w:r>
      <w:r>
        <w:rPr>
          <w:spacing w:val="0"/>
          <w:w w:val="100"/>
          <w:position w:val="0"/>
        </w:rPr>
        <w:t>升高持续超 过</w:t>
      </w:r>
      <w:r>
        <w:rPr>
          <w:spacing w:val="0"/>
          <w:w w:val="100"/>
          <w:position w:val="0"/>
          <w:sz w:val="18"/>
          <w:szCs w:val="18"/>
        </w:rPr>
        <w:t>3</w:t>
      </w:r>
      <w:r>
        <w:rPr>
          <w:spacing w:val="0"/>
          <w:w w:val="100"/>
          <w:position w:val="0"/>
        </w:rPr>
        <w:t>个月，视网膜病变并非诊断</w:t>
      </w:r>
      <w:r>
        <w:rPr>
          <w:spacing w:val="0"/>
          <w:w w:val="100"/>
          <w:position w:val="0"/>
          <w:sz w:val="18"/>
          <w:szCs w:val="18"/>
          <w:lang w:val="en-US" w:eastAsia="en-US" w:bidi="en-US"/>
        </w:rPr>
        <w:t>DKD</w:t>
      </w:r>
      <w:r>
        <w:rPr>
          <w:spacing w:val="0"/>
          <w:w w:val="100"/>
          <w:position w:val="0"/>
        </w:rPr>
        <w:t xml:space="preserve">的必备条 </w:t>
      </w:r>
      <w:r>
        <w:rPr>
          <w:spacing w:val="0"/>
          <w:w w:val="100"/>
          <w:position w:val="0"/>
          <w:lang w:val="zh-CN" w:eastAsia="zh-CN" w:bidi="zh-CN"/>
        </w:rPr>
        <w:t>件吧</w:t>
      </w:r>
    </w:p>
    <w:p>
      <w:pPr>
        <w:pStyle w:val="Style2"/>
        <w:keepNext w:val="0"/>
        <w:keepLines w:val="0"/>
        <w:widowControl w:val="0"/>
        <w:shd w:val="clear" w:color="auto" w:fill="auto"/>
        <w:bidi w:val="0"/>
        <w:spacing w:before="0" w:after="0" w:line="337" w:lineRule="exact"/>
        <w:ind w:left="0" w:right="0" w:firstLine="420"/>
        <w:jc w:val="both"/>
      </w:pPr>
      <w:r>
        <w:rPr>
          <w:spacing w:val="0"/>
          <w:w w:val="100"/>
          <w:position w:val="0"/>
        </w:rPr>
        <w:t>建议</w:t>
      </w:r>
      <w:r>
        <w:rPr>
          <w:spacing w:val="0"/>
          <w:w w:val="100"/>
          <w:position w:val="0"/>
          <w:sz w:val="18"/>
          <w:szCs w:val="18"/>
          <w:lang w:val="en-US" w:eastAsia="en-US" w:bidi="en-US"/>
        </w:rPr>
        <w:t>HbA,c</w:t>
      </w:r>
      <w:r>
        <w:rPr>
          <w:spacing w:val="0"/>
          <w:w w:val="100"/>
          <w:position w:val="0"/>
        </w:rPr>
        <w:t>目标值为</w:t>
      </w:r>
      <w:r>
        <w:rPr>
          <w:spacing w:val="0"/>
          <w:w w:val="100"/>
          <w:position w:val="0"/>
          <w:sz w:val="18"/>
          <w:szCs w:val="18"/>
        </w:rPr>
        <w:t>7.0%</w:t>
      </w:r>
      <w:r>
        <w:rPr>
          <w:spacing w:val="0"/>
          <w:w w:val="100"/>
          <w:position w:val="0"/>
        </w:rPr>
        <w:t>以下,并根据预期寿 命、低血糖风险等因素严格或放宽控制目标</w:t>
      </w:r>
      <w:r>
        <w:rPr>
          <w:spacing w:val="0"/>
          <w:w w:val="100"/>
          <w:position w:val="0"/>
          <w:sz w:val="18"/>
          <w:szCs w:val="18"/>
          <w:lang w:val="en-US" w:eastAsia="en-US" w:bidi="en-US"/>
        </w:rPr>
        <w:t xml:space="preserve">g'L </w:t>
      </w:r>
      <w:r>
        <w:rPr>
          <w:spacing w:val="0"/>
          <w:w w:val="100"/>
          <w:position w:val="0"/>
        </w:rPr>
        <w:t>推荐使用钠-葡萄糖共转运蛋白</w:t>
      </w:r>
      <w:r>
        <w:rPr>
          <w:spacing w:val="0"/>
          <w:w w:val="100"/>
          <w:position w:val="0"/>
          <w:sz w:val="18"/>
          <w:szCs w:val="18"/>
        </w:rPr>
        <w:t xml:space="preserve">2 ( </w:t>
      </w:r>
      <w:r>
        <w:rPr>
          <w:spacing w:val="0"/>
          <w:w w:val="100"/>
          <w:position w:val="0"/>
          <w:sz w:val="18"/>
          <w:szCs w:val="18"/>
          <w:lang w:val="en-US" w:eastAsia="en-US" w:bidi="en-US"/>
        </w:rPr>
        <w:t xml:space="preserve">sodium-glucose cotransporter </w:t>
      </w:r>
      <w:r>
        <w:rPr>
          <w:spacing w:val="0"/>
          <w:w w:val="100"/>
          <w:position w:val="0"/>
          <w:sz w:val="18"/>
          <w:szCs w:val="18"/>
        </w:rPr>
        <w:t xml:space="preserve">2, </w:t>
      </w:r>
      <w:r>
        <w:rPr>
          <w:spacing w:val="0"/>
          <w:w w:val="100"/>
          <w:position w:val="0"/>
          <w:sz w:val="18"/>
          <w:szCs w:val="18"/>
          <w:lang w:val="en-US" w:eastAsia="en-US" w:bidi="en-US"/>
        </w:rPr>
        <w:t>SGLT2</w:t>
      </w:r>
      <w:r>
        <w:rPr>
          <w:spacing w:val="0"/>
          <w:w w:val="100"/>
          <w:position w:val="0"/>
          <w:sz w:val="18"/>
          <w:szCs w:val="18"/>
        </w:rPr>
        <w:t>)</w:t>
      </w:r>
      <w:r>
        <w:rPr>
          <w:spacing w:val="0"/>
          <w:w w:val="100"/>
          <w:position w:val="0"/>
        </w:rPr>
        <w:t>抑制剂和胰高糖素样肽</w:t>
      </w:r>
      <w:r>
        <w:rPr>
          <w:spacing w:val="0"/>
          <w:w w:val="100"/>
          <w:position w:val="0"/>
          <w:lang w:val="en-US" w:eastAsia="en-US" w:bidi="en-US"/>
        </w:rPr>
        <w:t xml:space="preserve">T </w:t>
      </w:r>
      <w:r>
        <w:rPr>
          <w:spacing w:val="0"/>
          <w:w w:val="100"/>
          <w:position w:val="0"/>
          <w:sz w:val="18"/>
          <w:szCs w:val="18"/>
        </w:rPr>
        <w:t>(</w:t>
      </w:r>
      <w:r>
        <w:rPr>
          <w:spacing w:val="0"/>
          <w:w w:val="100"/>
          <w:position w:val="0"/>
          <w:sz w:val="18"/>
          <w:szCs w:val="18"/>
          <w:lang w:val="en-US" w:eastAsia="en-US" w:bidi="en-US"/>
        </w:rPr>
        <w:t xml:space="preserve">glucagon-like peptide </w:t>
      </w:r>
      <w:r>
        <w:rPr>
          <w:spacing w:val="0"/>
          <w:w w:val="100"/>
          <w:position w:val="0"/>
          <w:sz w:val="18"/>
          <w:szCs w:val="18"/>
        </w:rPr>
        <w:t xml:space="preserve">1 </w:t>
      </w:r>
      <w:r>
        <w:rPr>
          <w:spacing w:val="0"/>
          <w:w w:val="100"/>
          <w:position w:val="0"/>
          <w:sz w:val="18"/>
          <w:szCs w:val="18"/>
          <w:lang w:val="en-US" w:eastAsia="en-US" w:bidi="en-US"/>
        </w:rPr>
        <w:t>,GLP-1)</w:t>
      </w:r>
      <w:r>
        <w:rPr>
          <w:spacing w:val="0"/>
          <w:w w:val="100"/>
          <w:position w:val="0"/>
        </w:rPr>
        <w:t>受体激动剂改善肾 脏预后。使用二甲双脈和</w:t>
      </w:r>
      <w:r>
        <w:rPr>
          <w:spacing w:val="0"/>
          <w:w w:val="100"/>
          <w:position w:val="0"/>
          <w:sz w:val="18"/>
          <w:szCs w:val="18"/>
          <w:lang w:val="en-US" w:eastAsia="en-US" w:bidi="en-US"/>
        </w:rPr>
        <w:t>SGLT2</w:t>
      </w:r>
      <w:r>
        <w:rPr>
          <w:spacing w:val="0"/>
          <w:w w:val="100"/>
          <w:position w:val="0"/>
        </w:rPr>
        <w:t>抑制剂时注意监 测</w:t>
      </w:r>
      <w:r>
        <w:rPr>
          <w:spacing w:val="0"/>
          <w:w w:val="100"/>
          <w:position w:val="0"/>
          <w:sz w:val="18"/>
          <w:szCs w:val="18"/>
          <w:lang w:val="en-US" w:eastAsia="en-US" w:bidi="en-US"/>
        </w:rPr>
        <w:t>eGFR</w:t>
      </w:r>
      <w:r>
        <w:rPr>
          <w:spacing w:val="0"/>
          <w:w w:val="100"/>
          <w:position w:val="0"/>
        </w:rPr>
        <w:t>水平,及时调整用量或停用財</w:t>
      </w:r>
      <w:r>
        <w:rPr>
          <w:spacing w:val="0"/>
          <w:w w:val="100"/>
          <w:position w:val="0"/>
          <w:sz w:val="18"/>
          <w:szCs w:val="18"/>
          <w:lang w:val="en-US" w:eastAsia="en-US" w:bidi="en-US"/>
        </w:rPr>
        <w:t>o 5.6</w:t>
      </w:r>
      <w:r>
        <w:rPr>
          <w:spacing w:val="0"/>
          <w:w w:val="100"/>
          <w:position w:val="0"/>
        </w:rPr>
        <w:t>血脂异常血脂异常是促进</w:t>
      </w:r>
      <w:r>
        <w:rPr>
          <w:spacing w:val="0"/>
          <w:w w:val="100"/>
          <w:position w:val="0"/>
          <w:sz w:val="18"/>
          <w:szCs w:val="18"/>
          <w:lang w:val="en-US" w:eastAsia="en-US" w:bidi="en-US"/>
        </w:rPr>
        <w:t>CKD</w:t>
      </w:r>
      <w:r>
        <w:rPr>
          <w:spacing w:val="0"/>
          <w:w w:val="100"/>
          <w:position w:val="0"/>
        </w:rPr>
        <w:t>进展的重要 因素，也是介导</w:t>
      </w:r>
      <w:r>
        <w:rPr>
          <w:spacing w:val="0"/>
          <w:w w:val="100"/>
          <w:position w:val="0"/>
          <w:sz w:val="18"/>
          <w:szCs w:val="18"/>
          <w:lang w:val="en-US" w:eastAsia="en-US" w:bidi="en-US"/>
        </w:rPr>
        <w:t>CKD</w:t>
      </w:r>
      <w:r>
        <w:rPr>
          <w:spacing w:val="0"/>
          <w:w w:val="100"/>
          <w:position w:val="0"/>
        </w:rPr>
        <w:t>患者心脑血管病变、肾动脉粥 样硬化和靶器官损害的主要危险因素。</w:t>
      </w:r>
    </w:p>
    <w:p>
      <w:pPr>
        <w:pStyle w:val="Style2"/>
        <w:keepNext w:val="0"/>
        <w:keepLines w:val="0"/>
        <w:widowControl w:val="0"/>
        <w:shd w:val="clear" w:color="auto" w:fill="auto"/>
        <w:bidi w:val="0"/>
        <w:spacing w:before="0" w:after="0" w:line="337" w:lineRule="exact"/>
        <w:ind w:left="0" w:right="0" w:firstLine="420"/>
        <w:jc w:val="both"/>
      </w:pPr>
      <w:r>
        <w:rPr>
          <w:spacing w:val="0"/>
          <w:w w:val="100"/>
          <w:position w:val="0"/>
        </w:rPr>
        <w:t xml:space="preserve">指南建议根据疾病的风险评估而不是血脂水 平来确定治疗目标。评估风险为极高危患者的 </w:t>
      </w:r>
      <w:r>
        <w:rPr>
          <w:spacing w:val="0"/>
          <w:w w:val="100"/>
          <w:position w:val="0"/>
          <w:sz w:val="18"/>
          <w:szCs w:val="18"/>
          <w:lang w:val="en-US" w:eastAsia="en-US" w:bidi="en-US"/>
        </w:rPr>
        <w:t>LDL-c</w:t>
      </w:r>
      <w:r>
        <w:rPr>
          <w:spacing w:val="0"/>
          <w:w w:val="100"/>
          <w:position w:val="0"/>
        </w:rPr>
        <w:t>水平应</w:t>
      </w:r>
      <w:r>
        <w:rPr>
          <w:spacing w:val="0"/>
          <w:w w:val="100"/>
          <w:position w:val="0"/>
          <w:sz w:val="18"/>
          <w:szCs w:val="18"/>
          <w:lang w:val="en-US" w:eastAsia="en-US" w:bidi="en-US"/>
        </w:rPr>
        <w:t>&lt;1.8 mmol/L,</w:t>
      </w:r>
      <w:r>
        <w:rPr>
          <w:spacing w:val="0"/>
          <w:w w:val="100"/>
          <w:position w:val="0"/>
        </w:rPr>
        <w:t>其他患者</w:t>
      </w:r>
      <w:r>
        <w:rPr>
          <w:spacing w:val="0"/>
          <w:w w:val="100"/>
          <w:position w:val="0"/>
          <w:sz w:val="18"/>
          <w:szCs w:val="18"/>
          <w:lang w:val="en-US" w:eastAsia="en-US" w:bidi="en-US"/>
        </w:rPr>
        <w:t>LDL-c</w:t>
      </w:r>
      <w:r>
        <w:rPr>
          <w:spacing w:val="0"/>
          <w:w w:val="100"/>
          <w:position w:val="0"/>
        </w:rPr>
        <w:t xml:space="preserve">水平应 </w:t>
      </w:r>
      <w:r>
        <w:rPr>
          <w:spacing w:val="0"/>
          <w:w w:val="100"/>
          <w:position w:val="0"/>
          <w:sz w:val="18"/>
          <w:szCs w:val="18"/>
          <w:lang w:val="en-US" w:eastAsia="en-US" w:bidi="en-US"/>
        </w:rPr>
        <w:t>&lt;2.6 mmol/L</w:t>
      </w:r>
      <w:r>
        <w:rPr>
          <w:spacing w:val="0"/>
          <w:w w:val="100"/>
          <w:position w:val="0"/>
          <w:sz w:val="18"/>
          <w:szCs w:val="18"/>
          <w:vertAlign w:val="superscript"/>
          <w:lang w:val="en-US" w:eastAsia="en-US" w:bidi="en-US"/>
        </w:rPr>
        <w:t>[2]</w:t>
      </w:r>
      <w:r>
        <w:rPr>
          <w:spacing w:val="0"/>
          <w:w w:val="100"/>
          <w:position w:val="0"/>
        </w:rPr>
        <w:t>。降低</w:t>
      </w:r>
      <w:r>
        <w:rPr>
          <w:spacing w:val="0"/>
          <w:w w:val="100"/>
          <w:position w:val="0"/>
          <w:sz w:val="18"/>
          <w:szCs w:val="18"/>
          <w:lang w:val="en-US" w:eastAsia="en-US" w:bidi="en-US"/>
        </w:rPr>
        <w:t>LDL-c</w:t>
      </w:r>
      <w:r>
        <w:rPr>
          <w:spacing w:val="0"/>
          <w:w w:val="100"/>
          <w:position w:val="0"/>
        </w:rPr>
        <w:t>水平治疗药物首选他汀 类，注意部分他汀类药物要根据</w:t>
      </w:r>
      <w:r>
        <w:rPr>
          <w:spacing w:val="0"/>
          <w:w w:val="100"/>
          <w:position w:val="0"/>
          <w:sz w:val="18"/>
          <w:szCs w:val="18"/>
          <w:lang w:val="en-US" w:eastAsia="en-US" w:bidi="en-US"/>
        </w:rPr>
        <w:t>eGFR</w:t>
      </w:r>
      <w:r>
        <w:rPr>
          <w:spacing w:val="0"/>
          <w:w w:val="100"/>
          <w:position w:val="0"/>
        </w:rPr>
        <w:t>调整剂量。 针对高甘油三酯血症患者，强调饮食、运动等生活 方式改变。</w:t>
      </w:r>
    </w:p>
    <w:p>
      <w:pPr>
        <w:pStyle w:val="Style2"/>
        <w:keepNext w:val="0"/>
        <w:keepLines w:val="0"/>
        <w:widowControl w:val="0"/>
        <w:shd w:val="clear" w:color="auto" w:fill="auto"/>
        <w:bidi w:val="0"/>
        <w:spacing w:before="0" w:after="0" w:line="339" w:lineRule="exact"/>
        <w:ind w:left="0" w:right="0" w:firstLine="0"/>
        <w:jc w:val="both"/>
      </w:pPr>
      <w:r>
        <w:rPr>
          <w:spacing w:val="0"/>
          <w:w w:val="100"/>
          <w:position w:val="0"/>
          <w:sz w:val="18"/>
          <w:szCs w:val="18"/>
          <w:lang w:val="en-US" w:eastAsia="en-US" w:bidi="en-US"/>
        </w:rPr>
        <w:t>5.7</w:t>
      </w:r>
      <w:r>
        <w:rPr>
          <w:spacing w:val="0"/>
          <w:w w:val="100"/>
          <w:position w:val="0"/>
        </w:rPr>
        <w:t>高尿酸血症高尿酸血症和肾功能损害两者 相互促进,加速</w:t>
      </w:r>
      <w:r>
        <w:rPr>
          <w:spacing w:val="0"/>
          <w:w w:val="100"/>
          <w:position w:val="0"/>
          <w:sz w:val="18"/>
          <w:szCs w:val="18"/>
          <w:lang w:val="en-US" w:eastAsia="en-US" w:bidi="en-US"/>
        </w:rPr>
        <w:t>CKD</w:t>
      </w:r>
      <w:r>
        <w:rPr>
          <w:spacing w:val="0"/>
          <w:w w:val="100"/>
          <w:position w:val="0"/>
        </w:rPr>
        <w:t>的进展,根据血尿酸水平和尿 尿酸排泄多少,高尿酸血症分为尿酸排泄不良型、 尿酸生成过多型和混合型。</w:t>
      </w:r>
    </w:p>
    <w:p>
      <w:pPr>
        <w:pStyle w:val="Style2"/>
        <w:keepNext w:val="0"/>
        <w:keepLines w:val="0"/>
        <w:widowControl w:val="0"/>
        <w:shd w:val="clear" w:color="auto" w:fill="auto"/>
        <w:bidi w:val="0"/>
        <w:spacing w:before="0" w:after="0" w:line="339" w:lineRule="exact"/>
        <w:ind w:left="0" w:right="0" w:firstLine="420"/>
        <w:jc w:val="both"/>
      </w:pPr>
      <w:r>
        <w:rPr>
          <w:spacing w:val="0"/>
          <w:w w:val="100"/>
          <w:position w:val="0"/>
        </w:rPr>
        <w:t>尿酸盐肾病患者，血尿酸控制目标为</w:t>
      </w:r>
      <w:r>
        <w:rPr>
          <w:spacing w:val="0"/>
          <w:w w:val="100"/>
          <w:position w:val="0"/>
          <w:sz w:val="18"/>
          <w:szCs w:val="18"/>
        </w:rPr>
        <w:t xml:space="preserve">&lt;360 </w:t>
      </w:r>
      <w:r>
        <w:rPr>
          <w:spacing w:val="0"/>
          <w:w w:val="100"/>
          <w:position w:val="0"/>
          <w:sz w:val="18"/>
          <w:szCs w:val="18"/>
          <w:lang w:val="en-US" w:eastAsia="en-US" w:bidi="en-US"/>
        </w:rPr>
        <w:t>p-mol/L;</w:t>
      </w:r>
      <w:r>
        <w:rPr>
          <w:spacing w:val="0"/>
          <w:w w:val="100"/>
          <w:position w:val="0"/>
        </w:rPr>
        <w:t xml:space="preserve">对于有痛风发作的患者，血尿酸控制目标为 </w:t>
      </w:r>
      <w:r>
        <w:rPr>
          <w:spacing w:val="0"/>
          <w:w w:val="100"/>
          <w:position w:val="0"/>
          <w:sz w:val="18"/>
          <w:szCs w:val="18"/>
        </w:rPr>
        <w:t xml:space="preserve">&lt;300 </w:t>
      </w:r>
      <w:r>
        <w:rPr>
          <w:spacing w:val="0"/>
          <w:w w:val="100"/>
          <w:position w:val="0"/>
          <w:sz w:val="18"/>
          <w:szCs w:val="18"/>
          <w:lang w:val="en-US" w:eastAsia="en-US" w:bidi="en-US"/>
        </w:rPr>
        <w:t>p,mol/L</w:t>
      </w:r>
      <w:r>
        <w:rPr>
          <w:spacing w:val="0"/>
          <w:w w:val="100"/>
          <w:position w:val="0"/>
          <w:sz w:val="18"/>
          <w:szCs w:val="18"/>
          <w:vertAlign w:val="superscript"/>
          <w:lang w:val="en-US" w:eastAsia="en-US" w:bidi="en-US"/>
        </w:rPr>
        <w:t>[l91</w:t>
      </w:r>
      <w:r>
        <w:rPr>
          <w:spacing w:val="0"/>
          <w:w w:val="100"/>
          <w:position w:val="0"/>
          <w:sz w:val="18"/>
          <w:szCs w:val="18"/>
          <w:lang w:val="en-US" w:eastAsia="en-US" w:bidi="en-US"/>
        </w:rPr>
        <w:t xml:space="preserve">o </w:t>
      </w:r>
      <w:r>
        <w:rPr>
          <w:spacing w:val="0"/>
          <w:w w:val="100"/>
          <w:position w:val="0"/>
        </w:rPr>
        <w:t>一般治疗包括低喋吟饮食、尿量正 常者多饮水、适当碱化尿液及避免引起尿酸升高的 药物，药物治疗包括抑制尿酸合成的药物和增加尿 酸排泄的药物。</w:t>
      </w:r>
    </w:p>
    <w:p>
      <w:pPr>
        <w:pStyle w:val="Style2"/>
        <w:keepNext w:val="0"/>
        <w:keepLines w:val="0"/>
        <w:widowControl w:val="0"/>
        <w:shd w:val="clear" w:color="auto" w:fill="auto"/>
        <w:bidi w:val="0"/>
        <w:spacing w:before="0" w:after="0" w:line="339" w:lineRule="exact"/>
        <w:ind w:left="0" w:right="0" w:firstLine="420"/>
        <w:jc w:val="both"/>
      </w:pPr>
      <w:r>
        <w:rPr>
          <w:spacing w:val="0"/>
          <w:w w:val="100"/>
          <w:position w:val="0"/>
        </w:rPr>
        <w:t>对于</w:t>
      </w:r>
      <w:r>
        <w:rPr>
          <w:spacing w:val="0"/>
          <w:w w:val="100"/>
          <w:position w:val="0"/>
          <w:sz w:val="18"/>
          <w:szCs w:val="18"/>
          <w:lang w:val="en-US" w:eastAsia="en-US" w:bidi="en-US"/>
        </w:rPr>
        <w:t>CKD</w:t>
      </w:r>
      <w:r>
        <w:rPr>
          <w:spacing w:val="0"/>
          <w:w w:val="100"/>
          <w:position w:val="0"/>
        </w:rPr>
        <w:t>继发高尿酸血症的患者,应主要积极 治疗</w:t>
      </w:r>
      <w:r>
        <w:rPr>
          <w:spacing w:val="0"/>
          <w:w w:val="100"/>
          <w:position w:val="0"/>
          <w:sz w:val="18"/>
          <w:szCs w:val="18"/>
          <w:lang w:val="en-US" w:eastAsia="en-US" w:bidi="en-US"/>
        </w:rPr>
        <w:t>CKD</w:t>
      </w:r>
      <w:r>
        <w:rPr>
          <w:spacing w:val="0"/>
          <w:w w:val="100"/>
          <w:position w:val="0"/>
          <w:sz w:val="18"/>
          <w:szCs w:val="18"/>
        </w:rPr>
        <w:t>,</w:t>
      </w:r>
      <w:r>
        <w:rPr>
          <w:spacing w:val="0"/>
          <w:w w:val="100"/>
          <w:position w:val="0"/>
        </w:rPr>
        <w:t>仅当血尿酸</w:t>
      </w:r>
      <w:r>
        <w:rPr>
          <w:spacing w:val="0"/>
          <w:w w:val="100"/>
          <w:position w:val="0"/>
          <w:sz w:val="18"/>
          <w:szCs w:val="18"/>
        </w:rPr>
        <w:t xml:space="preserve">&gt;480 </w:t>
      </w:r>
      <w:r>
        <w:rPr>
          <w:spacing w:val="0"/>
          <w:w w:val="100"/>
          <w:position w:val="0"/>
          <w:sz w:val="18"/>
          <w:szCs w:val="18"/>
          <w:lang w:val="en-US" w:eastAsia="en-US" w:bidi="en-US"/>
        </w:rPr>
        <w:t>|mmol/L</w:t>
      </w:r>
      <w:r>
        <w:rPr>
          <w:spacing w:val="0"/>
          <w:w w:val="100"/>
          <w:position w:val="0"/>
        </w:rPr>
        <w:t>时才建议干预治 疗，而降尿酸治疗是否可延缓</w:t>
      </w:r>
      <w:r>
        <w:rPr>
          <w:spacing w:val="0"/>
          <w:w w:val="100"/>
          <w:position w:val="0"/>
          <w:sz w:val="18"/>
          <w:szCs w:val="18"/>
          <w:lang w:val="en-US" w:eastAsia="en-US" w:bidi="en-US"/>
        </w:rPr>
        <w:t>CKD</w:t>
      </w:r>
      <w:r>
        <w:rPr>
          <w:spacing w:val="0"/>
          <w:w w:val="100"/>
          <w:position w:val="0"/>
        </w:rPr>
        <w:t>病情进展目前尚 不明确</w:t>
      </w:r>
      <w:r>
        <w:rPr>
          <w:spacing w:val="0"/>
          <w:w w:val="100"/>
          <w:position w:val="0"/>
          <w:sz w:val="18"/>
          <w:szCs w:val="18"/>
          <w:lang w:val="en-US" w:eastAsia="en-US" w:bidi="en-US"/>
        </w:rPr>
        <w:t>w</w:t>
      </w:r>
      <w:r>
        <w:rPr>
          <w:spacing w:val="0"/>
          <w:w w:val="100"/>
          <w:position w:val="0"/>
          <w:lang w:val="en-US" w:eastAsia="en-US" w:bidi="en-US"/>
        </w:rPr>
        <w:t>。</w:t>
      </w:r>
    </w:p>
    <w:p>
      <w:pPr>
        <w:pStyle w:val="Style2"/>
        <w:keepNext w:val="0"/>
        <w:keepLines w:val="0"/>
        <w:widowControl w:val="0"/>
        <w:shd w:val="clear" w:color="auto" w:fill="auto"/>
        <w:bidi w:val="0"/>
        <w:spacing w:before="0" w:after="0" w:line="339" w:lineRule="exact"/>
        <w:ind w:left="0" w:right="0" w:firstLine="0"/>
        <w:jc w:val="both"/>
      </w:pPr>
      <w:r>
        <w:rPr>
          <w:spacing w:val="0"/>
          <w:w w:val="100"/>
          <w:position w:val="0"/>
          <w:sz w:val="18"/>
          <w:szCs w:val="18"/>
          <w:lang w:val="en-US" w:eastAsia="en-US" w:bidi="en-US"/>
        </w:rPr>
        <w:t xml:space="preserve">5.8 </w:t>
      </w:r>
      <w:r>
        <w:rPr>
          <w:spacing w:val="0"/>
          <w:w w:val="100"/>
          <w:position w:val="0"/>
        </w:rPr>
        <w:t xml:space="preserve">谨慎用药 当 </w:t>
      </w:r>
      <w:r>
        <w:rPr>
          <w:spacing w:val="0"/>
          <w:w w:val="100"/>
          <w:position w:val="0"/>
          <w:sz w:val="18"/>
          <w:szCs w:val="18"/>
          <w:lang w:val="en-US" w:eastAsia="en-US" w:bidi="en-US"/>
        </w:rPr>
        <w:t>eGFR&lt;45 mL/( min-1.73 m</w:t>
      </w:r>
      <w:r>
        <w:rPr>
          <w:spacing w:val="0"/>
          <w:w w:val="100"/>
          <w:position w:val="0"/>
          <w:sz w:val="18"/>
          <w:szCs w:val="18"/>
          <w:vertAlign w:val="superscript"/>
          <w:lang w:val="en-US" w:eastAsia="en-US" w:bidi="en-US"/>
        </w:rPr>
        <w:t>2</w:t>
      </w:r>
      <w:r>
        <w:rPr>
          <w:spacing w:val="0"/>
          <w:w w:val="100"/>
          <w:position w:val="0"/>
          <w:sz w:val="18"/>
          <w:szCs w:val="18"/>
          <w:lang w:val="en-US" w:eastAsia="en-US" w:bidi="en-US"/>
        </w:rPr>
        <w:t>)</w:t>
      </w:r>
      <w:r>
        <w:rPr>
          <w:spacing w:val="0"/>
          <w:w w:val="100"/>
          <w:position w:val="0"/>
        </w:rPr>
        <w:t xml:space="preserve">时， 应慎用或停用有潜在肾毒性和经肾排泄的药物。 必须使用含碘造影剂时应遵循少量、选择低渗或等 </w:t>
      </w:r>
      <w:r>
        <w:rPr>
          <w:spacing w:val="0"/>
          <w:w w:val="100"/>
          <w:position w:val="0"/>
        </w:rPr>
        <w:t>渗造影剂、围术期充分水化等原则,并做好</w:t>
      </w:r>
      <w:r>
        <w:rPr>
          <w:spacing w:val="0"/>
          <w:w w:val="100"/>
          <w:position w:val="0"/>
          <w:sz w:val="18"/>
          <w:szCs w:val="18"/>
          <w:lang w:val="en-US" w:eastAsia="en-US" w:bidi="en-US"/>
        </w:rPr>
        <w:t>eGFR</w:t>
      </w:r>
      <w:r>
        <w:rPr>
          <w:spacing w:val="0"/>
          <w:w w:val="100"/>
          <w:position w:val="0"/>
        </w:rPr>
        <w:t>监 测⑵</w:t>
      </w:r>
      <w:r>
        <w:rPr>
          <w:spacing w:val="0"/>
          <w:w w:val="100"/>
          <w:position w:val="0"/>
          <w:sz w:val="18"/>
          <w:szCs w:val="18"/>
          <w:lang w:val="en-US" w:eastAsia="en-US" w:bidi="en-US"/>
        </w:rPr>
        <w:t>o</w:t>
      </w:r>
      <w:r>
        <w:rPr>
          <w:spacing w:val="0"/>
          <w:w w:val="100"/>
          <w:position w:val="0"/>
        </w:rPr>
        <w:t>需要注意的是</w:t>
      </w:r>
      <w:r>
        <w:rPr>
          <w:spacing w:val="0"/>
          <w:w w:val="100"/>
          <w:position w:val="0"/>
          <w:sz w:val="18"/>
          <w:szCs w:val="18"/>
          <w:lang w:val="en-US" w:eastAsia="en-US" w:bidi="en-US"/>
        </w:rPr>
        <w:t>,CKD</w:t>
      </w:r>
      <w:r>
        <w:rPr>
          <w:spacing w:val="0"/>
          <w:w w:val="100"/>
          <w:position w:val="0"/>
        </w:rPr>
        <w:t>患者非处方药或蛋白营 养品也应在医师或药师的指导下使用。</w:t>
      </w:r>
    </w:p>
    <w:p>
      <w:pPr>
        <w:pStyle w:val="Style2"/>
        <w:keepNext w:val="0"/>
        <w:keepLines w:val="0"/>
        <w:widowControl w:val="0"/>
        <w:shd w:val="clear" w:color="auto" w:fill="auto"/>
        <w:bidi w:val="0"/>
        <w:spacing w:before="0" w:after="160" w:line="340" w:lineRule="exact"/>
        <w:ind w:left="0" w:right="0" w:firstLine="0"/>
        <w:jc w:val="both"/>
      </w:pPr>
      <w:r>
        <w:rPr>
          <w:spacing w:val="0"/>
          <w:w w:val="100"/>
          <w:position w:val="0"/>
          <w:sz w:val="18"/>
          <w:szCs w:val="18"/>
          <w:lang w:val="en-US" w:eastAsia="en-US" w:bidi="en-US"/>
        </w:rPr>
        <w:t>5.9</w:t>
      </w:r>
      <w:r>
        <w:rPr>
          <w:spacing w:val="0"/>
          <w:w w:val="100"/>
          <w:position w:val="0"/>
        </w:rPr>
        <w:t>中医中药治疗 广泛用于</w:t>
      </w:r>
      <w:r>
        <w:rPr>
          <w:spacing w:val="0"/>
          <w:w w:val="100"/>
          <w:position w:val="0"/>
          <w:sz w:val="18"/>
          <w:szCs w:val="18"/>
          <w:lang w:val="en-US" w:eastAsia="en-US" w:bidi="en-US"/>
        </w:rPr>
        <w:t>CKD</w:t>
      </w:r>
      <w:r>
        <w:rPr>
          <w:spacing w:val="0"/>
          <w:w w:val="100"/>
          <w:position w:val="0"/>
        </w:rPr>
        <w:t>治疗的中医中 药包括雷公藤多昔、黄葵、黄戻、大黄及其复方制剂 等。但某些中药也具有肾毒性(如含有马兜铃酸的 中药)，还有部分中药长期服用(尤其是肾功能不全 时)可致高钾血症，需引起重视。</w:t>
      </w:r>
    </w:p>
    <w:p>
      <w:pPr>
        <w:pStyle w:val="Style2"/>
        <w:keepNext w:val="0"/>
        <w:keepLines w:val="0"/>
        <w:widowControl w:val="0"/>
        <w:shd w:val="clear" w:color="auto" w:fill="auto"/>
        <w:bidi w:val="0"/>
        <w:spacing w:before="0" w:after="160" w:line="337" w:lineRule="exact"/>
        <w:ind w:left="0" w:right="0" w:firstLine="0"/>
        <w:jc w:val="both"/>
      </w:pPr>
      <w:r>
        <w:rPr>
          <w:spacing w:val="0"/>
          <w:w w:val="100"/>
          <w:position w:val="0"/>
          <w:sz w:val="18"/>
          <w:szCs w:val="18"/>
        </w:rPr>
        <w:t xml:space="preserve">6 </w:t>
      </w:r>
      <w:r>
        <w:rPr>
          <w:spacing w:val="0"/>
          <w:w w:val="100"/>
          <w:position w:val="0"/>
          <w:sz w:val="18"/>
          <w:szCs w:val="18"/>
          <w:lang w:val="en-US" w:eastAsia="en-US" w:bidi="en-US"/>
        </w:rPr>
        <w:t>CKD</w:t>
      </w:r>
      <w:r>
        <w:rPr>
          <w:spacing w:val="0"/>
          <w:w w:val="100"/>
          <w:position w:val="0"/>
        </w:rPr>
        <w:t>并发症的防治</w:t>
      </w:r>
    </w:p>
    <w:p>
      <w:pPr>
        <w:pStyle w:val="Style2"/>
        <w:keepNext w:val="0"/>
        <w:keepLines w:val="0"/>
        <w:widowControl w:val="0"/>
        <w:shd w:val="clear" w:color="auto" w:fill="auto"/>
        <w:bidi w:val="0"/>
        <w:spacing w:before="0" w:after="0" w:line="337" w:lineRule="exact"/>
        <w:ind w:left="0" w:right="0" w:firstLine="420"/>
        <w:jc w:val="both"/>
      </w:pPr>
      <w:r>
        <w:rPr>
          <w:spacing w:val="0"/>
          <w:w w:val="100"/>
          <w:position w:val="0"/>
          <w:sz w:val="18"/>
          <w:szCs w:val="18"/>
          <w:lang w:val="en-US" w:eastAsia="en-US" w:bidi="en-US"/>
        </w:rPr>
        <w:t>CKD</w:t>
      </w:r>
      <w:r>
        <w:rPr>
          <w:spacing w:val="0"/>
          <w:w w:val="100"/>
          <w:position w:val="0"/>
        </w:rPr>
        <w:t>尤其是进展到后期的</w:t>
      </w:r>
      <w:r>
        <w:rPr>
          <w:spacing w:val="0"/>
          <w:w w:val="100"/>
          <w:position w:val="0"/>
          <w:sz w:val="18"/>
          <w:szCs w:val="18"/>
          <w:lang w:val="en-US" w:eastAsia="en-US" w:bidi="en-US"/>
        </w:rPr>
        <w:t>CKD</w:t>
      </w:r>
      <w:r>
        <w:rPr>
          <w:spacing w:val="0"/>
          <w:w w:val="100"/>
          <w:position w:val="0"/>
        </w:rPr>
        <w:t>患者并发症多、 病情复杂，并发症的防治是</w:t>
      </w:r>
      <w:r>
        <w:rPr>
          <w:spacing w:val="0"/>
          <w:w w:val="100"/>
          <w:position w:val="0"/>
          <w:sz w:val="18"/>
          <w:szCs w:val="18"/>
          <w:lang w:val="en-US" w:eastAsia="en-US" w:bidi="en-US"/>
        </w:rPr>
        <w:t>CKD</w:t>
      </w:r>
      <w:r>
        <w:rPr>
          <w:spacing w:val="0"/>
          <w:w w:val="100"/>
          <w:position w:val="0"/>
        </w:rPr>
        <w:t>防治的重要方面， 对于延缓疾病进展、提高患者生活质量、改善预后 具有重要意义。</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6.1</w:t>
      </w:r>
      <w:r>
        <w:rPr>
          <w:spacing w:val="0"/>
          <w:w w:val="100"/>
          <w:position w:val="0"/>
        </w:rPr>
        <w:t>贫血 对</w:t>
      </w:r>
      <w:r>
        <w:rPr>
          <w:spacing w:val="0"/>
          <w:w w:val="100"/>
          <w:position w:val="0"/>
          <w:sz w:val="18"/>
          <w:szCs w:val="18"/>
          <w:lang w:val="en-US" w:eastAsia="en-US" w:bidi="en-US"/>
        </w:rPr>
        <w:t>CKD</w:t>
      </w:r>
      <w:r>
        <w:rPr>
          <w:spacing w:val="0"/>
          <w:w w:val="100"/>
          <w:position w:val="0"/>
        </w:rPr>
        <w:t xml:space="preserve">患者应进行贫血监测。多数 </w:t>
      </w:r>
      <w:r>
        <w:rPr>
          <w:spacing w:val="0"/>
          <w:w w:val="100"/>
          <w:position w:val="0"/>
          <w:sz w:val="18"/>
          <w:szCs w:val="18"/>
          <w:lang w:val="en-US" w:eastAsia="en-US" w:bidi="en-US"/>
        </w:rPr>
        <w:t>CKD</w:t>
      </w:r>
      <w:r>
        <w:rPr>
          <w:spacing w:val="0"/>
          <w:w w:val="100"/>
          <w:position w:val="0"/>
        </w:rPr>
        <w:t xml:space="preserve">贫血患者需要使用红细胞生成刺激剂 </w:t>
      </w:r>
      <w:r>
        <w:rPr>
          <w:spacing w:val="0"/>
          <w:w w:val="100"/>
          <w:position w:val="0"/>
          <w:sz w:val="18"/>
          <w:szCs w:val="18"/>
        </w:rPr>
        <w:t>(</w:t>
      </w:r>
      <w:r>
        <w:rPr>
          <w:spacing w:val="0"/>
          <w:w w:val="100"/>
          <w:position w:val="0"/>
          <w:sz w:val="18"/>
          <w:szCs w:val="18"/>
          <w:lang w:val="en-US" w:eastAsia="en-US" w:bidi="en-US"/>
        </w:rPr>
        <w:t xml:space="preserve">erythropoiesis- stimulating agents </w:t>
      </w:r>
      <w:r>
        <w:rPr>
          <w:spacing w:val="0"/>
          <w:w w:val="100"/>
          <w:position w:val="0"/>
          <w:sz w:val="18"/>
          <w:szCs w:val="18"/>
        </w:rPr>
        <w:t xml:space="preserve">, </w:t>
      </w:r>
      <w:r>
        <w:rPr>
          <w:spacing w:val="0"/>
          <w:w w:val="100"/>
          <w:position w:val="0"/>
          <w:sz w:val="18"/>
          <w:szCs w:val="18"/>
          <w:lang w:val="en-US" w:eastAsia="en-US" w:bidi="en-US"/>
        </w:rPr>
        <w:t>ESAs )</w:t>
      </w:r>
      <w:r>
        <w:rPr>
          <w:spacing w:val="0"/>
          <w:w w:val="100"/>
          <w:position w:val="0"/>
        </w:rPr>
        <w:t>治 疗</w:t>
      </w:r>
      <w:r>
        <w:rPr>
          <w:spacing w:val="0"/>
          <w:w w:val="100"/>
          <w:position w:val="0"/>
          <w:vertAlign w:val="superscript"/>
        </w:rPr>
        <w:t>[201</w:t>
      </w:r>
      <w:r>
        <w:rPr>
          <w:spacing w:val="0"/>
          <w:w w:val="100"/>
          <w:position w:val="0"/>
        </w:rPr>
        <w:t>。 同时需对铁状态进行评估(主要指标包括铁蛋白和 转铁蛋白饱和度)决定是否应用铁剂治疗。近年来 低氧诱导因子脯氨酰羟化酶抑制剂</w:t>
      </w:r>
      <w:r>
        <w:rPr>
          <w:spacing w:val="0"/>
          <w:w w:val="100"/>
          <w:position w:val="0"/>
          <w:sz w:val="18"/>
          <w:szCs w:val="18"/>
          <w:lang w:val="en-US" w:eastAsia="en-US" w:bidi="en-US"/>
        </w:rPr>
        <w:t>(hypoxia- inducible factor prolyl hydroxylase inhibitor, HIF- PHI)</w:t>
      </w:r>
      <w:r>
        <w:rPr>
          <w:spacing w:val="0"/>
          <w:w w:val="100"/>
          <w:position w:val="0"/>
        </w:rPr>
        <w:t>逐渐应用于肾性贫血治疗⑵</w:t>
      </w:r>
      <w:r>
        <w:rPr>
          <w:spacing w:val="0"/>
          <w:w w:val="100"/>
          <w:position w:val="0"/>
          <w:lang w:val="en-US" w:eastAsia="en-US" w:bidi="en-US"/>
        </w:rPr>
        <w:t>M。</w:t>
      </w:r>
      <w:r>
        <w:rPr>
          <w:spacing w:val="0"/>
          <w:w w:val="100"/>
          <w:position w:val="0"/>
        </w:rPr>
        <w:t>其通过抑制脯 氨酰羟化酶(</w:t>
      </w:r>
      <w:r>
        <w:rPr>
          <w:spacing w:val="0"/>
          <w:w w:val="100"/>
          <w:position w:val="0"/>
          <w:sz w:val="18"/>
          <w:szCs w:val="18"/>
          <w:lang w:val="en-US" w:eastAsia="en-US" w:bidi="en-US"/>
        </w:rPr>
        <w:t>prolyl hydroxylase</w:t>
      </w:r>
      <w:r>
        <w:rPr>
          <w:spacing w:val="0"/>
          <w:w w:val="100"/>
          <w:position w:val="0"/>
          <w:sz w:val="18"/>
          <w:szCs w:val="18"/>
        </w:rPr>
        <w:t xml:space="preserve">, </w:t>
      </w:r>
      <w:r>
        <w:rPr>
          <w:spacing w:val="0"/>
          <w:w w:val="100"/>
          <w:position w:val="0"/>
          <w:sz w:val="18"/>
          <w:szCs w:val="18"/>
          <w:lang w:val="en-US" w:eastAsia="en-US" w:bidi="en-US"/>
        </w:rPr>
        <w:t>PHD</w:t>
      </w:r>
      <w:r>
        <w:rPr>
          <w:spacing w:val="0"/>
          <w:w w:val="100"/>
          <w:position w:val="0"/>
          <w:sz w:val="18"/>
          <w:szCs w:val="18"/>
        </w:rPr>
        <w:t>)</w:t>
      </w:r>
      <w:r>
        <w:rPr>
          <w:spacing w:val="0"/>
          <w:w w:val="100"/>
          <w:position w:val="0"/>
        </w:rPr>
        <w:t>活性，促进内 源性红细胞生成素(</w:t>
      </w:r>
      <w:r>
        <w:rPr>
          <w:spacing w:val="0"/>
          <w:w w:val="100"/>
          <w:position w:val="0"/>
          <w:sz w:val="18"/>
          <w:szCs w:val="18"/>
          <w:lang w:val="en-US" w:eastAsia="en-US" w:bidi="en-US"/>
        </w:rPr>
        <w:t>erythropoietin</w:t>
      </w:r>
      <w:r>
        <w:rPr>
          <w:spacing w:val="0"/>
          <w:w w:val="100"/>
          <w:position w:val="0"/>
          <w:sz w:val="18"/>
          <w:szCs w:val="18"/>
        </w:rPr>
        <w:t xml:space="preserve">, </w:t>
      </w:r>
      <w:r>
        <w:rPr>
          <w:spacing w:val="0"/>
          <w:w w:val="100"/>
          <w:position w:val="0"/>
          <w:sz w:val="18"/>
          <w:szCs w:val="18"/>
          <w:lang w:val="en-US" w:eastAsia="en-US" w:bidi="en-US"/>
        </w:rPr>
        <w:t xml:space="preserve">EPO </w:t>
      </w:r>
      <w:r>
        <w:rPr>
          <w:spacing w:val="0"/>
          <w:w w:val="100"/>
          <w:position w:val="0"/>
          <w:sz w:val="18"/>
          <w:szCs w:val="18"/>
        </w:rPr>
        <w:t>)</w:t>
      </w:r>
      <w:r>
        <w:rPr>
          <w:spacing w:val="0"/>
          <w:w w:val="100"/>
          <w:position w:val="0"/>
        </w:rPr>
        <w:t>生成，改善 患者血红蛋白水平,且不受微炎症状态影响;增加 机体对铁的吸收、转运和利用，减少铁剂用量。推 荐根据体重设定起始剂量，同时应结合患者既往使 用</w:t>
      </w:r>
      <w:r>
        <w:rPr>
          <w:spacing w:val="0"/>
          <w:w w:val="100"/>
          <w:position w:val="0"/>
          <w:sz w:val="18"/>
          <w:szCs w:val="18"/>
          <w:lang w:val="en-US" w:eastAsia="en-US" w:bidi="en-US"/>
        </w:rPr>
        <w:t>ESAs</w:t>
      </w:r>
      <w:r>
        <w:rPr>
          <w:spacing w:val="0"/>
          <w:w w:val="100"/>
          <w:position w:val="0"/>
        </w:rPr>
        <w:t>剂量以及基础血红蛋白水平、铁代谢等多种 因素进行调整。</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6.2 CVD CKD</w:t>
      </w:r>
      <w:r>
        <w:rPr>
          <w:spacing w:val="0"/>
          <w:w w:val="100"/>
          <w:position w:val="0"/>
        </w:rPr>
        <w:t>和</w:t>
      </w:r>
      <w:r>
        <w:rPr>
          <w:spacing w:val="0"/>
          <w:w w:val="100"/>
          <w:position w:val="0"/>
          <w:sz w:val="18"/>
          <w:szCs w:val="18"/>
          <w:lang w:val="en-US" w:eastAsia="en-US" w:bidi="en-US"/>
        </w:rPr>
        <w:t>CVD</w:t>
      </w:r>
      <w:r>
        <w:rPr>
          <w:spacing w:val="0"/>
          <w:w w:val="100"/>
          <w:position w:val="0"/>
        </w:rPr>
        <w:t xml:space="preserve">两者相互影响，合理管控 </w:t>
      </w:r>
      <w:r>
        <w:rPr>
          <w:spacing w:val="0"/>
          <w:w w:val="100"/>
          <w:position w:val="0"/>
          <w:sz w:val="18"/>
          <w:szCs w:val="18"/>
          <w:lang w:val="en-US" w:eastAsia="en-US" w:bidi="en-US"/>
        </w:rPr>
        <w:t>CVD</w:t>
      </w:r>
      <w:r>
        <w:rPr>
          <w:spacing w:val="0"/>
          <w:w w:val="100"/>
          <w:position w:val="0"/>
        </w:rPr>
        <w:t>将延缓</w:t>
      </w:r>
      <w:r>
        <w:rPr>
          <w:spacing w:val="0"/>
          <w:w w:val="100"/>
          <w:position w:val="0"/>
          <w:sz w:val="18"/>
          <w:szCs w:val="18"/>
          <w:lang w:val="en-US" w:eastAsia="en-US" w:bidi="en-US"/>
        </w:rPr>
        <w:t>CKD</w:t>
      </w:r>
      <w:r>
        <w:rPr>
          <w:spacing w:val="0"/>
          <w:w w:val="100"/>
          <w:position w:val="0"/>
        </w:rPr>
        <w:t>进展。</w:t>
      </w:r>
      <w:r>
        <w:rPr>
          <w:spacing w:val="0"/>
          <w:w w:val="100"/>
          <w:position w:val="0"/>
          <w:sz w:val="18"/>
          <w:szCs w:val="18"/>
          <w:lang w:val="en-US" w:eastAsia="en-US" w:bidi="en-US"/>
        </w:rPr>
        <w:t>CKD</w:t>
      </w:r>
      <w:r>
        <w:rPr>
          <w:spacing w:val="0"/>
          <w:w w:val="100"/>
          <w:position w:val="0"/>
        </w:rPr>
        <w:t>患者的</w:t>
      </w:r>
      <w:r>
        <w:rPr>
          <w:spacing w:val="0"/>
          <w:w w:val="100"/>
          <w:position w:val="0"/>
          <w:sz w:val="18"/>
          <w:szCs w:val="18"/>
          <w:lang w:val="en-US" w:eastAsia="en-US" w:bidi="en-US"/>
        </w:rPr>
        <w:t>CVD</w:t>
      </w:r>
      <w:r>
        <w:rPr>
          <w:spacing w:val="0"/>
          <w:w w:val="100"/>
          <w:position w:val="0"/>
        </w:rPr>
        <w:t>筛査和处 理措施与非</w:t>
      </w:r>
      <w:r>
        <w:rPr>
          <w:spacing w:val="0"/>
          <w:w w:val="100"/>
          <w:position w:val="0"/>
          <w:sz w:val="18"/>
          <w:szCs w:val="18"/>
          <w:lang w:val="en-US" w:eastAsia="en-US" w:bidi="en-US"/>
        </w:rPr>
        <w:t>CKD</w:t>
      </w:r>
      <w:r>
        <w:rPr>
          <w:spacing w:val="0"/>
          <w:w w:val="100"/>
          <w:position w:val="0"/>
        </w:rPr>
        <w:t>一致。指南指出，肌钙蛋白用于诊 断</w:t>
      </w:r>
      <w:r>
        <w:rPr>
          <w:spacing w:val="0"/>
          <w:w w:val="100"/>
          <w:position w:val="0"/>
          <w:sz w:val="18"/>
          <w:szCs w:val="18"/>
          <w:lang w:val="en-US" w:eastAsia="en-US" w:bidi="en-US"/>
        </w:rPr>
        <w:t>CKD</w:t>
      </w:r>
      <w:r>
        <w:rPr>
          <w:spacing w:val="0"/>
          <w:w w:val="100"/>
          <w:position w:val="0"/>
        </w:rPr>
        <w:t>患者急性冠状动脉综合征(</w:t>
      </w:r>
      <w:r>
        <w:rPr>
          <w:spacing w:val="0"/>
          <w:w w:val="100"/>
          <w:position w:val="0"/>
          <w:sz w:val="18"/>
          <w:szCs w:val="18"/>
          <w:lang w:val="en-US" w:eastAsia="en-US" w:bidi="en-US"/>
        </w:rPr>
        <w:t>acute coronary syndrome ,ACS)</w:t>
      </w:r>
      <w:r>
        <w:rPr>
          <w:spacing w:val="0"/>
          <w:w w:val="100"/>
          <w:position w:val="0"/>
        </w:rPr>
        <w:t>时需慎重，因为无</w:t>
      </w:r>
      <w:r>
        <w:rPr>
          <w:spacing w:val="0"/>
          <w:w w:val="100"/>
          <w:position w:val="0"/>
          <w:sz w:val="18"/>
          <w:szCs w:val="18"/>
          <w:lang w:val="en-US" w:eastAsia="en-US" w:bidi="en-US"/>
        </w:rPr>
        <w:t>ACS</w:t>
      </w:r>
      <w:r>
        <w:rPr>
          <w:spacing w:val="0"/>
          <w:w w:val="100"/>
          <w:position w:val="0"/>
        </w:rPr>
        <w:t>的</w:t>
      </w:r>
      <w:r>
        <w:rPr>
          <w:spacing w:val="0"/>
          <w:w w:val="100"/>
          <w:position w:val="0"/>
          <w:sz w:val="18"/>
          <w:szCs w:val="18"/>
          <w:lang w:val="en-US" w:eastAsia="en-US" w:bidi="en-US"/>
        </w:rPr>
        <w:t>CKD</w:t>
      </w:r>
      <w:r>
        <w:rPr>
          <w:spacing w:val="0"/>
          <w:w w:val="100"/>
          <w:position w:val="0"/>
        </w:rPr>
        <w:t>患者</w:t>
      </w:r>
      <w:r>
        <w:rPr>
          <w:spacing w:val="0"/>
          <w:w w:val="100"/>
          <w:position w:val="0"/>
          <w:sz w:val="18"/>
          <w:szCs w:val="18"/>
        </w:rPr>
        <w:t xml:space="preserve">， </w:t>
      </w:r>
      <w:r>
        <w:rPr>
          <w:spacing w:val="0"/>
          <w:w w:val="100"/>
          <w:position w:val="0"/>
        </w:rPr>
        <w:t>血肌钙蛋白也可能升高⑵。脑钠肽在</w:t>
      </w:r>
      <w:r>
        <w:rPr>
          <w:spacing w:val="0"/>
          <w:w w:val="100"/>
          <w:position w:val="0"/>
          <w:sz w:val="18"/>
          <w:szCs w:val="18"/>
          <w:lang w:val="en-US" w:eastAsia="en-US" w:bidi="en-US"/>
        </w:rPr>
        <w:t>G3a~G5</w:t>
      </w:r>
      <w:r>
        <w:rPr>
          <w:spacing w:val="0"/>
          <w:w w:val="100"/>
          <w:position w:val="0"/>
        </w:rPr>
        <w:t xml:space="preserve">期 </w:t>
      </w:r>
      <w:r>
        <w:rPr>
          <w:spacing w:val="0"/>
          <w:w w:val="100"/>
          <w:position w:val="0"/>
          <w:sz w:val="18"/>
          <w:szCs w:val="18"/>
          <w:lang w:val="en-US" w:eastAsia="en-US" w:bidi="en-US"/>
        </w:rPr>
        <w:t>CKD</w:t>
      </w:r>
      <w:r>
        <w:rPr>
          <w:spacing w:val="0"/>
          <w:w w:val="100"/>
          <w:position w:val="0"/>
        </w:rPr>
        <w:t xml:space="preserve">患者中诊断心力衰竭和评估容量负荷的可靠 性也有所降低⑴。针对射血分数降低的心力衰竭 </w:t>
      </w:r>
      <w:r>
        <w:rPr>
          <w:spacing w:val="0"/>
          <w:w w:val="100"/>
          <w:position w:val="0"/>
          <w:sz w:val="18"/>
          <w:szCs w:val="18"/>
        </w:rPr>
        <w:t>(</w:t>
      </w:r>
      <w:r>
        <w:rPr>
          <w:spacing w:val="0"/>
          <w:w w:val="100"/>
          <w:position w:val="0"/>
          <w:sz w:val="18"/>
          <w:szCs w:val="18"/>
          <w:lang w:val="en-US" w:eastAsia="en-US" w:bidi="en-US"/>
        </w:rPr>
        <w:t>HFrEF</w:t>
      </w:r>
      <w:r>
        <w:rPr>
          <w:spacing w:val="0"/>
          <w:w w:val="100"/>
          <w:position w:val="0"/>
          <w:sz w:val="18"/>
          <w:szCs w:val="18"/>
        </w:rPr>
        <w:t>)</w:t>
      </w:r>
      <w:r>
        <w:rPr>
          <w:spacing w:val="0"/>
          <w:w w:val="100"/>
          <w:position w:val="0"/>
        </w:rPr>
        <w:t>，对于能够耐受</w:t>
      </w:r>
      <w:r>
        <w:rPr>
          <w:spacing w:val="0"/>
          <w:w w:val="100"/>
          <w:position w:val="0"/>
          <w:sz w:val="18"/>
          <w:szCs w:val="18"/>
          <w:lang w:val="en-US" w:eastAsia="en-US" w:bidi="en-US"/>
        </w:rPr>
        <w:t>ARB/ACEI</w:t>
      </w:r>
      <w:r>
        <w:rPr>
          <w:spacing w:val="0"/>
          <w:w w:val="100"/>
          <w:position w:val="0"/>
        </w:rPr>
        <w:t>治疗的</w:t>
      </w:r>
      <w:r>
        <w:rPr>
          <w:spacing w:val="0"/>
          <w:w w:val="100"/>
          <w:position w:val="0"/>
          <w:sz w:val="18"/>
          <w:szCs w:val="18"/>
          <w:lang w:val="en-US" w:eastAsia="en-US" w:bidi="en-US"/>
        </w:rPr>
        <w:t>CKD</w:t>
      </w:r>
      <w:r>
        <w:rPr>
          <w:spacing w:val="0"/>
          <w:w w:val="100"/>
          <w:position w:val="0"/>
        </w:rPr>
        <w:t xml:space="preserve">伴 </w:t>
      </w:r>
      <w:r>
        <w:rPr>
          <w:spacing w:val="0"/>
          <w:w w:val="100"/>
          <w:position w:val="0"/>
          <w:sz w:val="18"/>
          <w:szCs w:val="18"/>
          <w:lang w:val="en-US" w:eastAsia="en-US" w:bidi="en-US"/>
        </w:rPr>
        <w:t>HFrEF</w:t>
      </w:r>
      <w:r>
        <w:rPr>
          <w:spacing w:val="0"/>
          <w:w w:val="100"/>
          <w:position w:val="0"/>
        </w:rPr>
        <w:t>患者，建议使用血管紧张素受体脑啡肽酶抑 制剂(</w:t>
      </w:r>
      <w:r>
        <w:rPr>
          <w:spacing w:val="0"/>
          <w:w w:val="100"/>
          <w:position w:val="0"/>
          <w:sz w:val="18"/>
          <w:szCs w:val="18"/>
          <w:lang w:val="en-US" w:eastAsia="en-US" w:bidi="en-US"/>
        </w:rPr>
        <w:t>ARNI)</w:t>
      </w:r>
      <w:r>
        <w:rPr>
          <w:spacing w:val="0"/>
          <w:w w:val="100"/>
          <w:position w:val="0"/>
        </w:rPr>
        <w:t>替代</w:t>
      </w:r>
      <w:r>
        <w:rPr>
          <w:spacing w:val="0"/>
          <w:w w:val="100"/>
          <w:position w:val="0"/>
          <w:sz w:val="18"/>
          <w:szCs w:val="18"/>
          <w:lang w:val="en-US" w:eastAsia="en-US" w:bidi="en-US"/>
        </w:rPr>
        <w:t>ARB/ACEI</w:t>
      </w:r>
      <w:r>
        <w:rPr>
          <w:spacing w:val="0"/>
          <w:w w:val="100"/>
          <w:position w:val="0"/>
        </w:rPr>
        <w:t xml:space="preserve">进一步控制心力衰竭 症状、延缓心力衰竭进展并降低病死率。使用 </w:t>
      </w:r>
      <w:r>
        <w:rPr>
          <w:spacing w:val="0"/>
          <w:w w:val="100"/>
          <w:position w:val="0"/>
          <w:sz w:val="18"/>
          <w:szCs w:val="18"/>
          <w:lang w:val="en-US" w:eastAsia="en-US" w:bidi="en-US"/>
        </w:rPr>
        <w:t>ARNI</w:t>
      </w:r>
      <w:r>
        <w:rPr>
          <w:spacing w:val="0"/>
          <w:w w:val="100"/>
          <w:position w:val="0"/>
        </w:rPr>
        <w:t xml:space="preserve">时建议小剂量开始,逐渐滴定至目标剂量5。 </w:t>
      </w:r>
      <w:r>
        <w:rPr>
          <w:spacing w:val="0"/>
          <w:w w:val="100"/>
          <w:position w:val="0"/>
          <w:sz w:val="18"/>
          <w:szCs w:val="18"/>
          <w:lang w:val="en-US" w:eastAsia="en-US" w:bidi="en-US"/>
        </w:rPr>
        <w:t>6.3</w:t>
      </w:r>
      <w:r>
        <w:rPr>
          <w:spacing w:val="0"/>
          <w:w w:val="100"/>
          <w:position w:val="0"/>
        </w:rPr>
        <w:t>慢性肾脏病-矿物质-骨代谢异常</w:t>
      </w:r>
      <w:r>
        <w:rPr>
          <w:spacing w:val="0"/>
          <w:w w:val="100"/>
          <w:position w:val="0"/>
          <w:sz w:val="18"/>
          <w:szCs w:val="18"/>
          <w:lang w:val="en-US" w:eastAsia="en-US" w:bidi="en-US"/>
        </w:rPr>
        <w:t>(chronic kidney disease- mineral and bone disorder, CKD- MBD) CKD-MBD</w:t>
      </w:r>
      <w:r>
        <w:rPr>
          <w:spacing w:val="0"/>
          <w:w w:val="100"/>
          <w:position w:val="0"/>
        </w:rPr>
        <w:t>防治的目的在于提高存活率以 及减少心血管事件和骨折风险。指南根据</w:t>
      </w:r>
      <w:r>
        <w:rPr>
          <w:spacing w:val="0"/>
          <w:w w:val="100"/>
          <w:position w:val="0"/>
          <w:sz w:val="18"/>
          <w:szCs w:val="18"/>
          <w:lang w:val="en-US" w:eastAsia="en-US" w:bidi="en-US"/>
        </w:rPr>
        <w:t>CKD</w:t>
      </w:r>
      <w:r>
        <w:rPr>
          <w:spacing w:val="0"/>
          <w:w w:val="100"/>
          <w:position w:val="0"/>
        </w:rPr>
        <w:t>各 期给出血磷、钙、碱性磷酸酶</w:t>
      </w:r>
      <w:r>
        <w:rPr>
          <w:spacing w:val="0"/>
          <w:w w:val="100"/>
          <w:position w:val="0"/>
          <w:sz w:val="18"/>
          <w:szCs w:val="18"/>
          <w:lang w:val="en-US" w:eastAsia="en-US" w:bidi="en-US"/>
        </w:rPr>
        <w:t>(ALP)</w:t>
      </w:r>
      <w:r>
        <w:rPr>
          <w:spacing w:val="0"/>
          <w:w w:val="100"/>
          <w:position w:val="0"/>
          <w:lang w:val="en-US" w:eastAsia="en-US" w:bidi="en-US"/>
        </w:rPr>
        <w:t>、</w:t>
      </w:r>
      <w:r>
        <w:rPr>
          <w:spacing w:val="0"/>
          <w:w w:val="100"/>
          <w:position w:val="0"/>
        </w:rPr>
        <w:t>全段甲状旁腺 素</w:t>
      </w:r>
      <w:r>
        <w:rPr>
          <w:spacing w:val="0"/>
          <w:w w:val="100"/>
          <w:position w:val="0"/>
          <w:sz w:val="18"/>
          <w:szCs w:val="18"/>
          <w:lang w:val="en-US" w:eastAsia="en-US" w:bidi="en-US"/>
        </w:rPr>
        <w:t>(iPTH)</w:t>
      </w:r>
      <w:r>
        <w:rPr>
          <w:spacing w:val="0"/>
          <w:w w:val="100"/>
          <w:position w:val="0"/>
        </w:rPr>
        <w:t>和</w:t>
      </w:r>
      <w:r>
        <w:rPr>
          <w:spacing w:val="0"/>
          <w:w w:val="100"/>
          <w:position w:val="0"/>
          <w:sz w:val="18"/>
          <w:szCs w:val="18"/>
        </w:rPr>
        <w:t>25</w:t>
      </w:r>
      <w:r>
        <w:rPr>
          <w:spacing w:val="0"/>
          <w:w w:val="100"/>
          <w:position w:val="0"/>
        </w:rPr>
        <w:t>-羟维生素</w:t>
      </w:r>
      <w:r>
        <w:rPr>
          <w:spacing w:val="0"/>
          <w:w w:val="100"/>
          <w:position w:val="0"/>
          <w:sz w:val="18"/>
          <w:szCs w:val="18"/>
          <w:lang w:val="en-US" w:eastAsia="en-US" w:bidi="en-US"/>
        </w:rPr>
        <w:t>D</w:t>
      </w:r>
      <w:r>
        <w:rPr>
          <w:spacing w:val="0"/>
          <w:w w:val="100"/>
          <w:position w:val="0"/>
        </w:rPr>
        <w:t>检测频率建议。山。对 于</w:t>
      </w:r>
      <w:r>
        <w:rPr>
          <w:spacing w:val="0"/>
          <w:w w:val="100"/>
          <w:position w:val="0"/>
          <w:sz w:val="18"/>
          <w:szCs w:val="18"/>
          <w:lang w:val="en-US" w:eastAsia="en-US" w:bidi="en-US"/>
        </w:rPr>
        <w:t>G3</w:t>
      </w:r>
      <w:r>
        <w:rPr>
          <w:spacing w:val="0"/>
          <w:w w:val="100"/>
          <w:position w:val="0"/>
        </w:rPr>
        <w:t>期患者，建议磷摄入量应限制为</w:t>
      </w:r>
      <w:r>
        <w:rPr>
          <w:spacing w:val="0"/>
          <w:w w:val="100"/>
          <w:position w:val="0"/>
          <w:sz w:val="18"/>
          <w:szCs w:val="18"/>
          <w:lang w:val="en-US" w:eastAsia="en-US" w:bidi="en-US"/>
        </w:rPr>
        <w:t xml:space="preserve">800-1000 mg/d, </w:t>
      </w:r>
      <w:r>
        <w:rPr>
          <w:spacing w:val="0"/>
          <w:w w:val="100"/>
          <w:position w:val="0"/>
        </w:rPr>
        <w:t>若血磷水平仍高于目标值,应服用肠道磷结合剂</w:t>
      </w:r>
      <w:r>
        <w:rPr>
          <w:spacing w:val="0"/>
          <w:w w:val="100"/>
          <w:position w:val="0"/>
          <w:vertAlign w:val="subscript"/>
          <w:lang w:val="en-US" w:eastAsia="en-US" w:bidi="en-US"/>
        </w:rPr>
        <w:t xml:space="preserve">c </w:t>
      </w:r>
      <w:r>
        <w:rPr>
          <w:spacing w:val="0"/>
          <w:w w:val="100"/>
          <w:position w:val="0"/>
        </w:rPr>
        <w:t>血钙浓度建议维持在正常范围由。</w:t>
      </w:r>
      <w:r>
        <w:rPr>
          <w:spacing w:val="0"/>
          <w:w w:val="100"/>
          <w:position w:val="0"/>
          <w:sz w:val="18"/>
          <w:szCs w:val="18"/>
          <w:lang w:val="en-US" w:eastAsia="en-US" w:bidi="en-US"/>
        </w:rPr>
        <w:t>iPTH</w:t>
      </w:r>
      <w:r>
        <w:rPr>
          <w:spacing w:val="0"/>
          <w:w w:val="100"/>
          <w:position w:val="0"/>
        </w:rPr>
        <w:t>建议控制 在正常值上限</w:t>
      </w:r>
      <w:r>
        <w:rPr>
          <w:spacing w:val="0"/>
          <w:w w:val="100"/>
          <w:position w:val="0"/>
          <w:sz w:val="18"/>
          <w:szCs w:val="18"/>
        </w:rPr>
        <w:t>2~5</w:t>
      </w:r>
      <w:r>
        <w:rPr>
          <w:spacing w:val="0"/>
          <w:w w:val="100"/>
          <w:position w:val="0"/>
        </w:rPr>
        <w:t>倍由。</w:t>
      </w:r>
    </w:p>
    <w:p>
      <w:pPr>
        <w:pStyle w:val="Style2"/>
        <w:keepNext w:val="0"/>
        <w:keepLines w:val="0"/>
        <w:widowControl w:val="0"/>
        <w:shd w:val="clear" w:color="auto" w:fill="auto"/>
        <w:bidi w:val="0"/>
        <w:spacing w:before="0" w:after="0" w:line="333" w:lineRule="exact"/>
        <w:ind w:left="0" w:right="0" w:firstLine="0"/>
        <w:jc w:val="both"/>
      </w:pPr>
      <w:r>
        <w:rPr>
          <w:spacing w:val="0"/>
          <w:w w:val="100"/>
          <w:position w:val="0"/>
          <w:sz w:val="18"/>
          <w:szCs w:val="18"/>
          <w:lang w:val="en-US" w:eastAsia="en-US" w:bidi="en-US"/>
        </w:rPr>
        <w:t>6.4</w:t>
      </w:r>
      <w:r>
        <w:rPr>
          <w:spacing w:val="0"/>
          <w:w w:val="100"/>
          <w:position w:val="0"/>
        </w:rPr>
        <w:t>酸中毒 指南建议当</w:t>
      </w:r>
      <w:r>
        <w:rPr>
          <w:spacing w:val="0"/>
          <w:w w:val="100"/>
          <w:position w:val="0"/>
          <w:sz w:val="18"/>
          <w:szCs w:val="18"/>
          <w:lang w:val="en-US" w:eastAsia="en-US" w:bidi="en-US"/>
        </w:rPr>
        <w:t>CKD</w:t>
      </w:r>
      <w:r>
        <w:rPr>
          <w:spacing w:val="0"/>
          <w:w w:val="100"/>
          <w:position w:val="0"/>
        </w:rPr>
        <w:t>患者血</w:t>
      </w:r>
      <w:r>
        <w:rPr>
          <w:spacing w:val="0"/>
          <w:w w:val="100"/>
          <w:position w:val="0"/>
          <w:sz w:val="18"/>
          <w:szCs w:val="18"/>
          <w:lang w:val="en-US" w:eastAsia="en-US" w:bidi="en-US"/>
        </w:rPr>
        <w:t>HCO</w:t>
      </w:r>
      <w:r>
        <w:rPr>
          <w:spacing w:val="0"/>
          <w:w w:val="100"/>
          <w:position w:val="0"/>
        </w:rPr>
        <w:t xml:space="preserve">「浓度＜ </w:t>
      </w:r>
      <w:r>
        <w:rPr>
          <w:spacing w:val="0"/>
          <w:w w:val="100"/>
          <w:position w:val="0"/>
          <w:sz w:val="18"/>
          <w:szCs w:val="18"/>
        </w:rPr>
        <w:t xml:space="preserve">22 </w:t>
      </w:r>
      <w:r>
        <w:rPr>
          <w:spacing w:val="0"/>
          <w:w w:val="100"/>
          <w:position w:val="0"/>
          <w:sz w:val="18"/>
          <w:szCs w:val="18"/>
          <w:lang w:val="en-US" w:eastAsia="en-US" w:bidi="en-US"/>
        </w:rPr>
        <w:t>mmol/L</w:t>
      </w:r>
      <w:r>
        <w:rPr>
          <w:spacing w:val="0"/>
          <w:w w:val="100"/>
          <w:position w:val="0"/>
        </w:rPr>
        <w:t>时，口服碳酸氢钠等碱制剂，使</w:t>
      </w:r>
      <w:r>
        <w:rPr>
          <w:spacing w:val="0"/>
          <w:w w:val="100"/>
          <w:position w:val="0"/>
          <w:sz w:val="18"/>
          <w:szCs w:val="18"/>
          <w:lang w:val="en-US" w:eastAsia="en-US" w:bidi="en-US"/>
        </w:rPr>
        <w:t>HCO</w:t>
      </w:r>
      <w:r>
        <w:rPr>
          <w:spacing w:val="0"/>
          <w:w w:val="100"/>
          <w:position w:val="0"/>
          <w:sz w:val="18"/>
          <w:szCs w:val="18"/>
          <w:vertAlign w:val="subscript"/>
          <w:lang w:val="en-US" w:eastAsia="en-US" w:bidi="en-US"/>
        </w:rPr>
        <w:t>3</w:t>
      </w:r>
      <w:r>
        <w:rPr>
          <w:spacing w:val="0"/>
          <w:w w:val="100"/>
          <w:position w:val="0"/>
        </w:rPr>
        <w:t>浓 度维持在正常水平⑴。</w:t>
      </w:r>
    </w:p>
    <w:p>
      <w:pPr>
        <w:pStyle w:val="Style2"/>
        <w:keepNext w:val="0"/>
        <w:keepLines w:val="0"/>
        <w:widowControl w:val="0"/>
        <w:shd w:val="clear" w:color="auto" w:fill="auto"/>
        <w:bidi w:val="0"/>
        <w:spacing w:before="0" w:after="0" w:line="333" w:lineRule="exact"/>
        <w:ind w:left="0" w:right="0" w:firstLine="0"/>
        <w:jc w:val="both"/>
      </w:pPr>
      <w:r>
        <w:rPr>
          <w:spacing w:val="0"/>
          <w:w w:val="100"/>
          <w:position w:val="0"/>
          <w:sz w:val="18"/>
          <w:szCs w:val="18"/>
          <w:lang w:val="en-US" w:eastAsia="en-US" w:bidi="en-US"/>
        </w:rPr>
        <w:t>6.5</w:t>
      </w:r>
      <w:r>
        <w:rPr>
          <w:spacing w:val="0"/>
          <w:w w:val="100"/>
          <w:position w:val="0"/>
        </w:rPr>
        <w:t>高钾血症</w:t>
      </w:r>
      <w:r>
        <w:rPr>
          <w:spacing w:val="0"/>
          <w:w w:val="100"/>
          <w:position w:val="0"/>
          <w:sz w:val="18"/>
          <w:szCs w:val="18"/>
          <w:lang w:val="en-US" w:eastAsia="en-US" w:bidi="en-US"/>
        </w:rPr>
        <w:t>CKD</w:t>
      </w:r>
      <w:r>
        <w:rPr>
          <w:spacing w:val="0"/>
          <w:w w:val="100"/>
          <w:position w:val="0"/>
        </w:rPr>
        <w:t>患者高钾血症一旦发生，容易 反复发作，需加强血钾长期管理。治疗措施包括低 钾饮食、调整肾素-血管紧张素-醛固酮系统抑制剂 用量、口服降钾剂、酌情使用排钾利尿剂等。对于 药物不能控制的急性高钾血症，启动紧急透析治 疗。常用口服降钾剂包括聚苯乙烯磺酸钠、聚苯乙 烯磺酸钙、环硅酸错钠等。环硅酸错钠可用于急性 高钾血症降钾治疗，也可用于慢性高钾血症的长期 管理。"气</w:t>
      </w:r>
    </w:p>
    <w:p>
      <w:pPr>
        <w:pStyle w:val="Style2"/>
        <w:keepNext w:val="0"/>
        <w:keepLines w:val="0"/>
        <w:widowControl w:val="0"/>
        <w:shd w:val="clear" w:color="auto" w:fill="auto"/>
        <w:bidi w:val="0"/>
        <w:spacing w:before="0" w:after="0" w:line="335" w:lineRule="exact"/>
        <w:ind w:left="0" w:right="0" w:firstLine="0"/>
        <w:jc w:val="both"/>
      </w:pPr>
      <w:r>
        <w:rPr>
          <w:i/>
          <w:iCs/>
          <w:spacing w:val="0"/>
          <w:w w:val="100"/>
          <w:position w:val="0"/>
          <w:lang w:val="en-US" w:eastAsia="en-US" w:bidi="en-US"/>
        </w:rPr>
        <w:t>6.6</w:t>
      </w:r>
      <w:r>
        <w:rPr>
          <w:spacing w:val="0"/>
          <w:w w:val="100"/>
          <w:position w:val="0"/>
        </w:rPr>
        <w:t>感染防治感染可有效减少</w:t>
      </w:r>
      <w:r>
        <w:rPr>
          <w:spacing w:val="0"/>
          <w:w w:val="100"/>
          <w:position w:val="0"/>
          <w:sz w:val="18"/>
          <w:szCs w:val="18"/>
          <w:lang w:val="en-US" w:eastAsia="en-US" w:bidi="en-US"/>
        </w:rPr>
        <w:t>CKD</w:t>
      </w:r>
      <w:r>
        <w:rPr>
          <w:spacing w:val="0"/>
          <w:w w:val="100"/>
          <w:position w:val="0"/>
        </w:rPr>
        <w:t>肾功能急剧 恶化的风险，延缓</w:t>
      </w:r>
      <w:r>
        <w:rPr>
          <w:spacing w:val="0"/>
          <w:w w:val="100"/>
          <w:position w:val="0"/>
          <w:sz w:val="18"/>
          <w:szCs w:val="18"/>
          <w:lang w:val="en-US" w:eastAsia="en-US" w:bidi="en-US"/>
        </w:rPr>
        <w:t>CKD</w:t>
      </w:r>
      <w:r>
        <w:rPr>
          <w:spacing w:val="0"/>
          <w:w w:val="100"/>
          <w:position w:val="0"/>
        </w:rPr>
        <w:t>进展。建议采用疫苗预防感 染。注意在使用活疫苗之前应充分评估患者的免 疫状态，遵守政府机构的相关接种文件。</w:t>
      </w:r>
    </w:p>
    <w:p>
      <w:pPr>
        <w:pStyle w:val="Style2"/>
        <w:keepNext w:val="0"/>
        <w:keepLines w:val="0"/>
        <w:widowControl w:val="0"/>
        <w:shd w:val="clear" w:color="auto" w:fill="auto"/>
        <w:bidi w:val="0"/>
        <w:spacing w:before="0" w:after="160" w:line="335" w:lineRule="exact"/>
        <w:ind w:left="0" w:right="0" w:firstLine="0"/>
        <w:jc w:val="both"/>
      </w:pPr>
      <w:r>
        <w:rPr>
          <w:spacing w:val="0"/>
          <w:w w:val="100"/>
          <w:position w:val="0"/>
          <w:sz w:val="18"/>
          <w:szCs w:val="18"/>
          <w:lang w:val="en-US" w:eastAsia="en-US" w:bidi="en-US"/>
        </w:rPr>
        <w:t>6.7</w:t>
      </w:r>
      <w:r>
        <w:rPr>
          <w:spacing w:val="0"/>
          <w:w w:val="100"/>
          <w:position w:val="0"/>
        </w:rPr>
        <w:t>同型半胱氨酸血症血清同型半胱氨酸主要 经肾脏排泄,</w:t>
      </w:r>
      <w:r>
        <w:rPr>
          <w:spacing w:val="0"/>
          <w:w w:val="100"/>
          <w:position w:val="0"/>
          <w:sz w:val="18"/>
          <w:szCs w:val="18"/>
          <w:lang w:val="en-US" w:eastAsia="en-US" w:bidi="en-US"/>
        </w:rPr>
        <w:t>CKD</w:t>
      </w:r>
      <w:r>
        <w:rPr>
          <w:spacing w:val="0"/>
          <w:w w:val="100"/>
          <w:position w:val="0"/>
        </w:rPr>
        <w:t>患者尤其是</w:t>
      </w:r>
      <w:r>
        <w:rPr>
          <w:spacing w:val="0"/>
          <w:w w:val="100"/>
          <w:position w:val="0"/>
          <w:sz w:val="18"/>
          <w:szCs w:val="18"/>
          <w:lang w:val="en-US" w:eastAsia="en-US" w:bidi="en-US"/>
        </w:rPr>
        <w:t>ESKD</w:t>
      </w:r>
      <w:r>
        <w:rPr>
          <w:spacing w:val="0"/>
          <w:w w:val="100"/>
          <w:position w:val="0"/>
        </w:rPr>
        <w:t>患者血清同型 半胱氨酸普遍升高。叶酸是纠正同型半胱氨酸血 症的常用药物，可延缓</w:t>
      </w:r>
      <w:r>
        <w:rPr>
          <w:spacing w:val="0"/>
          <w:w w:val="100"/>
          <w:position w:val="0"/>
          <w:sz w:val="18"/>
          <w:szCs w:val="18"/>
          <w:lang w:val="en-US" w:eastAsia="en-US" w:bidi="en-US"/>
        </w:rPr>
        <w:t>CKD</w:t>
      </w:r>
      <w:r>
        <w:rPr>
          <w:spacing w:val="0"/>
          <w:w w:val="100"/>
          <w:position w:val="0"/>
        </w:rPr>
        <w:t>进展，但能否降低</w:t>
      </w:r>
      <w:r>
        <w:rPr>
          <w:spacing w:val="0"/>
          <w:w w:val="100"/>
          <w:position w:val="0"/>
          <w:sz w:val="18"/>
          <w:szCs w:val="18"/>
          <w:lang w:val="en-US" w:eastAsia="en-US" w:bidi="en-US"/>
        </w:rPr>
        <w:t xml:space="preserve">CKD </w:t>
      </w:r>
      <w:r>
        <w:rPr>
          <w:spacing w:val="0"/>
          <w:w w:val="100"/>
          <w:position w:val="0"/>
        </w:rPr>
        <w:t>患者</w:t>
      </w:r>
      <w:r>
        <w:rPr>
          <w:spacing w:val="0"/>
          <w:w w:val="100"/>
          <w:position w:val="0"/>
          <w:sz w:val="18"/>
          <w:szCs w:val="18"/>
          <w:lang w:val="en-US" w:eastAsia="en-US" w:bidi="en-US"/>
        </w:rPr>
        <w:t>CVD</w:t>
      </w:r>
      <w:r>
        <w:rPr>
          <w:spacing w:val="0"/>
          <w:w w:val="100"/>
          <w:position w:val="0"/>
        </w:rPr>
        <w:t>的发生风险还存在争议祯小。</w:t>
      </w:r>
    </w:p>
    <w:p>
      <w:pPr>
        <w:pStyle w:val="Style2"/>
        <w:keepNext w:val="0"/>
        <w:keepLines w:val="0"/>
        <w:widowControl w:val="0"/>
        <w:shd w:val="clear" w:color="auto" w:fill="auto"/>
        <w:bidi w:val="0"/>
        <w:spacing w:before="0" w:after="160" w:line="335" w:lineRule="exact"/>
        <w:ind w:left="0" w:right="0" w:firstLine="0"/>
        <w:jc w:val="both"/>
      </w:pPr>
      <w:r>
        <w:rPr>
          <w:spacing w:val="0"/>
          <w:w w:val="100"/>
          <w:position w:val="0"/>
          <w:sz w:val="18"/>
          <w:szCs w:val="18"/>
        </w:rPr>
        <w:t xml:space="preserve">7 </w:t>
      </w:r>
      <w:r>
        <w:rPr>
          <w:spacing w:val="0"/>
          <w:w w:val="100"/>
          <w:position w:val="0"/>
          <w:sz w:val="18"/>
          <w:szCs w:val="18"/>
          <w:lang w:val="en-US" w:eastAsia="en-US" w:bidi="en-US"/>
        </w:rPr>
        <w:t>ESKD</w:t>
      </w:r>
      <w:r>
        <w:rPr>
          <w:spacing w:val="0"/>
          <w:w w:val="100"/>
          <w:position w:val="0"/>
        </w:rPr>
        <w:t>的替代治疗</w:t>
      </w:r>
    </w:p>
    <w:p>
      <w:pPr>
        <w:pStyle w:val="Style2"/>
        <w:keepNext w:val="0"/>
        <w:keepLines w:val="0"/>
        <w:widowControl w:val="0"/>
        <w:shd w:val="clear" w:color="auto" w:fill="auto"/>
        <w:bidi w:val="0"/>
        <w:spacing w:before="0" w:after="80" w:line="337" w:lineRule="exact"/>
        <w:ind w:left="0" w:right="0" w:firstLine="420"/>
        <w:jc w:val="both"/>
      </w:pPr>
      <w:r>
        <w:rPr>
          <w:spacing w:val="0"/>
          <w:w w:val="100"/>
          <w:position w:val="0"/>
        </w:rPr>
        <w:t>指南推荐采用肾衰竭风险方程(</w:t>
      </w:r>
      <w:r>
        <w:rPr>
          <w:spacing w:val="0"/>
          <w:w w:val="100"/>
          <w:position w:val="0"/>
          <w:sz w:val="18"/>
          <w:szCs w:val="18"/>
          <w:lang w:val="en-US" w:eastAsia="en-US" w:bidi="en-US"/>
        </w:rPr>
        <w:t>kidney failure risk equation, KFRE)</w:t>
      </w:r>
      <w:r>
        <w:rPr>
          <w:spacing w:val="0"/>
          <w:w w:val="100"/>
          <w:position w:val="0"/>
        </w:rPr>
        <w:t xml:space="preserve">模型进行 </w:t>
      </w:r>
      <w:r>
        <w:rPr>
          <w:spacing w:val="0"/>
          <w:w w:val="100"/>
          <w:position w:val="0"/>
          <w:sz w:val="18"/>
          <w:szCs w:val="18"/>
          <w:lang w:val="en-US" w:eastAsia="en-US" w:bidi="en-US"/>
        </w:rPr>
        <w:t xml:space="preserve">CKD </w:t>
      </w:r>
      <w:r>
        <w:rPr>
          <w:spacing w:val="0"/>
          <w:w w:val="100"/>
          <w:position w:val="0"/>
        </w:rPr>
        <w:t xml:space="preserve">进展至 </w:t>
      </w:r>
      <w:r>
        <w:rPr>
          <w:spacing w:val="0"/>
          <w:w w:val="100"/>
          <w:position w:val="0"/>
          <w:sz w:val="18"/>
          <w:szCs w:val="18"/>
          <w:lang w:val="en-US" w:eastAsia="en-US" w:bidi="en-US"/>
        </w:rPr>
        <w:t xml:space="preserve">ESKD </w:t>
      </w:r>
      <w:r>
        <w:rPr>
          <w:spacing w:val="0"/>
          <w:w w:val="100"/>
          <w:position w:val="0"/>
        </w:rPr>
        <w:t>风 险的预测。对于开始透析时机的选择，指南根据病 程和病情的紧急程度，分别给出了一般和紧急透析 指征的建议。透析模式的选择需从患者病情、经济 条件及医疗设备综合考虑。指南同时指出，血液透 析和腹膜透析均无绝对禁忌证，但基于患者疾病状 态、血管条件、腹腔情况等，应避免相对禁忌证，以 取得更好的治疗效果。</w:t>
      </w:r>
    </w:p>
    <w:p>
      <w:pPr>
        <w:pStyle w:val="Style2"/>
        <w:keepNext w:val="0"/>
        <w:keepLines w:val="0"/>
        <w:widowControl w:val="0"/>
        <w:shd w:val="clear" w:color="auto" w:fill="auto"/>
        <w:bidi w:val="0"/>
        <w:spacing w:before="0" w:after="180" w:line="338" w:lineRule="exact"/>
        <w:ind w:left="0" w:right="0" w:firstLine="0"/>
        <w:jc w:val="both"/>
      </w:pPr>
      <w:r>
        <w:rPr>
          <w:spacing w:val="0"/>
          <w:w w:val="100"/>
          <w:position w:val="0"/>
          <w:sz w:val="18"/>
          <w:szCs w:val="18"/>
        </w:rPr>
        <w:t>8</w:t>
      </w:r>
      <w:r>
        <w:rPr>
          <w:spacing w:val="0"/>
          <w:w w:val="100"/>
          <w:position w:val="0"/>
        </w:rPr>
        <w:t>结语</w:t>
      </w:r>
    </w:p>
    <w:p>
      <w:pPr>
        <w:pStyle w:val="Style2"/>
        <w:keepNext w:val="0"/>
        <w:keepLines w:val="0"/>
        <w:widowControl w:val="0"/>
        <w:shd w:val="clear" w:color="auto" w:fill="auto"/>
        <w:bidi w:val="0"/>
        <w:spacing w:before="0" w:after="0" w:line="338" w:lineRule="exact"/>
        <w:ind w:left="0" w:right="0" w:firstLine="420"/>
        <w:jc w:val="both"/>
      </w:pPr>
      <w:r>
        <w:rPr>
          <w:spacing w:val="0"/>
          <w:w w:val="100"/>
          <w:position w:val="0"/>
          <w:sz w:val="18"/>
          <w:szCs w:val="18"/>
          <w:lang w:val="en-US" w:eastAsia="en-US" w:bidi="en-US"/>
        </w:rPr>
        <w:t>CKD</w:t>
      </w:r>
      <w:r>
        <w:rPr>
          <w:spacing w:val="0"/>
          <w:w w:val="100"/>
          <w:position w:val="0"/>
        </w:rPr>
        <w:t>是心脑血管疾病、糖尿病和恶性肿瘤等疾 病之外，又一严重危害人类健康的疾病,早发现、早 治疗具有重要意义</w:t>
      </w:r>
      <w:r>
        <w:rPr>
          <w:spacing w:val="0"/>
          <w:w w:val="100"/>
          <w:position w:val="0"/>
          <w:sz w:val="18"/>
          <w:szCs w:val="18"/>
          <w:lang w:val="en-US" w:eastAsia="en-US" w:bidi="en-US"/>
        </w:rPr>
        <w:t>o&lt;CKD</w:t>
      </w:r>
      <w:r>
        <w:rPr>
          <w:spacing w:val="0"/>
          <w:w w:val="100"/>
          <w:position w:val="0"/>
        </w:rPr>
        <w:t>早期筛查、诊断及防治指 南</w:t>
      </w:r>
      <w:r>
        <w:rPr>
          <w:spacing w:val="0"/>
          <w:w w:val="100"/>
          <w:position w:val="0"/>
          <w:sz w:val="18"/>
          <w:szCs w:val="18"/>
        </w:rPr>
        <w:t>(2022</w:t>
      </w:r>
      <w:r>
        <w:rPr>
          <w:spacing w:val="0"/>
          <w:w w:val="100"/>
          <w:position w:val="0"/>
        </w:rPr>
        <w:t>年版)》在</w:t>
      </w:r>
      <w:r>
        <w:rPr>
          <w:spacing w:val="0"/>
          <w:w w:val="100"/>
          <w:position w:val="0"/>
          <w:sz w:val="18"/>
          <w:szCs w:val="18"/>
        </w:rPr>
        <w:t>2017</w:t>
      </w:r>
      <w:r>
        <w:rPr>
          <w:spacing w:val="0"/>
          <w:w w:val="100"/>
          <w:position w:val="0"/>
        </w:rPr>
        <w:t>版指南的基础上,结合各领 域近年来的进展，遵循循证医学证据，结合中国国 情，提出了涵盖</w:t>
      </w:r>
      <w:r>
        <w:rPr>
          <w:spacing w:val="0"/>
          <w:w w:val="100"/>
          <w:position w:val="0"/>
          <w:sz w:val="18"/>
          <w:szCs w:val="18"/>
          <w:lang w:val="en-US" w:eastAsia="en-US" w:bidi="en-US"/>
        </w:rPr>
        <w:t>CKD</w:t>
      </w:r>
      <w:r>
        <w:rPr>
          <w:spacing w:val="0"/>
          <w:w w:val="100"/>
          <w:position w:val="0"/>
        </w:rPr>
        <w:t>筛査、诊断及防治各环节、切合 临床实际的全面建议。期望该指南用于指导临床 实践,推动我国医务人员对</w:t>
      </w:r>
      <w:r>
        <w:rPr>
          <w:spacing w:val="0"/>
          <w:w w:val="100"/>
          <w:position w:val="0"/>
          <w:sz w:val="18"/>
          <w:szCs w:val="18"/>
          <w:lang w:val="en-US" w:eastAsia="en-US" w:bidi="en-US"/>
        </w:rPr>
        <w:t>CKD</w:t>
      </w:r>
      <w:r>
        <w:rPr>
          <w:spacing w:val="0"/>
          <w:w w:val="100"/>
          <w:position w:val="0"/>
        </w:rPr>
        <w:t>的认识和管理迈向 更高水平。</w:t>
      </w:r>
    </w:p>
    <w:p>
      <w:pPr>
        <w:pStyle w:val="Style2"/>
        <w:keepNext w:val="0"/>
        <w:keepLines w:val="0"/>
        <w:widowControl w:val="0"/>
        <w:shd w:val="clear" w:color="auto" w:fill="auto"/>
        <w:bidi w:val="0"/>
        <w:spacing w:before="0" w:after="180" w:line="338" w:lineRule="exact"/>
        <w:ind w:left="0" w:right="0" w:firstLine="420"/>
        <w:jc w:val="both"/>
        <w:rPr>
          <w:sz w:val="19"/>
          <w:szCs w:val="19"/>
        </w:rPr>
      </w:pPr>
      <w:r>
        <w:rPr>
          <w:spacing w:val="0"/>
          <w:w w:val="100"/>
          <w:position w:val="0"/>
          <w:sz w:val="20"/>
          <w:szCs w:val="20"/>
        </w:rPr>
        <w:t>志谢:</w:t>
      </w:r>
      <w:r>
        <w:rPr>
          <w:spacing w:val="0"/>
          <w:w w:val="100"/>
          <w:position w:val="0"/>
          <w:sz w:val="19"/>
          <w:szCs w:val="19"/>
        </w:rPr>
        <w:t>感谢中国健康促进基金会医疗服务能力 建设专项基金之“慧研卓识</w:t>
      </w:r>
      <w:r>
        <w:rPr>
          <w:spacing w:val="0"/>
          <w:w w:val="100"/>
          <w:position w:val="0"/>
          <w:sz w:val="19"/>
          <w:szCs w:val="19"/>
          <w:lang w:val="zh-CN" w:eastAsia="zh-CN" w:bidi="zh-CN"/>
        </w:rPr>
        <w:t>”期</w:t>
      </w:r>
      <w:r>
        <w:rPr>
          <w:spacing w:val="0"/>
          <w:w w:val="100"/>
          <w:position w:val="0"/>
          <w:sz w:val="19"/>
          <w:szCs w:val="19"/>
        </w:rPr>
        <w:t>刊战略合作项目的 公益支持！</w:t>
      </w:r>
    </w:p>
    <w:p>
      <w:pPr>
        <w:pStyle w:val="Style15"/>
        <w:keepNext w:val="0"/>
        <w:keepLines w:val="0"/>
        <w:widowControl w:val="0"/>
        <w:shd w:val="clear" w:color="auto" w:fill="auto"/>
        <w:bidi w:val="0"/>
        <w:spacing w:before="0" w:after="180" w:line="281" w:lineRule="exact"/>
        <w:ind w:left="0" w:right="0" w:firstLine="0"/>
        <w:jc w:val="both"/>
      </w:pPr>
      <w:r>
        <w:rPr>
          <w:spacing w:val="0"/>
          <w:w w:val="100"/>
          <w:position w:val="0"/>
        </w:rPr>
        <w:t>参考文献</w:t>
      </w:r>
    </w:p>
    <w:p>
      <w:pPr>
        <w:pStyle w:val="Style15"/>
        <w:keepNext w:val="0"/>
        <w:keepLines w:val="0"/>
        <w:widowControl w:val="0"/>
        <w:shd w:val="clear" w:color="auto" w:fill="auto"/>
        <w:bidi w:val="0"/>
        <w:spacing w:before="0" w:after="0" w:line="281" w:lineRule="exact"/>
        <w:ind w:right="0" w:hanging="320"/>
        <w:jc w:val="both"/>
        <w:rPr>
          <w:sz w:val="12"/>
          <w:szCs w:val="12"/>
        </w:rPr>
      </w:pPr>
      <w:r>
        <w:rPr>
          <w:spacing w:val="0"/>
          <w:w w:val="100"/>
          <w:position w:val="0"/>
          <w:sz w:val="17"/>
          <w:szCs w:val="17"/>
        </w:rPr>
        <w:t>：1]</w:t>
      </w:r>
      <w:r>
        <w:rPr>
          <w:spacing w:val="0"/>
          <w:w w:val="100"/>
          <w:position w:val="0"/>
          <w:sz w:val="16"/>
          <w:szCs w:val="16"/>
        </w:rPr>
        <w:t>上海市肾内科临床质量控制中心专家组.慢性肾脏病早期筛 查、诊断及防治指南</w:t>
      </w:r>
      <w:r>
        <w:rPr>
          <w:spacing w:val="0"/>
          <w:w w:val="100"/>
          <w:position w:val="0"/>
          <w:sz w:val="12"/>
          <w:szCs w:val="12"/>
        </w:rPr>
        <w:t>(2()22</w:t>
      </w:r>
      <w:r>
        <w:rPr>
          <w:spacing w:val="0"/>
          <w:w w:val="100"/>
          <w:position w:val="0"/>
          <w:sz w:val="16"/>
          <w:szCs w:val="16"/>
        </w:rPr>
        <w:t>年版)</w:t>
      </w:r>
      <w:r>
        <w:rPr>
          <w:spacing w:val="0"/>
          <w:w w:val="100"/>
          <w:position w:val="0"/>
          <w:sz w:val="12"/>
          <w:szCs w:val="12"/>
          <w:lang w:val="en-US" w:eastAsia="en-US" w:bidi="en-US"/>
        </w:rPr>
        <w:t>[J].</w:t>
      </w:r>
      <w:r>
        <w:rPr>
          <w:spacing w:val="0"/>
          <w:w w:val="100"/>
          <w:position w:val="0"/>
          <w:sz w:val="16"/>
          <w:szCs w:val="16"/>
        </w:rPr>
        <w:t>中华肾脏病杂志，</w:t>
      </w:r>
      <w:r>
        <w:rPr>
          <w:spacing w:val="0"/>
          <w:w w:val="100"/>
          <w:position w:val="0"/>
          <w:sz w:val="12"/>
          <w:szCs w:val="12"/>
        </w:rPr>
        <w:t xml:space="preserve">2022, </w:t>
      </w:r>
      <w:r>
        <w:rPr>
          <w:spacing w:val="0"/>
          <w:w w:val="100"/>
          <w:position w:val="0"/>
          <w:sz w:val="12"/>
          <w:szCs w:val="12"/>
          <w:lang w:val="en-US" w:eastAsia="en-US" w:bidi="en-US"/>
        </w:rPr>
        <w:t>38(5):453-464.</w:t>
      </w:r>
    </w:p>
    <w:p>
      <w:pPr>
        <w:pStyle w:val="Style29"/>
        <w:keepNext w:val="0"/>
        <w:keepLines w:val="0"/>
        <w:widowControl w:val="0"/>
        <w:shd w:val="clear" w:color="auto" w:fill="auto"/>
        <w:bidi w:val="0"/>
        <w:spacing w:before="0" w:after="0"/>
        <w:ind w:right="0"/>
        <w:jc w:val="both"/>
      </w:pPr>
      <w:r>
        <w:rPr>
          <w:spacing w:val="0"/>
          <w:w w:val="100"/>
          <w:position w:val="0"/>
          <w:lang w:val="en-US" w:eastAsia="en-US" w:bidi="en-US"/>
        </w:rPr>
        <w:t>[2] Improving Global Outcomes (KDIGO) Diabetes Work Group. KDIGO 2012 clinical practice guideline for the evaluation and management of chronic kidney disease [j]. Kidney I nt Suppl, 2()13, 3(1)： 1-150.</w:t>
      </w:r>
    </w:p>
    <w:p>
      <w:pPr>
        <w:pStyle w:val="Style29"/>
        <w:keepNext w:val="0"/>
        <w:keepLines w:val="0"/>
        <w:widowControl w:val="0"/>
        <w:shd w:val="clear" w:color="auto" w:fill="auto"/>
        <w:bidi w:val="0"/>
        <w:spacing w:before="0" w:after="0"/>
        <w:ind w:right="0"/>
        <w:jc w:val="both"/>
      </w:pPr>
      <w:r>
        <w:rPr>
          <w:spacing w:val="0"/>
          <w:w w:val="100"/>
          <w:position w:val="0"/>
          <w:lang w:val="en-US" w:eastAsia="en-US" w:bidi="en-US"/>
        </w:rPr>
        <w:t>[3 ] Levey AS, Stevens LA, Schmid CH, et al. A new equation to estimate glomerular filtration rate [ J ]. Ami Intern Med, 2009, 150 (9):604-612.</w:t>
      </w:r>
    </w:p>
    <w:p>
      <w:pPr>
        <w:pStyle w:val="Style29"/>
        <w:keepNext w:val="0"/>
        <w:keepLines w:val="0"/>
        <w:widowControl w:val="0"/>
        <w:numPr>
          <w:ilvl w:val="0"/>
          <w:numId w:val="3"/>
        </w:numPr>
        <w:shd w:val="clear" w:color="auto" w:fill="auto"/>
        <w:tabs>
          <w:tab w:pos="342" w:val="left"/>
        </w:tabs>
        <w:bidi w:val="0"/>
        <w:spacing w:before="0" w:after="0"/>
        <w:ind w:right="0"/>
        <w:jc w:val="both"/>
      </w:pPr>
      <w:bookmarkStart w:id="6" w:name="bookmark6"/>
      <w:bookmarkEnd w:id="6"/>
      <w:r>
        <w:rPr>
          <w:spacing w:val="0"/>
          <w:w w:val="100"/>
          <w:position w:val="0"/>
          <w:lang w:val="en-US" w:eastAsia="en-US" w:bidi="en-US"/>
        </w:rPr>
        <w:t>Zelnick LR, Weiss NS, Kestenbaum BR, et al. Diabetes and CKD in the United States Population, 2009</w:t>
      </w:r>
      <w:r>
        <w:rPr>
          <w:spacing w:val="0"/>
          <w:w w:val="100"/>
          <w:position w:val="0"/>
          <w:lang w:val="zh-TW" w:eastAsia="zh-TW" w:bidi="zh-TW"/>
        </w:rPr>
        <w:t xml:space="preserve">- </w:t>
      </w:r>
      <w:r>
        <w:rPr>
          <w:spacing w:val="0"/>
          <w:w w:val="100"/>
          <w:position w:val="0"/>
          <w:lang w:val="en-US" w:eastAsia="en-US" w:bidi="en-US"/>
        </w:rPr>
        <w:t>2014 [ j]. Clin J Am Soc Nephrol, 2017, 12(12)： 1984-1990.</w:t>
      </w:r>
    </w:p>
    <w:p>
      <w:pPr>
        <w:pStyle w:val="Style29"/>
        <w:keepNext w:val="0"/>
        <w:keepLines w:val="0"/>
        <w:widowControl w:val="0"/>
        <w:numPr>
          <w:ilvl w:val="0"/>
          <w:numId w:val="3"/>
        </w:numPr>
        <w:shd w:val="clear" w:color="auto" w:fill="auto"/>
        <w:tabs>
          <w:tab w:pos="342" w:val="left"/>
        </w:tabs>
        <w:bidi w:val="0"/>
        <w:spacing w:before="0" w:after="0"/>
        <w:ind w:right="0"/>
        <w:jc w:val="both"/>
      </w:pPr>
      <w:bookmarkStart w:id="7" w:name="bookmark7"/>
      <w:bookmarkEnd w:id="7"/>
      <w:r>
        <w:rPr>
          <w:spacing w:val="0"/>
          <w:w w:val="100"/>
          <w:position w:val="0"/>
          <w:lang w:val="en-US" w:eastAsia="en-US" w:bidi="en-US"/>
        </w:rPr>
        <w:t>Seidu S, Barrat J, Kliunti K. Clinical update： the important role of dual kidney function testing (ACR and eGFR) in primaiy care: identification of risk and management in type 2 diabetes [ J ]. Prim Care Diabetes, 2020, 14(4):370-375.</w:t>
      </w:r>
    </w:p>
    <w:p>
      <w:pPr>
        <w:pStyle w:val="Style29"/>
        <w:keepNext w:val="0"/>
        <w:keepLines w:val="0"/>
        <w:widowControl w:val="0"/>
        <w:numPr>
          <w:ilvl w:val="0"/>
          <w:numId w:val="3"/>
        </w:numPr>
        <w:shd w:val="clear" w:color="auto" w:fill="auto"/>
        <w:tabs>
          <w:tab w:pos="342" w:val="left"/>
        </w:tabs>
        <w:bidi w:val="0"/>
        <w:spacing w:before="0" w:after="0"/>
        <w:ind w:right="0"/>
        <w:jc w:val="both"/>
      </w:pPr>
      <w:bookmarkStart w:id="8" w:name="bookmark8"/>
      <w:bookmarkEnd w:id="8"/>
      <w:r>
        <w:rPr>
          <w:spacing w:val="0"/>
          <w:w w:val="100"/>
          <w:position w:val="0"/>
          <w:lang w:val="en-US" w:eastAsia="en-US" w:bidi="en-US"/>
        </w:rPr>
        <w:t>Slilipak MG, Matsushita K, Amlov J, et al. Cystatin C versus creatinine in determining risk based on kidney function]J]. N Engl J Med, 2()13, 369(10):932-943.</w:t>
      </w:r>
    </w:p>
    <w:p>
      <w:pPr>
        <w:pStyle w:val="Style29"/>
        <w:keepNext w:val="0"/>
        <w:keepLines w:val="0"/>
        <w:widowControl w:val="0"/>
        <w:numPr>
          <w:ilvl w:val="0"/>
          <w:numId w:val="3"/>
        </w:numPr>
        <w:shd w:val="clear" w:color="auto" w:fill="auto"/>
        <w:tabs>
          <w:tab w:pos="342" w:val="left"/>
        </w:tabs>
        <w:bidi w:val="0"/>
        <w:spacing w:before="0" w:after="0"/>
        <w:ind w:right="0"/>
        <w:jc w:val="both"/>
      </w:pPr>
      <w:bookmarkStart w:id="9" w:name="bookmark9"/>
      <w:bookmarkEnd w:id="9"/>
      <w:r>
        <w:rPr>
          <w:spacing w:val="0"/>
          <w:w w:val="100"/>
          <w:position w:val="0"/>
          <w:lang w:val="en-US" w:eastAsia="en-US" w:bidi="en-US"/>
        </w:rPr>
        <w:t>Lees JS, Welsh CE, Celis-Morales CA, et al. Glomerular filtration rate by differing measures, albuminuria and prediction of cardiovascular disease, mortality and end— stage kidney disease^]. Nat Med, 2019, 25(11)： 1753-1760.</w:t>
      </w:r>
    </w:p>
    <w:p>
      <w:pPr>
        <w:pStyle w:val="Style29"/>
        <w:keepNext w:val="0"/>
        <w:keepLines w:val="0"/>
        <w:widowControl w:val="0"/>
        <w:numPr>
          <w:ilvl w:val="0"/>
          <w:numId w:val="3"/>
        </w:numPr>
        <w:shd w:val="clear" w:color="auto" w:fill="auto"/>
        <w:tabs>
          <w:tab w:pos="342" w:val="left"/>
        </w:tabs>
        <w:bidi w:val="0"/>
        <w:spacing w:before="0" w:after="0"/>
        <w:ind w:right="0"/>
        <w:jc w:val="both"/>
      </w:pPr>
      <w:bookmarkStart w:id="10" w:name="bookmark10"/>
      <w:bookmarkEnd w:id="10"/>
      <w:r>
        <w:rPr>
          <w:spacing w:val="0"/>
          <w:w w:val="100"/>
          <w:position w:val="0"/>
          <w:lang w:val="en-US" w:eastAsia="en-US" w:bidi="en-US"/>
        </w:rPr>
        <w:t>Nelson RG, Grams ME, Ballew SH, et al. Development of risk prediction equations for incident chronic kidney disease [j]. JAMA, 2019, 322(21)： 2104-2114.</w:t>
      </w:r>
    </w:p>
    <w:p>
      <w:pPr>
        <w:pStyle w:val="Style29"/>
        <w:keepNext w:val="0"/>
        <w:keepLines w:val="0"/>
        <w:widowControl w:val="0"/>
        <w:numPr>
          <w:ilvl w:val="0"/>
          <w:numId w:val="3"/>
        </w:numPr>
        <w:shd w:val="clear" w:color="auto" w:fill="auto"/>
        <w:tabs>
          <w:tab w:pos="342" w:val="left"/>
        </w:tabs>
        <w:bidi w:val="0"/>
        <w:spacing w:before="0" w:after="180"/>
        <w:ind w:right="0"/>
        <w:jc w:val="both"/>
      </w:pPr>
      <w:bookmarkStart w:id="11" w:name="bookmark11"/>
      <w:bookmarkEnd w:id="11"/>
      <w:r>
        <w:rPr>
          <w:spacing w:val="0"/>
          <w:w w:val="100"/>
          <w:position w:val="0"/>
          <w:lang w:val="en-US" w:eastAsia="en-US" w:bidi="en-US"/>
        </w:rPr>
        <w:t>Ikizler TA, Burrowes JD, Byliam-Gray LD, et al. KDOQI clinical practice guideline for nutrition in CKD: 2020 update [j]. Am J Kidney Dis, 2020, 76(3 Suppl 1): SI-SI 07.</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2" w:name="bookmark12"/>
      <w:bookmarkEnd w:id="12"/>
      <w:r>
        <w:rPr>
          <w:spacing w:val="0"/>
          <w:w w:val="100"/>
          <w:position w:val="0"/>
          <w:lang w:val="en-US" w:eastAsia="en-US" w:bidi="en-US"/>
        </w:rPr>
        <w:t>Pan Y, Guo LL, Jin HM. Low- protein diet for diabetic nepliropatliy: a meta—analysis of randomized controlled trials [ J ]. Am J Clin Nutr, 2008, 88(3)： 660-666.</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3" w:name="bookmark13"/>
      <w:bookmarkEnd w:id="13"/>
      <w:r>
        <w:rPr>
          <w:spacing w:val="0"/>
          <w:w w:val="100"/>
          <w:position w:val="0"/>
          <w:lang w:val="en-US" w:eastAsia="en-US" w:bidi="en-US"/>
        </w:rPr>
        <w:t>Flytlie JE, Chang TI, Gallagher MP, et al. Blood pressure and volume management in dialysis: conclusions from a kidney disease improving global outcomes (KDIGO) controversies conference]J]. Kidney Int, 2020, 97(5): 861-876.</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4" w:name="bookmark14"/>
      <w:bookmarkEnd w:id="14"/>
      <w:r>
        <w:rPr>
          <w:spacing w:val="0"/>
          <w:w w:val="100"/>
          <w:position w:val="0"/>
          <w:lang w:val="en-US" w:eastAsia="en-US" w:bidi="en-US"/>
        </w:rPr>
        <w:t>Fu EL, Evans M, Clase CM, et al. Stopping renin-angiotensin system inhibitors in patients with advanced CKD and risk of adverse outcomes: a nationwide study [j]. J Am Soc Nephrol, 2021, 32(2):424-435.</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5" w:name="bookmark15"/>
      <w:bookmarkEnd w:id="15"/>
      <w:r>
        <w:rPr>
          <w:spacing w:val="0"/>
          <w:w w:val="100"/>
          <w:position w:val="0"/>
          <w:lang w:val="en-US" w:eastAsia="en-US" w:bidi="en-US"/>
        </w:rPr>
        <w:t>Unger T, Borglii C, Charchar F, et al. 2020 international society of hypertension global hypertension practice guidelines [j]. Hypertension, 2020, 75(6): 1334-1357.</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6" w:name="bookmark16"/>
      <w:bookmarkEnd w:id="16"/>
      <w:r>
        <w:rPr>
          <w:spacing w:val="0"/>
          <w:w w:val="100"/>
          <w:position w:val="0"/>
          <w:lang w:val="en-US" w:eastAsia="en-US" w:bidi="en-US"/>
        </w:rPr>
        <w:t>Volpe M, Tocci G. Rationale for triple fixed— dose combination therapy with an angiotensin II receptor blocker, a calcium channel blocker, and a thiazide diuretic [j]. Vase Health Risk Manag, 2012, 8:371-380.</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7" w:name="bookmark17"/>
      <w:bookmarkEnd w:id="17"/>
      <w:r>
        <w:rPr>
          <w:spacing w:val="0"/>
          <w:w w:val="100"/>
          <w:position w:val="0"/>
          <w:lang w:val="en-US" w:eastAsia="en-US" w:bidi="en-US"/>
        </w:rPr>
        <w:t>Tuttle KR, Bakris GL, Bilous RW, et al. Diabetic kidney disease: a report from an ADA consensus conference [ J ]. Am J Kidney Dis, 2014, 64(4)： 510-533.</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8" w:name="bookmark18"/>
      <w:bookmarkEnd w:id="18"/>
      <w:r>
        <w:rPr>
          <w:spacing w:val="0"/>
          <w:w w:val="100"/>
          <w:position w:val="0"/>
          <w:lang w:val="en-US" w:eastAsia="en-US" w:bidi="en-US"/>
        </w:rPr>
        <w:t>Warmer C, Inzucchi SE, Lachin JM, et al. Empagliflozin and progression of kidney disease in type 2 diabetes [j]. N Engl J Med, 2016, 375(4)： 323-334.</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19" w:name="bookmark19"/>
      <w:bookmarkEnd w:id="19"/>
      <w:r>
        <w:rPr>
          <w:spacing w:val="0"/>
          <w:w w:val="100"/>
          <w:position w:val="0"/>
          <w:lang w:val="en-US" w:eastAsia="en-US" w:bidi="en-US"/>
        </w:rPr>
        <w:t>Slilipak MG, Tummalapalli SL, Boulware LE, et al. The case for early identification and intervention of chronic kidney disease: conclusions from a Kidney Disease: Improving Global Outcomes (KDIGO) Controversies Conference [j]. Kidney Int, 2021, 99 (1):34-47.</w:t>
      </w:r>
    </w:p>
    <w:p>
      <w:pPr>
        <w:pStyle w:val="Style29"/>
        <w:keepNext w:val="0"/>
        <w:keepLines w:val="0"/>
        <w:widowControl w:val="0"/>
        <w:numPr>
          <w:ilvl w:val="0"/>
          <w:numId w:val="5"/>
        </w:numPr>
        <w:shd w:val="clear" w:color="auto" w:fill="auto"/>
        <w:tabs>
          <w:tab w:pos="455" w:val="left"/>
        </w:tabs>
        <w:bidi w:val="0"/>
        <w:spacing w:before="0" w:after="0" w:line="287" w:lineRule="exact"/>
        <w:ind w:left="440" w:right="0" w:hanging="440"/>
        <w:jc w:val="both"/>
      </w:pPr>
      <w:bookmarkStart w:id="20" w:name="bookmark20"/>
      <w:bookmarkEnd w:id="20"/>
      <w:r>
        <w:rPr>
          <w:spacing w:val="0"/>
          <w:w w:val="100"/>
          <w:position w:val="0"/>
          <w:lang w:val="en-US" w:eastAsia="en-US" w:bidi="en-US"/>
        </w:rPr>
        <w:t>Improving Global Outcomes (KDIGO) Diabetes Work Group. KDIGO 2020 clinical practice guideline for diabetes management in chronic kidney disease [j]. Kidney I nt, 2020, 98(4S)：S1-S115.</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lang w:val="en-US" w:eastAsia="en-US" w:bidi="en-US"/>
        </w:rPr>
        <w:t>；19]</w:t>
      </w:r>
      <w:r>
        <w:rPr>
          <w:spacing w:val="0"/>
          <w:w w:val="100"/>
          <w:position w:val="0"/>
          <w:sz w:val="16"/>
          <w:szCs w:val="16"/>
        </w:rPr>
        <w:t>高尿酸血症相关疾病诊疗多学科共识专家组.中国高尿酸血 症相关疾病诊疗多学科专家共识</w:t>
      </w:r>
      <w:r>
        <w:rPr>
          <w:spacing w:val="0"/>
          <w:w w:val="100"/>
          <w:position w:val="0"/>
          <w:sz w:val="12"/>
          <w:szCs w:val="12"/>
          <w:lang w:val="en-US" w:eastAsia="en-US" w:bidi="en-US"/>
        </w:rPr>
        <w:t>[J]</w:t>
      </w:r>
      <w:r>
        <w:rPr>
          <w:spacing w:val="0"/>
          <w:w w:val="100"/>
          <w:position w:val="0"/>
          <w:sz w:val="16"/>
          <w:szCs w:val="16"/>
        </w:rPr>
        <w:t>.中华内科杂志，</w:t>
      </w:r>
      <w:r>
        <w:rPr>
          <w:spacing w:val="0"/>
          <w:w w:val="100"/>
          <w:position w:val="0"/>
          <w:sz w:val="12"/>
          <w:szCs w:val="12"/>
        </w:rPr>
        <w:t xml:space="preserve">2017, </w:t>
      </w:r>
      <w:r>
        <w:rPr>
          <w:spacing w:val="0"/>
          <w:w w:val="100"/>
          <w:position w:val="0"/>
          <w:sz w:val="12"/>
          <w:szCs w:val="12"/>
          <w:lang w:val="en-US" w:eastAsia="en-US" w:bidi="en-US"/>
        </w:rPr>
        <w:t>56(3):235-248.</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rPr>
        <w:t>：20]</w:t>
      </w:r>
      <w:r>
        <w:rPr>
          <w:spacing w:val="0"/>
          <w:w w:val="100"/>
          <w:position w:val="0"/>
          <w:sz w:val="16"/>
          <w:szCs w:val="16"/>
        </w:rPr>
        <w:t>《中国围透析期慢性肾脏病管理规范》专家组.中国围透析期 慢性肾脏病管理规范</w:t>
      </w:r>
      <w:r>
        <w:rPr>
          <w:spacing w:val="0"/>
          <w:w w:val="100"/>
          <w:position w:val="0"/>
          <w:sz w:val="12"/>
          <w:szCs w:val="12"/>
          <w:lang w:val="en-US" w:eastAsia="en-US" w:bidi="en-US"/>
        </w:rPr>
        <w:t>[J].</w:t>
      </w:r>
      <w:r>
        <w:rPr>
          <w:spacing w:val="0"/>
          <w:w w:val="100"/>
          <w:position w:val="0"/>
          <w:sz w:val="16"/>
          <w:szCs w:val="16"/>
        </w:rPr>
        <w:t>中华肾脏病杂志，</w:t>
      </w:r>
      <w:r>
        <w:rPr>
          <w:spacing w:val="0"/>
          <w:w w:val="100"/>
          <w:position w:val="0"/>
          <w:sz w:val="12"/>
          <w:szCs w:val="12"/>
        </w:rPr>
        <w:t>2021,37(8)：</w:t>
      </w:r>
    </w:p>
    <w:p>
      <w:pPr>
        <w:pStyle w:val="Style29"/>
        <w:keepNext w:val="0"/>
        <w:keepLines w:val="0"/>
        <w:widowControl w:val="0"/>
        <w:shd w:val="clear" w:color="auto" w:fill="auto"/>
        <w:bidi w:val="0"/>
        <w:spacing w:before="0" w:after="0" w:line="286" w:lineRule="exact"/>
        <w:ind w:left="0" w:right="0" w:firstLine="440"/>
        <w:jc w:val="both"/>
      </w:pPr>
      <w:r>
        <w:rPr>
          <w:spacing w:val="0"/>
          <w:w w:val="100"/>
          <w:position w:val="0"/>
          <w:lang w:val="en-US" w:eastAsia="en-US" w:bidi="en-US"/>
        </w:rPr>
        <w:t>690-704.</w:t>
      </w:r>
    </w:p>
    <w:p>
      <w:pPr>
        <w:pStyle w:val="Style29"/>
        <w:keepNext w:val="0"/>
        <w:keepLines w:val="0"/>
        <w:widowControl w:val="0"/>
        <w:shd w:val="clear" w:color="auto" w:fill="auto"/>
        <w:bidi w:val="0"/>
        <w:spacing w:before="0" w:after="0" w:line="286" w:lineRule="exact"/>
        <w:ind w:left="440" w:right="0" w:hanging="440"/>
        <w:jc w:val="both"/>
      </w:pPr>
      <w:r>
        <w:rPr>
          <w:spacing w:val="0"/>
          <w:w w:val="100"/>
          <w:position w:val="0"/>
          <w:lang w:val="en-US" w:eastAsia="en-US" w:bidi="en-US"/>
        </w:rPr>
        <w:t>[</w:t>
      </w:r>
      <w:r>
        <w:rPr>
          <w:spacing w:val="0"/>
          <w:w w:val="100"/>
          <w:position w:val="0"/>
          <w:lang w:val="zh-TW" w:eastAsia="zh-TW" w:bidi="zh-TW"/>
        </w:rPr>
        <w:t xml:space="preserve">21 </w:t>
      </w:r>
      <w:r>
        <w:rPr>
          <w:spacing w:val="0"/>
          <w:w w:val="100"/>
          <w:position w:val="0"/>
          <w:lang w:val="en-US" w:eastAsia="en-US" w:bidi="en-US"/>
        </w:rPr>
        <w:t>] Chen N</w:t>
      </w:r>
      <w:r>
        <w:rPr>
          <w:spacing w:val="0"/>
          <w:w w:val="100"/>
          <w:position w:val="0"/>
          <w:lang w:val="zh-TW" w:eastAsia="zh-TW" w:bidi="zh-TW"/>
        </w:rPr>
        <w:t xml:space="preserve">, </w:t>
      </w:r>
      <w:r>
        <w:rPr>
          <w:spacing w:val="0"/>
          <w:w w:val="100"/>
          <w:position w:val="0"/>
          <w:lang w:val="en-US" w:eastAsia="en-US" w:bidi="en-US"/>
        </w:rPr>
        <w:t xml:space="preserve">Hao C </w:t>
      </w:r>
      <w:r>
        <w:rPr>
          <w:spacing w:val="0"/>
          <w:w w:val="100"/>
          <w:position w:val="0"/>
          <w:lang w:val="zh-TW" w:eastAsia="zh-TW" w:bidi="zh-TW"/>
        </w:rPr>
        <w:t xml:space="preserve">, </w:t>
      </w:r>
      <w:r>
        <w:rPr>
          <w:spacing w:val="0"/>
          <w:w w:val="100"/>
          <w:position w:val="0"/>
          <w:lang w:val="en-US" w:eastAsia="en-US" w:bidi="en-US"/>
        </w:rPr>
        <w:t>Liu BC, et al. Roxadustat treatment for anemia in patients undergoing long— term dialysis [ J ]. N Engl J Med, 2019, 381(11)： 1011-1022.</w:t>
      </w:r>
    </w:p>
    <w:p>
      <w:pPr>
        <w:pStyle w:val="Style29"/>
        <w:keepNext w:val="0"/>
        <w:keepLines w:val="0"/>
        <w:widowControl w:val="0"/>
        <w:shd w:val="clear" w:color="auto" w:fill="auto"/>
        <w:bidi w:val="0"/>
        <w:spacing w:before="0" w:after="0" w:line="286" w:lineRule="exact"/>
        <w:ind w:left="440" w:right="0" w:hanging="440"/>
        <w:jc w:val="both"/>
      </w:pPr>
      <w:r>
        <w:rPr>
          <w:spacing w:val="0"/>
          <w:w w:val="100"/>
          <w:position w:val="0"/>
          <w:lang w:val="en-US" w:eastAsia="en-US" w:bidi="en-US"/>
        </w:rPr>
        <w:t>[22 ] Chen N, Hao C, Peng X, et al. Roxadustat for anemia in patients with kidney disease not receiving dialysis [ j], N Engl J Med, 2()19, 381(11)： 1001-1010.</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lang w:val="en-US" w:eastAsia="en-US" w:bidi="en-US"/>
        </w:rPr>
        <w:t>：23]</w:t>
      </w:r>
      <w:r>
        <w:rPr>
          <w:spacing w:val="0"/>
          <w:w w:val="100"/>
          <w:position w:val="0"/>
          <w:sz w:val="16"/>
          <w:szCs w:val="16"/>
        </w:rPr>
        <w:t>中华医学会心血管病学分会心力衰竭学组，中国医师协会心 力衰竭专业委员会，中华心血管病杂志编辑委员会.中国心 力衰竭诊断和治疗指南</w:t>
      </w:r>
      <w:r>
        <w:rPr>
          <w:spacing w:val="0"/>
          <w:w w:val="100"/>
          <w:position w:val="0"/>
          <w:sz w:val="12"/>
          <w:szCs w:val="12"/>
          <w:lang w:val="en-US" w:eastAsia="en-US" w:bidi="en-US"/>
        </w:rPr>
        <w:t>2O18[J].</w:t>
      </w:r>
      <w:r>
        <w:rPr>
          <w:spacing w:val="0"/>
          <w:w w:val="100"/>
          <w:position w:val="0"/>
          <w:sz w:val="16"/>
          <w:szCs w:val="16"/>
        </w:rPr>
        <w:t>中华心血管病杂志，</w:t>
      </w:r>
      <w:r>
        <w:rPr>
          <w:spacing w:val="0"/>
          <w:w w:val="100"/>
          <w:position w:val="0"/>
          <w:sz w:val="12"/>
          <w:szCs w:val="12"/>
        </w:rPr>
        <w:t xml:space="preserve">2018, </w:t>
      </w:r>
      <w:r>
        <w:rPr>
          <w:spacing w:val="0"/>
          <w:w w:val="100"/>
          <w:position w:val="0"/>
          <w:sz w:val="12"/>
          <w:szCs w:val="12"/>
          <w:lang w:val="en-US" w:eastAsia="en-US" w:bidi="en-US"/>
        </w:rPr>
        <w:t>46(10):760-789.</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rPr>
        <w:t>：24]</w:t>
      </w:r>
      <w:r>
        <w:rPr>
          <w:spacing w:val="0"/>
          <w:w w:val="100"/>
          <w:position w:val="0"/>
          <w:sz w:val="16"/>
          <w:szCs w:val="16"/>
        </w:rPr>
        <w:t>刘志红，李贵森.中国慢性肾脏病矿物质和骨异常诊治指南: 第</w:t>
      </w:r>
      <w:r>
        <w:rPr>
          <w:spacing w:val="0"/>
          <w:w w:val="100"/>
          <w:position w:val="0"/>
          <w:sz w:val="12"/>
          <w:szCs w:val="12"/>
        </w:rPr>
        <w:t>1</w:t>
      </w:r>
      <w:r>
        <w:rPr>
          <w:spacing w:val="0"/>
          <w:w w:val="100"/>
          <w:position w:val="0"/>
          <w:sz w:val="16"/>
          <w:szCs w:val="16"/>
        </w:rPr>
        <w:t>版</w:t>
      </w:r>
      <w:r>
        <w:rPr>
          <w:spacing w:val="0"/>
          <w:w w:val="100"/>
          <w:position w:val="0"/>
          <w:sz w:val="12"/>
          <w:szCs w:val="12"/>
          <w:lang w:val="en-US" w:eastAsia="en-US" w:bidi="en-US"/>
        </w:rPr>
        <w:t>[M].</w:t>
      </w:r>
      <w:r>
        <w:rPr>
          <w:spacing w:val="0"/>
          <w:w w:val="100"/>
          <w:position w:val="0"/>
          <w:sz w:val="16"/>
          <w:szCs w:val="16"/>
        </w:rPr>
        <w:t>北京:人民卫生出版社，</w:t>
      </w:r>
      <w:r>
        <w:rPr>
          <w:spacing w:val="0"/>
          <w:w w:val="100"/>
          <w:position w:val="0"/>
          <w:sz w:val="12"/>
          <w:szCs w:val="12"/>
          <w:lang w:val="en-US" w:eastAsia="en-US" w:bidi="en-US"/>
        </w:rPr>
        <w:t>2019:12.</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rPr>
        <w:t>：25]</w:t>
      </w:r>
      <w:r>
        <w:rPr>
          <w:spacing w:val="0"/>
          <w:w w:val="100"/>
          <w:position w:val="0"/>
          <w:sz w:val="16"/>
          <w:szCs w:val="16"/>
        </w:rPr>
        <w:t>国家肾脏疾病临床医学研究中心</w:t>
      </w:r>
      <w:r>
        <w:rPr>
          <w:spacing w:val="0"/>
          <w:w w:val="100"/>
          <w:position w:val="0"/>
          <w:sz w:val="16"/>
          <w:szCs w:val="16"/>
          <w:lang w:val="en-US" w:eastAsia="en-US" w:bidi="en-US"/>
        </w:rPr>
        <w:t>.</w:t>
      </w:r>
      <w:r>
        <w:rPr>
          <w:spacing w:val="0"/>
          <w:w w:val="100"/>
          <w:position w:val="0"/>
          <w:sz w:val="16"/>
          <w:szCs w:val="16"/>
        </w:rPr>
        <w:t>中国慢性肾脏病矿物质和 骨异常诊治指南概要</w:t>
      </w:r>
      <w:r>
        <w:rPr>
          <w:spacing w:val="0"/>
          <w:w w:val="100"/>
          <w:position w:val="0"/>
          <w:sz w:val="12"/>
          <w:szCs w:val="12"/>
          <w:lang w:val="en-US" w:eastAsia="en-US" w:bidi="en-US"/>
        </w:rPr>
        <w:t>[J].</w:t>
      </w:r>
      <w:r>
        <w:rPr>
          <w:spacing w:val="0"/>
          <w:w w:val="100"/>
          <w:position w:val="0"/>
          <w:sz w:val="16"/>
          <w:szCs w:val="16"/>
        </w:rPr>
        <w:t>肾脏病与透析肾移植杂志，</w:t>
      </w:r>
      <w:r>
        <w:rPr>
          <w:spacing w:val="0"/>
          <w:w w:val="100"/>
          <w:position w:val="0"/>
          <w:sz w:val="12"/>
          <w:szCs w:val="12"/>
        </w:rPr>
        <w:t xml:space="preserve">2019, </w:t>
      </w:r>
      <w:r>
        <w:rPr>
          <w:spacing w:val="0"/>
          <w:w w:val="100"/>
          <w:position w:val="0"/>
          <w:sz w:val="12"/>
          <w:szCs w:val="12"/>
          <w:lang w:val="en-US" w:eastAsia="en-US" w:bidi="en-US"/>
        </w:rPr>
        <w:t>28(1):52-57.</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rPr>
        <w:t>：26]</w:t>
      </w:r>
      <w:r>
        <w:rPr>
          <w:spacing w:val="0"/>
          <w:w w:val="100"/>
          <w:position w:val="0"/>
          <w:sz w:val="16"/>
          <w:szCs w:val="16"/>
        </w:rPr>
        <w:t>上海慢性肾脏病早发现及规范化诊治与示范项目专家组.慢 性肾脏病筛查诊断及防治指南</w:t>
      </w:r>
      <w:r>
        <w:rPr>
          <w:spacing w:val="0"/>
          <w:w w:val="100"/>
          <w:position w:val="0"/>
          <w:sz w:val="12"/>
          <w:szCs w:val="12"/>
          <w:lang w:val="en-US" w:eastAsia="en-US" w:bidi="en-US"/>
        </w:rPr>
        <w:t>[J].</w:t>
      </w:r>
      <w:r>
        <w:rPr>
          <w:spacing w:val="0"/>
          <w:w w:val="100"/>
          <w:position w:val="0"/>
          <w:sz w:val="16"/>
          <w:szCs w:val="16"/>
        </w:rPr>
        <w:t xml:space="preserve">中国实用内科杂志， </w:t>
      </w:r>
      <w:r>
        <w:rPr>
          <w:spacing w:val="0"/>
          <w:w w:val="100"/>
          <w:position w:val="0"/>
          <w:sz w:val="12"/>
          <w:szCs w:val="12"/>
        </w:rPr>
        <w:t xml:space="preserve">2017, </w:t>
      </w:r>
      <w:r>
        <w:rPr>
          <w:spacing w:val="0"/>
          <w:w w:val="100"/>
          <w:position w:val="0"/>
          <w:sz w:val="12"/>
          <w:szCs w:val="12"/>
          <w:lang w:val="en-US" w:eastAsia="en-US" w:bidi="en-US"/>
        </w:rPr>
        <w:t>37(1):28-34.</w:t>
      </w:r>
    </w:p>
    <w:p>
      <w:pPr>
        <w:pStyle w:val="Style15"/>
        <w:keepNext w:val="0"/>
        <w:keepLines w:val="0"/>
        <w:widowControl w:val="0"/>
        <w:shd w:val="clear" w:color="auto" w:fill="auto"/>
        <w:bidi w:val="0"/>
        <w:spacing w:before="0" w:after="0" w:line="288" w:lineRule="exact"/>
        <w:ind w:left="440" w:right="0" w:hanging="440"/>
        <w:jc w:val="both"/>
        <w:rPr>
          <w:sz w:val="12"/>
          <w:szCs w:val="12"/>
        </w:rPr>
      </w:pPr>
      <w:r>
        <w:rPr>
          <w:spacing w:val="0"/>
          <w:w w:val="100"/>
          <w:position w:val="0"/>
          <w:sz w:val="12"/>
          <w:szCs w:val="12"/>
        </w:rPr>
        <w:t>：27]</w:t>
      </w:r>
      <w:r>
        <w:rPr>
          <w:spacing w:val="0"/>
          <w:w w:val="100"/>
          <w:position w:val="0"/>
          <w:sz w:val="16"/>
          <w:szCs w:val="16"/>
        </w:rPr>
        <w:t>中华医学会肾脏病学分会专家组.中国慢性肾脏病患者血钾 管理实践专家共识</w:t>
      </w:r>
      <w:r>
        <w:rPr>
          <w:spacing w:val="0"/>
          <w:w w:val="100"/>
          <w:position w:val="0"/>
          <w:sz w:val="12"/>
          <w:szCs w:val="12"/>
          <w:lang w:val="en-US" w:eastAsia="en-US" w:bidi="en-US"/>
        </w:rPr>
        <w:t>[J].</w:t>
      </w:r>
      <w:r>
        <w:rPr>
          <w:spacing w:val="0"/>
          <w:w w:val="100"/>
          <w:position w:val="0"/>
          <w:sz w:val="16"/>
          <w:szCs w:val="16"/>
        </w:rPr>
        <w:t>中华肾脏病杂志，</w:t>
      </w:r>
      <w:r>
        <w:rPr>
          <w:spacing w:val="0"/>
          <w:w w:val="100"/>
          <w:position w:val="0"/>
          <w:sz w:val="12"/>
          <w:szCs w:val="12"/>
        </w:rPr>
        <w:t xml:space="preserve">2020, 36(10)： </w:t>
      </w:r>
      <w:r>
        <w:rPr>
          <w:spacing w:val="0"/>
          <w:w w:val="100"/>
          <w:position w:val="0"/>
          <w:sz w:val="12"/>
          <w:szCs w:val="12"/>
          <w:lang w:val="en-US" w:eastAsia="en-US" w:bidi="en-US"/>
        </w:rPr>
        <w:t>781-792.</w:t>
      </w:r>
    </w:p>
    <w:p>
      <w:pPr>
        <w:pStyle w:val="Style29"/>
        <w:keepNext w:val="0"/>
        <w:keepLines w:val="0"/>
        <w:widowControl w:val="0"/>
        <w:shd w:val="clear" w:color="auto" w:fill="auto"/>
        <w:bidi w:val="0"/>
        <w:spacing w:before="0" w:after="0" w:line="288" w:lineRule="exact"/>
        <w:ind w:left="440" w:right="0" w:hanging="440"/>
        <w:jc w:val="both"/>
      </w:pPr>
      <w:r>
        <w:rPr>
          <w:spacing w:val="0"/>
          <w:w w:val="100"/>
          <w:position w:val="0"/>
          <w:lang w:val="en-US" w:eastAsia="en-US" w:bidi="en-US"/>
        </w:rPr>
        <w:t>[28] Packham DK, Rasmussen HS, Lavin PT, et al. Sodium zirconium cyclosilicate in hyperkalemia [j]. N Engl J Med, 2015 , 372(3):222-231.</w:t>
      </w:r>
    </w:p>
    <w:p>
      <w:pPr>
        <w:pStyle w:val="Style29"/>
        <w:keepNext w:val="0"/>
        <w:keepLines w:val="0"/>
        <w:widowControl w:val="0"/>
        <w:shd w:val="clear" w:color="auto" w:fill="auto"/>
        <w:bidi w:val="0"/>
        <w:spacing w:before="0" w:after="0" w:line="288" w:lineRule="exact"/>
        <w:ind w:left="440" w:right="0" w:hanging="440"/>
        <w:jc w:val="both"/>
      </w:pPr>
      <w:r>
        <w:rPr>
          <w:spacing w:val="0"/>
          <w:w w:val="100"/>
          <w:position w:val="0"/>
          <w:lang w:val="en-US" w:eastAsia="en-US" w:bidi="en-US"/>
        </w:rPr>
        <w:t>[29 ] Spinowitz BS, Fishbane S, Pergola PE, et al. Sodium zirconium cyclosilicate among individuals with hyperkalemia: a 12</w:t>
      </w:r>
      <w:r>
        <w:rPr>
          <w:spacing w:val="0"/>
          <w:w w:val="100"/>
          <w:position w:val="0"/>
          <w:lang w:val="zh-TW" w:eastAsia="zh-TW" w:bidi="zh-TW"/>
        </w:rPr>
        <w:t xml:space="preserve">— </w:t>
      </w:r>
      <w:r>
        <w:rPr>
          <w:spacing w:val="0"/>
          <w:w w:val="100"/>
          <w:position w:val="0"/>
          <w:lang w:val="en-US" w:eastAsia="en-US" w:bidi="en-US"/>
        </w:rPr>
        <w:t>month phase 3 study[j]. Clin J Am Soc Nephrol, 2019, 14(6): 798</w:t>
      </w:r>
      <w:r>
        <w:rPr>
          <w:spacing w:val="0"/>
          <w:w w:val="100"/>
          <w:position w:val="0"/>
          <w:sz w:val="16"/>
          <w:szCs w:val="16"/>
          <w:lang w:val="zh-TW" w:eastAsia="zh-TW" w:bidi="zh-TW"/>
        </w:rPr>
        <w:t xml:space="preserve">一 </w:t>
      </w:r>
      <w:r>
        <w:rPr>
          <w:spacing w:val="0"/>
          <w:w w:val="100"/>
          <w:position w:val="0"/>
          <w:lang w:val="en-US" w:eastAsia="en-US" w:bidi="en-US"/>
        </w:rPr>
        <w:t>809.</w:t>
      </w:r>
    </w:p>
    <w:p>
      <w:pPr>
        <w:pStyle w:val="Style29"/>
        <w:keepNext w:val="0"/>
        <w:keepLines w:val="0"/>
        <w:widowControl w:val="0"/>
        <w:shd w:val="clear" w:color="auto" w:fill="auto"/>
        <w:bidi w:val="0"/>
        <w:spacing w:before="0" w:after="0" w:line="288" w:lineRule="exact"/>
        <w:ind w:left="440" w:right="0" w:hanging="440"/>
        <w:jc w:val="both"/>
      </w:pPr>
      <w:r>
        <w:rPr>
          <w:spacing w:val="0"/>
          <w:w w:val="100"/>
          <w:position w:val="0"/>
          <w:lang w:val="en-US" w:eastAsia="en-US" w:bidi="en-US"/>
        </w:rPr>
        <w:t>_30] Xu X, Qin X, Li Y, et al. Efficacy of folic acid therapy on the progression of chronic kidney disease: the renal substudy of the China stroke primaiy prevention trial [j]. JAMA Intern Med, 2016, 176(10)： 1443-1450.</w:t>
      </w:r>
    </w:p>
    <w:p>
      <w:pPr>
        <w:pStyle w:val="Style29"/>
        <w:keepNext w:val="0"/>
        <w:keepLines w:val="0"/>
        <w:widowControl w:val="0"/>
        <w:shd w:val="clear" w:color="auto" w:fill="auto"/>
        <w:bidi w:val="0"/>
        <w:spacing w:before="0" w:after="0" w:line="288" w:lineRule="exact"/>
        <w:ind w:left="440" w:right="0" w:hanging="440"/>
        <w:jc w:val="both"/>
      </w:pPr>
      <w:r>
        <w:rPr>
          <w:spacing w:val="0"/>
          <w:w w:val="100"/>
          <w:position w:val="0"/>
          <w:lang w:val="en-US" w:eastAsia="en-US" w:bidi="en-US"/>
        </w:rPr>
        <w:t>[31 ] Jardine MJ, Kang A, Zoungas S, et al. The effect of folic acid based homocysteine lowering on cardiovascular events in people with kidney disease: systematic review and meta— analysis [ J ]. BMJ, 2012, 344： e3533.</w:t>
      </w:r>
    </w:p>
    <w:p>
      <w:pPr>
        <w:pStyle w:val="Style29"/>
        <w:keepNext w:val="0"/>
        <w:keepLines w:val="0"/>
        <w:widowControl w:val="0"/>
        <w:shd w:val="clear" w:color="auto" w:fill="auto"/>
        <w:bidi w:val="0"/>
        <w:spacing w:before="0" w:after="0" w:line="288" w:lineRule="exact"/>
        <w:ind w:left="0" w:right="0" w:firstLine="0"/>
        <w:jc w:val="right"/>
        <w:rPr>
          <w:sz w:val="16"/>
          <w:szCs w:val="16"/>
        </w:rPr>
        <w:sectPr>
          <w:footnotePr>
            <w:pos w:val="pageBottom"/>
            <w:numFmt w:val="decimal"/>
            <w:numRestart w:val="continuous"/>
          </w:footnotePr>
          <w:type w:val="continuous"/>
          <w:pgSz w:w="11900" w:h="16840"/>
          <w:pgMar w:top="1263" w:right="1090" w:bottom="1393" w:left="1104" w:header="0" w:footer="3" w:gutter="0"/>
          <w:cols w:num="2" w:space="355"/>
          <w:noEndnote/>
          <w:rtlGutter w:val="0"/>
          <w:docGrid w:linePitch="360"/>
        </w:sectPr>
      </w:pPr>
      <w:r>
        <w:rPr>
          <w:spacing w:val="0"/>
          <w:w w:val="100"/>
          <w:position w:val="0"/>
          <w:sz w:val="12"/>
          <w:szCs w:val="12"/>
          <w:lang w:val="en-US" w:eastAsia="en-US" w:bidi="en-US"/>
        </w:rPr>
        <w:t xml:space="preserve">2022-06-08 </w:t>
      </w:r>
      <w:r>
        <w:rPr>
          <w:spacing w:val="0"/>
          <w:w w:val="100"/>
          <w:position w:val="0"/>
          <w:sz w:val="16"/>
          <w:szCs w:val="16"/>
          <w:lang w:val="zh-TW" w:eastAsia="zh-TW" w:bidi="zh-TW"/>
        </w:rPr>
        <w:t>收稿</w:t>
      </w:r>
    </w:p>
    <w:sectPr>
      <w:footnotePr>
        <w:pos w:val="pageBottom"/>
        <w:numFmt w:val="decimal"/>
        <w:numRestart w:val="continuous"/>
      </w:footnotePr>
      <w:type w:val="continuous"/>
      <w:pgSz w:w="11900" w:h="16840"/>
      <w:pgMar w:top="1263" w:right="1090" w:bottom="1393" w:left="1104" w:header="0" w:footer="3" w:gutter="0"/>
      <w:cols w:num="2" w:space="35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258445</wp:posOffset>
              </wp:positionH>
              <wp:positionV relativeFrom="page">
                <wp:posOffset>10342245</wp:posOffset>
              </wp:positionV>
              <wp:extent cx="6038215" cy="128270"/>
              <wp:wrapNone/>
              <wp:docPr id="4" name="Shape 4"/>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0" type="#_x0000_t202" style="position:absolute;margin-left:20.350000000000001pt;margin-top:814.35000000000002pt;width:475.44999999999999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258445</wp:posOffset>
              </wp:positionH>
              <wp:positionV relativeFrom="page">
                <wp:posOffset>10339070</wp:posOffset>
              </wp:positionV>
              <wp:extent cx="6038215" cy="128270"/>
              <wp:wrapNone/>
              <wp:docPr id="9" name="Shape 9"/>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5" type="#_x0000_t202" style="position:absolute;margin-left:20.350000000000001pt;margin-top:814.10000000000002pt;width:475.4499999999999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718820</wp:posOffset>
              </wp:positionH>
              <wp:positionV relativeFrom="page">
                <wp:posOffset>625475</wp:posOffset>
              </wp:positionV>
              <wp:extent cx="6114415" cy="97790"/>
              <wp:wrapNone/>
              <wp:docPr id="1" name="Shape 1"/>
              <a:graphic xmlns:a="http://schemas.openxmlformats.org/drawingml/2006/main">
                <a:graphicData uri="http://schemas.microsoft.com/office/word/2010/wordprocessingShape">
                  <wps:wsp>
                    <wps:cNvSpPr txBox="1"/>
                    <wps:spPr>
                      <a:xfrm>
                        <a:ext cx="6114415" cy="97790"/>
                      </a:xfrm>
                      <a:prstGeom prst="rect"/>
                      <a:noFill/>
                    </wps:spPr>
                    <wps:txbx>
                      <w:txbxContent>
                        <w:p>
                          <w:pPr>
                            <w:pStyle w:val="Style4"/>
                            <w:keepNext w:val="0"/>
                            <w:keepLines w:val="0"/>
                            <w:widowControl w:val="0"/>
                            <w:shd w:val="clear" w:color="auto" w:fill="auto"/>
                            <w:tabs>
                              <w:tab w:pos="5448" w:val="right"/>
                              <w:tab w:pos="9629" w:val="right"/>
                            </w:tabs>
                            <w:bidi w:val="0"/>
                            <w:spacing w:before="0" w:after="0" w:line="240" w:lineRule="auto"/>
                            <w:ind w:left="0" w:right="0" w:firstLine="0"/>
                            <w:jc w:val="left"/>
                            <w:rPr>
                              <w:sz w:val="12"/>
                              <w:szCs w:val="12"/>
                            </w:rPr>
                          </w:pPr>
                          <w:r>
                            <w:rPr>
                              <w:rFonts w:ascii="SimSun" w:eastAsia="SimSun" w:hAnsi="SimSun" w:cs="SimSun"/>
                              <w:color w:val="231E20"/>
                              <w:spacing w:val="0"/>
                              <w:w w:val="100"/>
                              <w:position w:val="0"/>
                              <w:sz w:val="12"/>
                              <w:szCs w:val="12"/>
                              <w:lang w:val="zh-CN" w:eastAsia="zh-CN" w:bidi="zh-CN"/>
                            </w:rPr>
                            <w:t>2022</w:t>
                          </w:r>
                          <w:r>
                            <w:rPr>
                              <w:rFonts w:ascii="SimSun" w:eastAsia="SimSun" w:hAnsi="SimSun" w:cs="SimSun"/>
                              <w:color w:val="231E20"/>
                              <w:spacing w:val="0"/>
                              <w:w w:val="100"/>
                              <w:position w:val="0"/>
                              <w:sz w:val="16"/>
                              <w:szCs w:val="16"/>
                              <w:lang w:val="zh-TW" w:eastAsia="zh-TW" w:bidi="zh-TW"/>
                            </w:rPr>
                            <w:t>年</w:t>
                          </w:r>
                          <w:r>
                            <w:rPr>
                              <w:rFonts w:ascii="SimSun" w:eastAsia="SimSun" w:hAnsi="SimSun" w:cs="SimSun"/>
                              <w:color w:val="231E20"/>
                              <w:spacing w:val="0"/>
                              <w:w w:val="100"/>
                              <w:position w:val="0"/>
                              <w:sz w:val="12"/>
                              <w:szCs w:val="12"/>
                              <w:lang w:val="zh-CN" w:eastAsia="zh-CN" w:bidi="zh-CN"/>
                            </w:rPr>
                            <w:t>9</w:t>
                          </w:r>
                          <w:r>
                            <w:rPr>
                              <w:rFonts w:ascii="SimSun" w:eastAsia="SimSun" w:hAnsi="SimSun" w:cs="SimSun"/>
                              <w:color w:val="231E20"/>
                              <w:spacing w:val="0"/>
                              <w:w w:val="100"/>
                              <w:position w:val="0"/>
                              <w:sz w:val="16"/>
                              <w:szCs w:val="16"/>
                              <w:lang w:val="zh-TW" w:eastAsia="zh-TW" w:bidi="zh-TW"/>
                            </w:rPr>
                            <w:t>月第</w:t>
                          </w:r>
                          <w:r>
                            <w:rPr>
                              <w:rFonts w:ascii="SimSun" w:eastAsia="SimSun" w:hAnsi="SimSun" w:cs="SimSun"/>
                              <w:color w:val="231E20"/>
                              <w:spacing w:val="0"/>
                              <w:w w:val="100"/>
                              <w:position w:val="0"/>
                              <w:sz w:val="12"/>
                              <w:szCs w:val="12"/>
                              <w:lang w:val="zh-TW" w:eastAsia="zh-TW" w:bidi="zh-TW"/>
                            </w:rPr>
                            <w:t>42</w:t>
                          </w:r>
                          <w:r>
                            <w:rPr>
                              <w:rFonts w:ascii="SimSun" w:eastAsia="SimSun" w:hAnsi="SimSun" w:cs="SimSun"/>
                              <w:color w:val="231E20"/>
                              <w:spacing w:val="0"/>
                              <w:w w:val="100"/>
                              <w:position w:val="0"/>
                              <w:sz w:val="16"/>
                              <w:szCs w:val="16"/>
                              <w:lang w:val="zh-TW" w:eastAsia="zh-TW" w:bidi="zh-TW"/>
                            </w:rPr>
                            <w:t>卷第</w:t>
                          </w:r>
                          <w:r>
                            <w:rPr>
                              <w:rFonts w:ascii="SimSun" w:eastAsia="SimSun" w:hAnsi="SimSun" w:cs="SimSun"/>
                              <w:color w:val="231E20"/>
                              <w:spacing w:val="0"/>
                              <w:w w:val="100"/>
                              <w:position w:val="0"/>
                              <w:sz w:val="12"/>
                              <w:szCs w:val="12"/>
                              <w:lang w:val="zh-TW" w:eastAsia="zh-TW" w:bidi="zh-TW"/>
                            </w:rPr>
                            <w:t>9</w:t>
                          </w:r>
                          <w:r>
                            <w:rPr>
                              <w:rFonts w:ascii="SimSun" w:eastAsia="SimSun" w:hAnsi="SimSun" w:cs="SimSun"/>
                              <w:color w:val="231E20"/>
                              <w:spacing w:val="0"/>
                              <w:w w:val="100"/>
                              <w:position w:val="0"/>
                              <w:sz w:val="16"/>
                              <w:szCs w:val="16"/>
                              <w:lang w:val="zh-TW" w:eastAsia="zh-TW" w:bidi="zh-TW"/>
                            </w:rPr>
                            <w:t>期</w:t>
                            <w:tab/>
                            <w:t>中国实用内科杂志</w:t>
                            <w:tab/>
                          </w:r>
                          <w:fldSimple w:instr=" PAGE \* MERGEFORMAT ">
                            <w:r>
                              <w:rPr>
                                <w:rFonts w:ascii="SimSun" w:eastAsia="SimSun" w:hAnsi="SimSun" w:cs="SimSun"/>
                                <w:color w:val="231E20"/>
                                <w:spacing w:val="0"/>
                                <w:w w:val="100"/>
                                <w:position w:val="0"/>
                                <w:sz w:val="12"/>
                                <w:szCs w:val="12"/>
                                <w:lang w:val="zh-TW" w:eastAsia="zh-TW" w:bidi="zh-TW"/>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600000000000001pt;margin-top:49.25pt;width:481.44999999999999pt;height:7.7000000000000002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448" w:val="right"/>
                        <w:tab w:pos="9629" w:val="right"/>
                      </w:tabs>
                      <w:bidi w:val="0"/>
                      <w:spacing w:before="0" w:after="0" w:line="240" w:lineRule="auto"/>
                      <w:ind w:left="0" w:right="0" w:firstLine="0"/>
                      <w:jc w:val="left"/>
                      <w:rPr>
                        <w:sz w:val="12"/>
                        <w:szCs w:val="12"/>
                      </w:rPr>
                    </w:pPr>
                    <w:r>
                      <w:rPr>
                        <w:rFonts w:ascii="SimSun" w:eastAsia="SimSun" w:hAnsi="SimSun" w:cs="SimSun"/>
                        <w:color w:val="231E20"/>
                        <w:spacing w:val="0"/>
                        <w:w w:val="100"/>
                        <w:position w:val="0"/>
                        <w:sz w:val="12"/>
                        <w:szCs w:val="12"/>
                        <w:lang w:val="zh-CN" w:eastAsia="zh-CN" w:bidi="zh-CN"/>
                      </w:rPr>
                      <w:t>2022</w:t>
                    </w:r>
                    <w:r>
                      <w:rPr>
                        <w:rFonts w:ascii="SimSun" w:eastAsia="SimSun" w:hAnsi="SimSun" w:cs="SimSun"/>
                        <w:color w:val="231E20"/>
                        <w:spacing w:val="0"/>
                        <w:w w:val="100"/>
                        <w:position w:val="0"/>
                        <w:sz w:val="16"/>
                        <w:szCs w:val="16"/>
                        <w:lang w:val="zh-TW" w:eastAsia="zh-TW" w:bidi="zh-TW"/>
                      </w:rPr>
                      <w:t>年</w:t>
                    </w:r>
                    <w:r>
                      <w:rPr>
                        <w:rFonts w:ascii="SimSun" w:eastAsia="SimSun" w:hAnsi="SimSun" w:cs="SimSun"/>
                        <w:color w:val="231E20"/>
                        <w:spacing w:val="0"/>
                        <w:w w:val="100"/>
                        <w:position w:val="0"/>
                        <w:sz w:val="12"/>
                        <w:szCs w:val="12"/>
                        <w:lang w:val="zh-CN" w:eastAsia="zh-CN" w:bidi="zh-CN"/>
                      </w:rPr>
                      <w:t>9</w:t>
                    </w:r>
                    <w:r>
                      <w:rPr>
                        <w:rFonts w:ascii="SimSun" w:eastAsia="SimSun" w:hAnsi="SimSun" w:cs="SimSun"/>
                        <w:color w:val="231E20"/>
                        <w:spacing w:val="0"/>
                        <w:w w:val="100"/>
                        <w:position w:val="0"/>
                        <w:sz w:val="16"/>
                        <w:szCs w:val="16"/>
                        <w:lang w:val="zh-TW" w:eastAsia="zh-TW" w:bidi="zh-TW"/>
                      </w:rPr>
                      <w:t>月第</w:t>
                    </w:r>
                    <w:r>
                      <w:rPr>
                        <w:rFonts w:ascii="SimSun" w:eastAsia="SimSun" w:hAnsi="SimSun" w:cs="SimSun"/>
                        <w:color w:val="231E20"/>
                        <w:spacing w:val="0"/>
                        <w:w w:val="100"/>
                        <w:position w:val="0"/>
                        <w:sz w:val="12"/>
                        <w:szCs w:val="12"/>
                        <w:lang w:val="zh-TW" w:eastAsia="zh-TW" w:bidi="zh-TW"/>
                      </w:rPr>
                      <w:t>42</w:t>
                    </w:r>
                    <w:r>
                      <w:rPr>
                        <w:rFonts w:ascii="SimSun" w:eastAsia="SimSun" w:hAnsi="SimSun" w:cs="SimSun"/>
                        <w:color w:val="231E20"/>
                        <w:spacing w:val="0"/>
                        <w:w w:val="100"/>
                        <w:position w:val="0"/>
                        <w:sz w:val="16"/>
                        <w:szCs w:val="16"/>
                        <w:lang w:val="zh-TW" w:eastAsia="zh-TW" w:bidi="zh-TW"/>
                      </w:rPr>
                      <w:t>卷第</w:t>
                    </w:r>
                    <w:r>
                      <w:rPr>
                        <w:rFonts w:ascii="SimSun" w:eastAsia="SimSun" w:hAnsi="SimSun" w:cs="SimSun"/>
                        <w:color w:val="231E20"/>
                        <w:spacing w:val="0"/>
                        <w:w w:val="100"/>
                        <w:position w:val="0"/>
                        <w:sz w:val="12"/>
                        <w:szCs w:val="12"/>
                        <w:lang w:val="zh-TW" w:eastAsia="zh-TW" w:bidi="zh-TW"/>
                      </w:rPr>
                      <w:t>9</w:t>
                    </w:r>
                    <w:r>
                      <w:rPr>
                        <w:rFonts w:ascii="SimSun" w:eastAsia="SimSun" w:hAnsi="SimSun" w:cs="SimSun"/>
                        <w:color w:val="231E20"/>
                        <w:spacing w:val="0"/>
                        <w:w w:val="100"/>
                        <w:position w:val="0"/>
                        <w:sz w:val="16"/>
                        <w:szCs w:val="16"/>
                        <w:lang w:val="zh-TW" w:eastAsia="zh-TW" w:bidi="zh-TW"/>
                      </w:rPr>
                      <w:t>期</w:t>
                      <w:tab/>
                      <w:t>中国实用内科杂志</w:t>
                      <w:tab/>
                    </w:r>
                    <w:fldSimple w:instr=" PAGE \* MERGEFORMAT ">
                      <w:r>
                        <w:rPr>
                          <w:rFonts w:ascii="SimSun" w:eastAsia="SimSun" w:hAnsi="SimSun" w:cs="SimSun"/>
                          <w:color w:val="231E20"/>
                          <w:spacing w:val="0"/>
                          <w:w w:val="100"/>
                          <w:position w:val="0"/>
                          <w:sz w:val="12"/>
                          <w:szCs w:val="12"/>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775970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1.10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718820</wp:posOffset>
              </wp:positionH>
              <wp:positionV relativeFrom="page">
                <wp:posOffset>637540</wp:posOffset>
              </wp:positionV>
              <wp:extent cx="6104890" cy="97790"/>
              <wp:wrapNone/>
              <wp:docPr id="6" name="Shape 6"/>
              <a:graphic xmlns:a="http://schemas.openxmlformats.org/drawingml/2006/main">
                <a:graphicData uri="http://schemas.microsoft.com/office/word/2010/wordprocessingShape">
                  <wps:wsp>
                    <wps:cNvSpPr txBox="1"/>
                    <wps:spPr>
                      <a:xfrm>
                        <a:ext cx="6104890" cy="97790"/>
                      </a:xfrm>
                      <a:prstGeom prst="rect"/>
                      <a:noFill/>
                    </wps:spPr>
                    <wps:txbx>
                      <w:txbxContent>
                        <w:p>
                          <w:pPr>
                            <w:pStyle w:val="Style4"/>
                            <w:keepNext w:val="0"/>
                            <w:keepLines w:val="0"/>
                            <w:widowControl w:val="0"/>
                            <w:shd w:val="clear" w:color="auto" w:fill="auto"/>
                            <w:tabs>
                              <w:tab w:pos="6269" w:val="right"/>
                              <w:tab w:pos="9614" w:val="right"/>
                            </w:tabs>
                            <w:bidi w:val="0"/>
                            <w:spacing w:before="0" w:after="0" w:line="240" w:lineRule="auto"/>
                            <w:ind w:left="0" w:right="0" w:firstLine="0"/>
                            <w:jc w:val="left"/>
                            <w:rPr>
                              <w:sz w:val="12"/>
                              <w:szCs w:val="12"/>
                            </w:rPr>
                          </w:pPr>
                          <w:fldSimple w:instr=" PAGE \* MERGEFORMAT ">
                            <w:r>
                              <w:rPr>
                                <w:rFonts w:ascii="SimSun" w:eastAsia="SimSun" w:hAnsi="SimSun" w:cs="SimSun"/>
                                <w:color w:val="231E20"/>
                                <w:spacing w:val="0"/>
                                <w:w w:val="100"/>
                                <w:position w:val="0"/>
                                <w:sz w:val="12"/>
                                <w:szCs w:val="12"/>
                                <w:lang w:val="zh-CN" w:eastAsia="zh-CN" w:bidi="zh-CN"/>
                              </w:rPr>
                              <w:t>#</w:t>
                            </w:r>
                          </w:fldSimple>
                          <w:r>
                            <w:rPr>
                              <w:rFonts w:ascii="SimSun" w:eastAsia="SimSun" w:hAnsi="SimSun" w:cs="SimSun"/>
                              <w:color w:val="231E20"/>
                              <w:spacing w:val="0"/>
                              <w:w w:val="100"/>
                              <w:position w:val="0"/>
                              <w:sz w:val="12"/>
                              <w:szCs w:val="12"/>
                              <w:lang w:val="zh-CN" w:eastAsia="zh-CN" w:bidi="zh-CN"/>
                            </w:rPr>
                            <w:tab/>
                          </w:r>
                          <w:r>
                            <w:rPr>
                              <w:rFonts w:ascii="SimSun" w:eastAsia="SimSun" w:hAnsi="SimSun" w:cs="SimSun"/>
                              <w:color w:val="231E20"/>
                              <w:spacing w:val="0"/>
                              <w:w w:val="100"/>
                              <w:position w:val="0"/>
                              <w:sz w:val="12"/>
                              <w:szCs w:val="12"/>
                              <w:lang w:val="en-US" w:eastAsia="en-US" w:bidi="en-US"/>
                            </w:rPr>
                            <w:t>Chinese Journal of Practical Internal Medicine</w:t>
                            <w:tab/>
                            <w:t>September 2022 VoL42 No.9</w:t>
                          </w:r>
                        </w:p>
                      </w:txbxContent>
                    </wps:txbx>
                    <wps:bodyPr lIns="0" tIns="0" rIns="0" bIns="0">
                      <a:spAutoFit/>
                    </wps:bodyPr>
                  </wps:wsp>
                </a:graphicData>
              </a:graphic>
            </wp:anchor>
          </w:drawing>
        </mc:Choice>
        <mc:Fallback>
          <w:pict>
            <v:shape id="_x0000_s1032" type="#_x0000_t202" style="position:absolute;margin-left:56.600000000000001pt;margin-top:50.200000000000003pt;width:480.69999999999999pt;height:7.7000000000000002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269" w:val="right"/>
                        <w:tab w:pos="9614" w:val="right"/>
                      </w:tabs>
                      <w:bidi w:val="0"/>
                      <w:spacing w:before="0" w:after="0" w:line="240" w:lineRule="auto"/>
                      <w:ind w:left="0" w:right="0" w:firstLine="0"/>
                      <w:jc w:val="left"/>
                      <w:rPr>
                        <w:sz w:val="12"/>
                        <w:szCs w:val="12"/>
                      </w:rPr>
                    </w:pPr>
                    <w:fldSimple w:instr=" PAGE \* MERGEFORMAT ">
                      <w:r>
                        <w:rPr>
                          <w:rFonts w:ascii="SimSun" w:eastAsia="SimSun" w:hAnsi="SimSun" w:cs="SimSun"/>
                          <w:color w:val="231E20"/>
                          <w:spacing w:val="0"/>
                          <w:w w:val="100"/>
                          <w:position w:val="0"/>
                          <w:sz w:val="12"/>
                          <w:szCs w:val="12"/>
                          <w:lang w:val="zh-CN" w:eastAsia="zh-CN" w:bidi="zh-CN"/>
                        </w:rPr>
                        <w:t>#</w:t>
                      </w:r>
                    </w:fldSimple>
                    <w:r>
                      <w:rPr>
                        <w:rFonts w:ascii="SimSun" w:eastAsia="SimSun" w:hAnsi="SimSun" w:cs="SimSun"/>
                        <w:color w:val="231E20"/>
                        <w:spacing w:val="0"/>
                        <w:w w:val="100"/>
                        <w:position w:val="0"/>
                        <w:sz w:val="12"/>
                        <w:szCs w:val="12"/>
                        <w:lang w:val="zh-CN" w:eastAsia="zh-CN" w:bidi="zh-CN"/>
                      </w:rPr>
                      <w:tab/>
                    </w:r>
                    <w:r>
                      <w:rPr>
                        <w:rFonts w:ascii="SimSun" w:eastAsia="SimSun" w:hAnsi="SimSun" w:cs="SimSun"/>
                        <w:color w:val="231E20"/>
                        <w:spacing w:val="0"/>
                        <w:w w:val="100"/>
                        <w:position w:val="0"/>
                        <w:sz w:val="12"/>
                        <w:szCs w:val="12"/>
                        <w:lang w:val="en-US" w:eastAsia="en-US" w:bidi="en-US"/>
                      </w:rPr>
                      <w:t>Chinese Journal of Practical Internal Medicine</w:t>
                      <w:tab/>
                      <w:t>September 2022 VoL42 No.9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775970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1.10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231E20"/>
        <w:spacing w:val="0"/>
        <w:w w:val="100"/>
        <w:position w:val="0"/>
        <w:sz w:val="18"/>
        <w:szCs w:val="18"/>
        <w:u w:val="none"/>
        <w:shd w:val="clear" w:color="auto" w:fill="auto"/>
        <w:lang w:val="zh-TW" w:eastAsia="zh-TW" w:bidi="zh-TW"/>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abstractNum w:abstractNumId="4">
    <w:multiLevelType w:val="multilevel"/>
    <w:lvl w:ilvl="0">
      <w:start w:val="10"/>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color w:val="231E20"/>
      <w:sz w:val="20"/>
      <w:szCs w:val="2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0">
    <w:name w:val="Body text|6_"/>
    <w:basedOn w:val="DefaultParagraphFont"/>
    <w:link w:val="Style9"/>
    <w:rPr>
      <w:b w:val="0"/>
      <w:bCs w:val="0"/>
      <w:i w:val="0"/>
      <w:iCs w:val="0"/>
      <w:smallCaps w:val="0"/>
      <w:strike w:val="0"/>
      <w:color w:val="231E20"/>
      <w:sz w:val="19"/>
      <w:szCs w:val="19"/>
      <w:u w:val="none"/>
      <w:shd w:val="clear" w:color="auto" w:fill="auto"/>
    </w:rPr>
  </w:style>
  <w:style w:type="character" w:customStyle="1" w:styleId="CharStyle12">
    <w:name w:val="Heading #1|1_"/>
    <w:basedOn w:val="DefaultParagraphFont"/>
    <w:link w:val="Style11"/>
    <w:rPr>
      <w:rFonts w:ascii="SimSun" w:eastAsia="SimSun" w:hAnsi="SimSun" w:cs="SimSun"/>
      <w:b w:val="0"/>
      <w:bCs w:val="0"/>
      <w:i w:val="0"/>
      <w:iCs w:val="0"/>
      <w:smallCaps w:val="0"/>
      <w:strike w:val="0"/>
      <w:color w:val="231E20"/>
      <w:sz w:val="40"/>
      <w:szCs w:val="40"/>
      <w:u w:val="none"/>
      <w:shd w:val="clear" w:color="auto" w:fill="auto"/>
      <w:lang w:val="zh-TW" w:eastAsia="zh-TW" w:bidi="zh-TW"/>
    </w:rPr>
  </w:style>
  <w:style w:type="character" w:customStyle="1" w:styleId="CharStyle16">
    <w:name w:val="Body text|4_"/>
    <w:basedOn w:val="DefaultParagraphFont"/>
    <w:link w:val="Style15"/>
    <w:rPr>
      <w:rFonts w:ascii="SimSun" w:eastAsia="SimSun" w:hAnsi="SimSun" w:cs="SimSun"/>
      <w:b w:val="0"/>
      <w:bCs w:val="0"/>
      <w:i w:val="0"/>
      <w:iCs w:val="0"/>
      <w:smallCaps w:val="0"/>
      <w:strike w:val="0"/>
      <w:color w:val="231E20"/>
      <w:sz w:val="16"/>
      <w:szCs w:val="16"/>
      <w:u w:val="none"/>
      <w:shd w:val="clear" w:color="auto" w:fill="auto"/>
      <w:lang w:val="zh-TW" w:eastAsia="zh-TW" w:bidi="zh-TW"/>
    </w:rPr>
  </w:style>
  <w:style w:type="character" w:customStyle="1" w:styleId="CharStyle20">
    <w:name w:val="Body text|5_"/>
    <w:basedOn w:val="DefaultParagraphFont"/>
    <w:link w:val="Style19"/>
    <w:rPr>
      <w:b w:val="0"/>
      <w:bCs w:val="0"/>
      <w:i/>
      <w:iCs/>
      <w:smallCaps w:val="0"/>
      <w:strike w:val="0"/>
      <w:color w:val="231E20"/>
      <w:sz w:val="17"/>
      <w:szCs w:val="17"/>
      <w:u w:val="none"/>
      <w:shd w:val="clear" w:color="auto" w:fill="auto"/>
    </w:rPr>
  </w:style>
  <w:style w:type="character" w:customStyle="1" w:styleId="CharStyle24">
    <w:name w:val="Body text|3_"/>
    <w:basedOn w:val="DefaultParagraphFont"/>
    <w:link w:val="Style23"/>
    <w:rPr>
      <w:rFonts w:ascii="SimSun" w:eastAsia="SimSun" w:hAnsi="SimSun" w:cs="SimSun"/>
      <w:b w:val="0"/>
      <w:bCs w:val="0"/>
      <w:i w:val="0"/>
      <w:iCs w:val="0"/>
      <w:smallCaps w:val="0"/>
      <w:strike w:val="0"/>
      <w:color w:val="231E20"/>
      <w:sz w:val="14"/>
      <w:szCs w:val="14"/>
      <w:u w:val="none"/>
      <w:shd w:val="clear" w:color="auto" w:fill="auto"/>
    </w:rPr>
  </w:style>
  <w:style w:type="character" w:customStyle="1" w:styleId="CharStyle30">
    <w:name w:val="Body text|2_"/>
    <w:basedOn w:val="DefaultParagraphFont"/>
    <w:link w:val="Style29"/>
    <w:rPr>
      <w:rFonts w:ascii="SimSun" w:eastAsia="SimSun" w:hAnsi="SimSun" w:cs="SimSun"/>
      <w:b w:val="0"/>
      <w:bCs w:val="0"/>
      <w:i w:val="0"/>
      <w:iCs w:val="0"/>
      <w:smallCaps w:val="0"/>
      <w:strike w:val="0"/>
      <w:color w:val="231E20"/>
      <w:sz w:val="12"/>
      <w:szCs w:val="12"/>
      <w:u w:val="none"/>
      <w:shd w:val="clear" w:color="auto" w:fill="auto"/>
    </w:rPr>
  </w:style>
  <w:style w:type="character" w:customStyle="1" w:styleId="CharStyle33">
    <w:name w:val="Body text|7_"/>
    <w:basedOn w:val="DefaultParagraphFont"/>
    <w:link w:val="Style32"/>
    <w:rPr>
      <w:rFonts w:ascii="SimSun" w:eastAsia="SimSun" w:hAnsi="SimSun" w:cs="SimSun"/>
      <w:b w:val="0"/>
      <w:bCs w:val="0"/>
      <w:i w:val="0"/>
      <w:iCs w:val="0"/>
      <w:smallCaps w:val="0"/>
      <w:strike w:val="0"/>
      <w:color w:val="231E20"/>
      <w:sz w:val="18"/>
      <w:szCs w:val="18"/>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60" w:lineRule="auto"/>
    </w:pPr>
    <w:rPr>
      <w:rFonts w:ascii="SimSun" w:eastAsia="SimSun" w:hAnsi="SimSun" w:cs="SimSun"/>
      <w:b w:val="0"/>
      <w:bCs w:val="0"/>
      <w:i w:val="0"/>
      <w:iCs w:val="0"/>
      <w:smallCaps w:val="0"/>
      <w:strike w:val="0"/>
      <w:color w:val="231E20"/>
      <w:sz w:val="20"/>
      <w:szCs w:val="2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9">
    <w:name w:val="Body text|6"/>
    <w:basedOn w:val="Normal"/>
    <w:link w:val="CharStyle10"/>
    <w:pPr>
      <w:widowControl w:val="0"/>
      <w:shd w:val="clear" w:color="auto" w:fill="auto"/>
      <w:spacing w:after="100"/>
    </w:pPr>
    <w:rPr>
      <w:b w:val="0"/>
      <w:bCs w:val="0"/>
      <w:i w:val="0"/>
      <w:iCs w:val="0"/>
      <w:smallCaps w:val="0"/>
      <w:strike w:val="0"/>
      <w:color w:val="231E20"/>
      <w:sz w:val="19"/>
      <w:szCs w:val="19"/>
      <w:u w:val="none"/>
      <w:shd w:val="clear" w:color="auto" w:fill="auto"/>
    </w:rPr>
  </w:style>
  <w:style w:type="paragraph" w:customStyle="1" w:styleId="Style11">
    <w:name w:val="Heading #1|1"/>
    <w:basedOn w:val="Normal"/>
    <w:link w:val="CharStyle12"/>
    <w:pPr>
      <w:widowControl w:val="0"/>
      <w:shd w:val="clear" w:color="auto" w:fill="auto"/>
      <w:spacing w:after="220" w:line="514" w:lineRule="exact"/>
      <w:jc w:val="center"/>
      <w:outlineLvl w:val="0"/>
    </w:pPr>
    <w:rPr>
      <w:rFonts w:ascii="SimSun" w:eastAsia="SimSun" w:hAnsi="SimSun" w:cs="SimSun"/>
      <w:b w:val="0"/>
      <w:bCs w:val="0"/>
      <w:i w:val="0"/>
      <w:iCs w:val="0"/>
      <w:smallCaps w:val="0"/>
      <w:strike w:val="0"/>
      <w:color w:val="231E20"/>
      <w:sz w:val="40"/>
      <w:szCs w:val="40"/>
      <w:u w:val="none"/>
      <w:shd w:val="clear" w:color="auto" w:fill="auto"/>
      <w:lang w:val="zh-TW" w:eastAsia="zh-TW" w:bidi="zh-TW"/>
    </w:rPr>
  </w:style>
  <w:style w:type="paragraph" w:customStyle="1" w:styleId="Style15">
    <w:name w:val="Body text|4"/>
    <w:basedOn w:val="Normal"/>
    <w:link w:val="CharStyle16"/>
    <w:pPr>
      <w:widowControl w:val="0"/>
      <w:shd w:val="clear" w:color="auto" w:fill="auto"/>
      <w:spacing w:line="300" w:lineRule="exact"/>
      <w:ind w:left="320"/>
    </w:pPr>
    <w:rPr>
      <w:rFonts w:ascii="SimSun" w:eastAsia="SimSun" w:hAnsi="SimSun" w:cs="SimSun"/>
      <w:b w:val="0"/>
      <w:bCs w:val="0"/>
      <w:i w:val="0"/>
      <w:iCs w:val="0"/>
      <w:smallCaps w:val="0"/>
      <w:strike w:val="0"/>
      <w:color w:val="231E20"/>
      <w:sz w:val="16"/>
      <w:szCs w:val="16"/>
      <w:u w:val="none"/>
      <w:shd w:val="clear" w:color="auto" w:fill="auto"/>
      <w:lang w:val="zh-TW" w:eastAsia="zh-TW" w:bidi="zh-TW"/>
    </w:rPr>
  </w:style>
  <w:style w:type="paragraph" w:customStyle="1" w:styleId="Style19">
    <w:name w:val="Body text|5"/>
    <w:basedOn w:val="Normal"/>
    <w:link w:val="CharStyle20"/>
    <w:pPr>
      <w:widowControl w:val="0"/>
      <w:shd w:val="clear" w:color="auto" w:fill="auto"/>
      <w:spacing w:after="100" w:line="308" w:lineRule="exact"/>
      <w:ind w:left="360"/>
    </w:pPr>
    <w:rPr>
      <w:b w:val="0"/>
      <w:bCs w:val="0"/>
      <w:i/>
      <w:iCs/>
      <w:smallCaps w:val="0"/>
      <w:strike w:val="0"/>
      <w:color w:val="231E20"/>
      <w:sz w:val="17"/>
      <w:szCs w:val="17"/>
      <w:u w:val="none"/>
      <w:shd w:val="clear" w:color="auto" w:fill="auto"/>
    </w:rPr>
  </w:style>
  <w:style w:type="paragraph" w:customStyle="1" w:styleId="Style23">
    <w:name w:val="Body text|3"/>
    <w:basedOn w:val="Normal"/>
    <w:link w:val="CharStyle24"/>
    <w:pPr>
      <w:widowControl w:val="0"/>
      <w:shd w:val="clear" w:color="auto" w:fill="auto"/>
      <w:spacing w:after="100" w:line="308" w:lineRule="exact"/>
      <w:ind w:left="360"/>
    </w:pPr>
    <w:rPr>
      <w:rFonts w:ascii="SimSun" w:eastAsia="SimSun" w:hAnsi="SimSun" w:cs="SimSun"/>
      <w:b w:val="0"/>
      <w:bCs w:val="0"/>
      <w:i w:val="0"/>
      <w:iCs w:val="0"/>
      <w:smallCaps w:val="0"/>
      <w:strike w:val="0"/>
      <w:color w:val="231E20"/>
      <w:sz w:val="14"/>
      <w:szCs w:val="14"/>
      <w:u w:val="none"/>
      <w:shd w:val="clear" w:color="auto" w:fill="auto"/>
    </w:rPr>
  </w:style>
  <w:style w:type="paragraph" w:customStyle="1" w:styleId="Style29">
    <w:name w:val="Body text|2"/>
    <w:basedOn w:val="Normal"/>
    <w:link w:val="CharStyle30"/>
    <w:pPr>
      <w:widowControl w:val="0"/>
      <w:shd w:val="clear" w:color="auto" w:fill="auto"/>
      <w:spacing w:line="287" w:lineRule="exact"/>
      <w:ind w:left="320" w:hanging="320"/>
    </w:pPr>
    <w:rPr>
      <w:rFonts w:ascii="SimSun" w:eastAsia="SimSun" w:hAnsi="SimSun" w:cs="SimSun"/>
      <w:b w:val="0"/>
      <w:bCs w:val="0"/>
      <w:i w:val="0"/>
      <w:iCs w:val="0"/>
      <w:smallCaps w:val="0"/>
      <w:strike w:val="0"/>
      <w:color w:val="231E20"/>
      <w:sz w:val="12"/>
      <w:szCs w:val="12"/>
      <w:u w:val="none"/>
      <w:shd w:val="clear" w:color="auto" w:fill="auto"/>
    </w:rPr>
  </w:style>
  <w:style w:type="paragraph" w:customStyle="1" w:styleId="Style32">
    <w:name w:val="Body text|7"/>
    <w:basedOn w:val="Normal"/>
    <w:link w:val="CharStyle33"/>
    <w:pPr>
      <w:widowControl w:val="0"/>
      <w:shd w:val="clear" w:color="auto" w:fill="auto"/>
      <w:spacing w:after="160"/>
    </w:pPr>
    <w:rPr>
      <w:rFonts w:ascii="SimSun" w:eastAsia="SimSun" w:hAnsi="SimSun" w:cs="SimSun"/>
      <w:b w:val="0"/>
      <w:bCs w:val="0"/>
      <w:i w:val="0"/>
      <w:iCs w:val="0"/>
      <w:smallCaps w:val="0"/>
      <w:strike w:val="0"/>
      <w:color w:val="231E20"/>
      <w:sz w:val="18"/>
      <w:szCs w:val="1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CNKI</dc:creator>
  <cp:keywords/>
</cp:coreProperties>
</file>