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0" w:after="80" w:line="240" w:lineRule="auto"/>
        <w:ind w:left="0" w:right="0" w:firstLine="0"/>
        <w:jc w:val="right"/>
      </w:pPr>
      <w:r>
        <w:rPr>
          <w:spacing w:val="0"/>
          <w:w w:val="100"/>
          <w:position w:val="0"/>
        </w:rPr>
        <w:t>规范与解读</w:t>
      </w:r>
    </w:p>
    <w:p>
      <w:pPr>
        <w:pStyle w:val="Style9"/>
        <w:keepNext w:val="0"/>
        <w:keepLines w:val="0"/>
        <w:widowControl w:val="0"/>
        <w:shd w:val="clear" w:color="auto" w:fill="auto"/>
        <w:bidi w:val="0"/>
        <w:spacing w:before="0" w:after="480" w:line="240" w:lineRule="auto"/>
        <w:ind w:left="0" w:right="0" w:firstLine="0"/>
        <w:jc w:val="left"/>
        <w:rPr>
          <w:sz w:val="18"/>
          <w:szCs w:val="18"/>
        </w:rPr>
      </w:pPr>
      <w:r>
        <w:rPr>
          <w:rFonts w:ascii="Times New Roman" w:eastAsia="Times New Roman" w:hAnsi="Times New Roman" w:cs="Times New Roman"/>
          <w:spacing w:val="0"/>
          <w:w w:val="100"/>
          <w:position w:val="0"/>
          <w:sz w:val="18"/>
          <w:szCs w:val="18"/>
          <w:lang w:val="en-US" w:eastAsia="en-US" w:bidi="en-US"/>
        </w:rPr>
        <w:t>DOI: 10.19538/j.nk2022110108</w:t>
      </w:r>
    </w:p>
    <w:p>
      <w:pPr>
        <w:pStyle w:val="Style12"/>
        <w:keepNext/>
        <w:keepLines/>
        <w:widowControl w:val="0"/>
        <w:shd w:val="clear" w:color="auto" w:fill="auto"/>
        <w:bidi w:val="0"/>
        <w:spacing w:before="0" w:line="240" w:lineRule="auto"/>
        <w:ind w:left="0" w:right="0" w:firstLine="0"/>
        <w:jc w:val="center"/>
      </w:pPr>
      <w:bookmarkStart w:id="0" w:name="bookmark0"/>
      <w:bookmarkStart w:id="1" w:name="bookmark1"/>
      <w:bookmarkStart w:id="2" w:name="bookmark2"/>
      <w:r>
        <w:rPr>
          <w:spacing w:val="0"/>
          <w:w w:val="100"/>
          <w:position w:val="0"/>
        </w:rPr>
        <w:t>《罗沙司他治疗肾性贫血中国专家共识》解读</w:t>
      </w:r>
      <w:bookmarkEnd w:id="0"/>
      <w:bookmarkEnd w:id="1"/>
      <w:bookmarkEnd w:id="2"/>
    </w:p>
    <w:p>
      <w:pPr>
        <w:pStyle w:val="Style14"/>
        <w:keepNext/>
        <w:keepLines/>
        <w:widowControl w:val="0"/>
        <w:shd w:val="clear" w:color="auto" w:fill="auto"/>
        <w:bidi w:val="0"/>
        <w:spacing w:before="0" w:line="240" w:lineRule="auto"/>
        <w:ind w:left="0" w:right="0" w:firstLine="0"/>
        <w:jc w:val="center"/>
      </w:pPr>
      <w:bookmarkStart w:id="3" w:name="bookmark3"/>
      <w:bookmarkStart w:id="4" w:name="bookmark4"/>
      <w:bookmarkStart w:id="5" w:name="bookmark5"/>
      <w:r>
        <w:rPr>
          <w:spacing w:val="0"/>
          <w:w w:val="100"/>
          <w:position w:val="0"/>
        </w:rPr>
        <w:t>李作林，刘宏，刘必成</w:t>
      </w:r>
      <w:bookmarkEnd w:id="3"/>
      <w:bookmarkEnd w:id="4"/>
      <w:bookmarkEnd w:id="5"/>
    </w:p>
    <w:p>
      <w:pPr>
        <w:pStyle w:val="Style16"/>
        <w:keepNext w:val="0"/>
        <w:keepLines w:val="0"/>
        <w:widowControl w:val="0"/>
        <w:shd w:val="clear" w:color="auto" w:fill="auto"/>
        <w:bidi w:val="0"/>
        <w:spacing w:before="0" w:after="0" w:line="310" w:lineRule="exact"/>
        <w:ind w:left="360" w:right="0" w:firstLine="0"/>
        <w:jc w:val="both"/>
      </w:pPr>
      <w:r>
        <w:rPr>
          <w:spacing w:val="0"/>
          <w:w w:val="100"/>
          <w:position w:val="0"/>
          <w:sz w:val="17"/>
          <w:szCs w:val="17"/>
        </w:rPr>
        <w:t>摘要:</w:t>
      </w:r>
      <w:r>
        <w:rPr>
          <w:spacing w:val="0"/>
          <w:w w:val="100"/>
          <w:position w:val="0"/>
        </w:rPr>
        <w:t>肾性贫血是慢性肾脏病患者常见且重要的并发症,近年来肾性贫血治疗取得重要进展。作为机制全新的新一 代肾性贫血治疗药物，全球首个低氧诱导因子脯氨酰羟化酶抑制剂 —— 罗沙司他</w:t>
      </w:r>
      <w:r>
        <w:rPr>
          <w:spacing w:val="0"/>
          <w:w w:val="100"/>
          <w:position w:val="0"/>
          <w:sz w:val="12"/>
          <w:szCs w:val="12"/>
          <w:lang w:val="en-US" w:eastAsia="en-US" w:bidi="en-US"/>
        </w:rPr>
        <w:t>(Roxadustat)</w:t>
      </w:r>
      <w:r>
        <w:rPr>
          <w:spacing w:val="0"/>
          <w:w w:val="100"/>
          <w:position w:val="0"/>
        </w:rPr>
        <w:t xml:space="preserve">在中国首先上市使用， 国内外众多证据已表明，它能显著改善肾性贫血患者血红蛋白水平，成为该病临床治疗的新选择。为及时总结罗沙 司他临床应用进展,更好地指导该药在临床的合理应用，中国研究型医院学会肾脏病学专业委员会编写《罗沙司他治 疗肾性贫血中国专家共识》，文章对该共识进行扼要解读° </w:t>
      </w:r>
      <w:r>
        <w:rPr>
          <w:spacing w:val="0"/>
          <w:w w:val="100"/>
          <w:position w:val="0"/>
          <w:sz w:val="17"/>
          <w:szCs w:val="17"/>
        </w:rPr>
        <w:t>关键词：</w:t>
      </w:r>
      <w:r>
        <w:rPr>
          <w:spacing w:val="0"/>
          <w:w w:val="100"/>
          <w:position w:val="0"/>
        </w:rPr>
        <w:t>贫血;慢性肾脏病；罗沙司他；专家共识；解读</w:t>
      </w:r>
    </w:p>
    <w:p>
      <w:pPr>
        <w:pStyle w:val="Style16"/>
        <w:keepNext w:val="0"/>
        <w:keepLines w:val="0"/>
        <w:widowControl w:val="0"/>
        <w:shd w:val="clear" w:color="auto" w:fill="auto"/>
        <w:bidi w:val="0"/>
        <w:spacing w:before="0" w:after="300" w:line="310" w:lineRule="exact"/>
        <w:ind w:left="0" w:right="0" w:firstLine="360"/>
        <w:jc w:val="left"/>
        <w:rPr>
          <w:sz w:val="18"/>
          <w:szCs w:val="18"/>
        </w:rPr>
      </w:pPr>
      <w:r>
        <w:rPr>
          <w:spacing w:val="0"/>
          <w:w w:val="100"/>
          <w:position w:val="0"/>
          <w:sz w:val="17"/>
          <w:szCs w:val="17"/>
        </w:rPr>
        <w:t>中图分类号:</w:t>
      </w:r>
      <w:r>
        <w:rPr>
          <w:rFonts w:ascii="Times New Roman" w:eastAsia="Times New Roman" w:hAnsi="Times New Roman" w:cs="Times New Roman"/>
          <w:spacing w:val="0"/>
          <w:w w:val="100"/>
          <w:position w:val="0"/>
          <w:sz w:val="18"/>
          <w:szCs w:val="18"/>
          <w:lang w:val="en-US" w:eastAsia="en-US" w:bidi="en-US"/>
        </w:rPr>
        <w:t>R692</w:t>
      </w:r>
      <w:r>
        <w:rPr>
          <w:spacing w:val="0"/>
          <w:w w:val="100"/>
          <w:position w:val="0"/>
          <w:sz w:val="17"/>
          <w:szCs w:val="17"/>
        </w:rPr>
        <w:t>文献标识码:</w:t>
      </w:r>
      <w:r>
        <w:rPr>
          <w:rFonts w:ascii="Times New Roman" w:eastAsia="Times New Roman" w:hAnsi="Times New Roman" w:cs="Times New Roman"/>
          <w:spacing w:val="0"/>
          <w:w w:val="100"/>
          <w:position w:val="0"/>
          <w:sz w:val="18"/>
          <w:szCs w:val="18"/>
          <w:lang w:val="en-US" w:eastAsia="en-US" w:bidi="en-US"/>
        </w:rPr>
        <w:t>A</w:t>
      </w:r>
    </w:p>
    <w:p>
      <w:pPr>
        <w:pStyle w:val="Style9"/>
        <w:keepNext w:val="0"/>
        <w:keepLines w:val="0"/>
        <w:widowControl w:val="0"/>
        <w:shd w:val="clear" w:color="auto" w:fill="auto"/>
        <w:bidi w:val="0"/>
        <w:spacing w:before="0" w:after="0"/>
        <w:ind w:right="0" w:firstLine="0"/>
        <w:jc w:val="both"/>
      </w:pPr>
      <w:r>
        <w:rPr>
          <w:rFonts w:ascii="Times New Roman" w:eastAsia="Times New Roman" w:hAnsi="Times New Roman" w:cs="Times New Roman"/>
          <w:b/>
          <w:bCs/>
          <w:spacing w:val="0"/>
          <w:w w:val="100"/>
          <w:position w:val="0"/>
          <w:lang w:val="en-US" w:eastAsia="en-US" w:bidi="en-US"/>
        </w:rPr>
        <w:t xml:space="preserve">Inteipretation of the expert consensus on the treatment for renal anemia with Roxadustat in China. </w:t>
      </w:r>
      <w:r>
        <w:rPr>
          <w:rFonts w:ascii="Times New Roman" w:eastAsia="Times New Roman" w:hAnsi="Times New Roman" w:cs="Times New Roman"/>
          <w:i/>
          <w:iCs/>
          <w:spacing w:val="0"/>
          <w:w w:val="100"/>
          <w:position w:val="0"/>
          <w:lang w:val="en-US" w:eastAsia="en-US" w:bidi="en-US"/>
        </w:rPr>
        <w:t>LI Zuo-lin, LIU Hong, LIU Bi- cheng. Department of Nephrology, Zhongda Hospital Southeast Unwersity, Jiangsu Clinical Research Center of Nephrology, Nanjing 210009, China</w:t>
      </w:r>
    </w:p>
    <w:p>
      <w:pPr>
        <w:pStyle w:val="Style9"/>
        <w:keepNext w:val="0"/>
        <w:keepLines w:val="0"/>
        <w:widowControl w:val="0"/>
        <w:shd w:val="clear" w:color="auto" w:fill="auto"/>
        <w:bidi w:val="0"/>
        <w:spacing w:before="0" w:after="0"/>
        <w:ind w:left="0" w:right="0" w:firstLine="360"/>
        <w:jc w:val="left"/>
      </w:pPr>
      <w:r>
        <w:rPr>
          <w:rFonts w:ascii="Times New Roman" w:eastAsia="Times New Roman" w:hAnsi="Times New Roman" w:cs="Times New Roman"/>
          <w:i/>
          <w:iCs/>
          <w:spacing w:val="0"/>
          <w:w w:val="100"/>
          <w:position w:val="0"/>
          <w:lang w:val="en-US" w:eastAsia="en-US" w:bidi="en-US"/>
        </w:rPr>
        <w:t>Corresponding author</w:t>
      </w:r>
      <w:r>
        <w:rPr>
          <w:rFonts w:ascii="Times New Roman" w:eastAsia="Times New Roman" w:hAnsi="Times New Roman" w:cs="Times New Roman"/>
          <w:i/>
          <w:iCs/>
          <w:spacing w:val="0"/>
          <w:w w:val="100"/>
          <w:position w:val="0"/>
          <w:lang w:val="zh-TW" w:eastAsia="zh-TW" w:bidi="zh-TW"/>
        </w:rPr>
        <w:t xml:space="preserve">: </w:t>
      </w:r>
      <w:r>
        <w:rPr>
          <w:rFonts w:ascii="Times New Roman" w:eastAsia="Times New Roman" w:hAnsi="Times New Roman" w:cs="Times New Roman"/>
          <w:i/>
          <w:iCs/>
          <w:spacing w:val="0"/>
          <w:w w:val="100"/>
          <w:position w:val="0"/>
          <w:lang w:val="en-US" w:eastAsia="en-US" w:bidi="en-US"/>
        </w:rPr>
        <w:t>LIU Bi-cheng, E-mail</w:t>
      </w:r>
      <w:r>
        <w:rPr>
          <w:rFonts w:ascii="Times New Roman" w:eastAsia="Times New Roman" w:hAnsi="Times New Roman" w:cs="Times New Roman"/>
          <w:i/>
          <w:iCs/>
          <w:spacing w:val="0"/>
          <w:w w:val="100"/>
          <w:position w:val="0"/>
          <w:lang w:val="zh-TW" w:eastAsia="zh-TW" w:bidi="zh-TW"/>
        </w:rPr>
        <w:t xml:space="preserve">: </w:t>
      </w:r>
      <w:r>
        <w:fldChar w:fldCharType="begin"/>
      </w:r>
      <w:r>
        <w:rPr/>
        <w:instrText> HYPERLINK "mailto:Hubc64@l63.com" </w:instrText>
      </w:r>
      <w:r>
        <w:fldChar w:fldCharType="separate"/>
      </w:r>
      <w:r>
        <w:rPr>
          <w:rFonts w:ascii="Times New Roman" w:eastAsia="Times New Roman" w:hAnsi="Times New Roman" w:cs="Times New Roman"/>
          <w:i/>
          <w:iCs/>
          <w:spacing w:val="0"/>
          <w:w w:val="100"/>
          <w:position w:val="0"/>
          <w:lang w:val="en-US" w:eastAsia="en-US" w:bidi="en-US"/>
        </w:rPr>
        <w:t>Hubc64@l63.com</w:t>
      </w:r>
      <w:r>
        <w:fldChar w:fldCharType="end"/>
      </w:r>
    </w:p>
    <w:p>
      <w:pPr>
        <w:pStyle w:val="Style9"/>
        <w:keepNext w:val="0"/>
        <w:keepLines w:val="0"/>
        <w:widowControl w:val="0"/>
        <w:shd w:val="clear" w:color="auto" w:fill="auto"/>
        <w:bidi w:val="0"/>
        <w:spacing w:before="0" w:after="0"/>
        <w:ind w:right="0" w:firstLine="0"/>
        <w:jc w:val="both"/>
      </w:pPr>
      <w:r>
        <w:rPr>
          <w:rFonts w:ascii="Times New Roman" w:eastAsia="Times New Roman" w:hAnsi="Times New Roman" w:cs="Times New Roman"/>
          <w:b/>
          <w:bCs/>
          <w:spacing w:val="0"/>
          <w:w w:val="100"/>
          <w:position w:val="0"/>
          <w:lang w:val="en-US" w:eastAsia="en-US" w:bidi="en-US"/>
        </w:rPr>
        <w:t>Abstract</w:t>
      </w:r>
      <w:r>
        <w:rPr>
          <w:rFonts w:ascii="Times New Roman" w:eastAsia="Times New Roman" w:hAnsi="Times New Roman" w:cs="Times New Roman"/>
          <w:b/>
          <w:bCs/>
          <w:spacing w:val="0"/>
          <w:w w:val="100"/>
          <w:position w:val="0"/>
          <w:lang w:val="zh-TW" w:eastAsia="zh-TW" w:bidi="zh-TW"/>
        </w:rPr>
        <w:t xml:space="preserve">: </w:t>
      </w:r>
      <w:r>
        <w:rPr>
          <w:rFonts w:ascii="Times New Roman" w:eastAsia="Times New Roman" w:hAnsi="Times New Roman" w:cs="Times New Roman"/>
          <w:spacing w:val="0"/>
          <w:w w:val="100"/>
          <w:position w:val="0"/>
          <w:lang w:val="en-US" w:eastAsia="en-US" w:bidi="en-US"/>
        </w:rPr>
        <w:t>Renal anemia is one of the most common and important complications in patients with chronic kidney disease. In recent years, great progression has been made in the treatment of renal anemia. As a new generation of anti-anemia drug with new mechanism, Roxadostat, the first hypoxia-inducible factor prolyl hydroxylase inhibitor worldwide, was firstly approved for marketing in China. A lot of evidence has proved that Roxadostat can significantly improve the hemoglobin level in patients with renal anemia, thus becoming a novel strategy for the clinical treatment of the disease. The Nephrology Committee of Chinese Research Hospital Association issued the "Expert consensus on the treatment for renal anemia with Roxadustat in China,, , which aims to summarize its current clinical application of Roxadustat in China in order to better guide its prational use in clinical practice. This article will briefly introduce the main content of this consensus.</w:t>
      </w:r>
    </w:p>
    <w:p>
      <w:pPr>
        <w:pStyle w:val="Style9"/>
        <w:keepNext w:val="0"/>
        <w:keepLines w:val="0"/>
        <w:widowControl w:val="0"/>
        <w:shd w:val="clear" w:color="auto" w:fill="auto"/>
        <w:bidi w:val="0"/>
        <w:spacing w:before="0" w:after="0"/>
        <w:ind w:left="0" w:right="0" w:firstLine="360"/>
        <w:jc w:val="left"/>
        <w:sectPr>
          <w:headerReference w:type="default" r:id="rId5"/>
          <w:footerReference w:type="default" r:id="rId6"/>
          <w:headerReference w:type="even" r:id="rId7"/>
          <w:footerReference w:type="even" r:id="rId8"/>
          <w:footnotePr>
            <w:pos w:val="pageBottom"/>
            <w:numFmt w:val="decimal"/>
            <w:numRestart w:val="continuous"/>
          </w:footnotePr>
          <w:pgSz w:w="11900" w:h="16840"/>
          <w:pgMar w:top="1417" w:right="1096" w:bottom="1393" w:left="1108" w:header="0" w:footer="3" w:gutter="0"/>
          <w:pgNumType w:start="911"/>
          <w:cols w:space="720"/>
          <w:noEndnote/>
          <w:rtlGutter w:val="0"/>
          <w:docGrid w:linePitch="360"/>
        </w:sectPr>
      </w:pPr>
      <w:r>
        <w:rPr>
          <w:rFonts w:ascii="Times New Roman" w:eastAsia="Times New Roman" w:hAnsi="Times New Roman" w:cs="Times New Roman"/>
          <w:b/>
          <w:bCs/>
          <w:spacing w:val="0"/>
          <w:w w:val="100"/>
          <w:position w:val="0"/>
          <w:lang w:val="en-US" w:eastAsia="en-US" w:bidi="en-US"/>
        </w:rPr>
        <w:t>Keyword</w:t>
      </w:r>
      <w:r>
        <w:rPr>
          <w:rFonts w:ascii="Times New Roman" w:eastAsia="Times New Roman" w:hAnsi="Times New Roman" w:cs="Times New Roman"/>
          <w:b/>
          <w:bCs/>
          <w:spacing w:val="0"/>
          <w:w w:val="100"/>
          <w:position w:val="0"/>
          <w:lang w:val="zh-TW" w:eastAsia="zh-TW" w:bidi="zh-TW"/>
        </w:rPr>
        <w:t xml:space="preserve">: </w:t>
      </w:r>
      <w:r>
        <w:rPr>
          <w:rFonts w:ascii="Times New Roman" w:eastAsia="Times New Roman" w:hAnsi="Times New Roman" w:cs="Times New Roman"/>
          <w:spacing w:val="0"/>
          <w:w w:val="100"/>
          <w:position w:val="0"/>
          <w:lang w:val="en-US" w:eastAsia="en-US" w:bidi="en-US"/>
        </w:rPr>
        <w:t>anemia; chronic kidney disease; Roxadustat; expert consensus; interpretation</w:t>
      </w:r>
    </w:p>
    <w:p>
      <w:pPr>
        <w:pStyle w:val="Style23"/>
        <w:keepNext w:val="0"/>
        <w:keepLines w:val="0"/>
        <w:widowControl w:val="0"/>
        <w:shd w:val="clear" w:color="auto" w:fill="auto"/>
        <w:bidi w:val="0"/>
        <w:spacing w:before="0"/>
        <w:ind w:left="0" w:right="0"/>
        <w:jc w:val="both"/>
        <w:rPr>
          <w:sz w:val="20"/>
          <w:szCs w:val="20"/>
        </w:rPr>
      </w:pPr>
      <w:r>
        <w:rPr>
          <w:spacing w:val="0"/>
          <w:w w:val="100"/>
          <w:position w:val="0"/>
          <w:sz w:val="20"/>
          <w:szCs w:val="20"/>
          <w:lang w:val="zh-TW" w:eastAsia="zh-TW" w:bidi="zh-TW"/>
        </w:rPr>
        <w:t>贫血是慢性肾脏病</w:t>
      </w:r>
      <w:r>
        <w:rPr>
          <w:spacing w:val="0"/>
          <w:w w:val="100"/>
          <w:position w:val="0"/>
          <w:sz w:val="20"/>
          <w:szCs w:val="20"/>
          <w:lang w:val="en-US" w:eastAsia="en-US" w:bidi="en-US"/>
        </w:rPr>
        <w:t>(</w:t>
      </w:r>
      <w:r>
        <w:rPr>
          <w:spacing w:val="0"/>
          <w:w w:val="100"/>
          <w:position w:val="0"/>
          <w:sz w:val="18"/>
          <w:szCs w:val="18"/>
          <w:lang w:val="en-US" w:eastAsia="en-US" w:bidi="en-US"/>
        </w:rPr>
        <w:t>chronic kidney disease, CKD)</w:t>
      </w:r>
      <w:r>
        <w:rPr>
          <w:spacing w:val="0"/>
          <w:w w:val="100"/>
          <w:position w:val="0"/>
          <w:sz w:val="20"/>
          <w:szCs w:val="20"/>
          <w:lang w:val="zh-TW" w:eastAsia="zh-TW" w:bidi="zh-TW"/>
        </w:rPr>
        <w:t>患者最常见的临床并发症</w:t>
      </w:r>
      <w:r>
        <w:rPr>
          <w:spacing w:val="0"/>
          <w:w w:val="100"/>
          <w:position w:val="0"/>
          <w:sz w:val="20"/>
          <w:szCs w:val="20"/>
          <w:lang w:val="zh-CN" w:eastAsia="zh-CN" w:bidi="zh-CN"/>
        </w:rPr>
        <w:t>『</w:t>
      </w:r>
      <w:r>
        <w:rPr>
          <w:spacing w:val="0"/>
          <w:w w:val="100"/>
          <w:position w:val="0"/>
          <w:sz w:val="18"/>
          <w:szCs w:val="18"/>
          <w:lang w:val="zh-CN" w:eastAsia="zh-CN" w:bidi="zh-CN"/>
        </w:rPr>
        <w:t>1</w:t>
      </w:r>
      <w:r>
        <w:rPr>
          <w:spacing w:val="0"/>
          <w:w w:val="100"/>
          <w:position w:val="0"/>
          <w:sz w:val="20"/>
          <w:szCs w:val="20"/>
          <w:lang w:val="zh-CN" w:eastAsia="zh-CN" w:bidi="zh-CN"/>
        </w:rPr>
        <w:t>。</w:t>
      </w:r>
      <w:r>
        <w:rPr>
          <w:spacing w:val="0"/>
          <w:w w:val="100"/>
          <w:position w:val="0"/>
          <w:sz w:val="20"/>
          <w:szCs w:val="20"/>
          <w:lang w:val="zh-TW" w:eastAsia="zh-TW" w:bidi="zh-TW"/>
        </w:rPr>
        <w:t>虽然促红细胞 生成刺激剂</w:t>
      </w:r>
      <w:r>
        <w:rPr>
          <w:spacing w:val="0"/>
          <w:w w:val="100"/>
          <w:position w:val="0"/>
          <w:sz w:val="18"/>
          <w:szCs w:val="18"/>
          <w:lang w:val="en-US" w:eastAsia="en-US" w:bidi="en-US"/>
        </w:rPr>
        <w:t xml:space="preserve">(erythropoiesis stimulating agents </w:t>
      </w:r>
      <w:r>
        <w:rPr>
          <w:spacing w:val="0"/>
          <w:w w:val="100"/>
          <w:position w:val="0"/>
          <w:sz w:val="18"/>
          <w:szCs w:val="18"/>
          <w:lang w:val="zh-TW" w:eastAsia="zh-TW" w:bidi="zh-TW"/>
        </w:rPr>
        <w:t xml:space="preserve">, </w:t>
      </w:r>
      <w:r>
        <w:rPr>
          <w:spacing w:val="0"/>
          <w:w w:val="100"/>
          <w:position w:val="0"/>
          <w:sz w:val="18"/>
          <w:szCs w:val="18"/>
          <w:lang w:val="en-US" w:eastAsia="en-US" w:bidi="en-US"/>
        </w:rPr>
        <w:t xml:space="preserve">ESA) </w:t>
      </w:r>
      <w:r>
        <w:rPr>
          <w:spacing w:val="0"/>
          <w:w w:val="100"/>
          <w:position w:val="0"/>
          <w:sz w:val="20"/>
          <w:szCs w:val="20"/>
          <w:lang w:val="zh-TW" w:eastAsia="zh-TW" w:bidi="zh-TW"/>
        </w:rPr>
        <w:t>和铁剂已广泛应用于肾性贫血的治疗，但由于使用 不便和部分患者存在</w:t>
      </w:r>
      <w:r>
        <w:rPr>
          <w:spacing w:val="0"/>
          <w:w w:val="100"/>
          <w:position w:val="0"/>
          <w:sz w:val="18"/>
          <w:szCs w:val="18"/>
          <w:lang w:val="en-US" w:eastAsia="en-US" w:bidi="en-US"/>
        </w:rPr>
        <w:t>ESA</w:t>
      </w:r>
      <w:r>
        <w:rPr>
          <w:spacing w:val="0"/>
          <w:w w:val="100"/>
          <w:position w:val="0"/>
          <w:sz w:val="20"/>
          <w:szCs w:val="20"/>
          <w:lang w:val="zh-TW" w:eastAsia="zh-TW" w:bidi="zh-TW"/>
        </w:rPr>
        <w:t>治疗低反应，临床达标率 仍较低</w:t>
      </w:r>
      <w:r>
        <w:rPr>
          <w:spacing w:val="0"/>
          <w:w w:val="100"/>
          <w:position w:val="0"/>
          <w:sz w:val="18"/>
          <w:szCs w:val="18"/>
          <w:lang w:val="en-US" w:eastAsia="en-US" w:bidi="en-US"/>
        </w:rPr>
        <w:t>o</w:t>
      </w:r>
      <w:r>
        <w:rPr>
          <w:spacing w:val="0"/>
          <w:w w:val="100"/>
          <w:position w:val="0"/>
          <w:sz w:val="20"/>
          <w:szCs w:val="20"/>
          <w:lang w:val="zh-TW" w:eastAsia="zh-TW" w:bidi="zh-TW"/>
        </w:rPr>
        <w:t>罗沙司他</w:t>
      </w:r>
      <w:r>
        <w:rPr>
          <w:spacing w:val="0"/>
          <w:w w:val="100"/>
          <w:position w:val="0"/>
          <w:sz w:val="18"/>
          <w:szCs w:val="18"/>
          <w:lang w:val="en-US" w:eastAsia="en-US" w:bidi="en-US"/>
        </w:rPr>
        <w:t>(Roxadustat)</w:t>
      </w:r>
      <w:r>
        <w:rPr>
          <w:spacing w:val="0"/>
          <w:w w:val="100"/>
          <w:position w:val="0"/>
          <w:sz w:val="20"/>
          <w:szCs w:val="20"/>
          <w:lang w:val="zh-TW" w:eastAsia="zh-TW" w:bidi="zh-TW"/>
        </w:rPr>
        <w:t>是全球第一个低 氧诱导因子脯氨酰羟化酶抑制剂</w:t>
      </w:r>
      <w:r>
        <w:rPr>
          <w:spacing w:val="0"/>
          <w:w w:val="100"/>
          <w:position w:val="0"/>
          <w:sz w:val="18"/>
          <w:szCs w:val="18"/>
          <w:lang w:val="en-US" w:eastAsia="en-US" w:bidi="en-US"/>
        </w:rPr>
        <w:t>(hypoxia</w:t>
        <w:softHyphen/>
        <w:t>inducible factor prolyl hydroxylase inhibitor, HIF- PHI)</w:t>
      </w:r>
      <w:r>
        <w:rPr>
          <w:spacing w:val="0"/>
          <w:w w:val="100"/>
          <w:position w:val="0"/>
          <w:sz w:val="20"/>
          <w:szCs w:val="20"/>
          <w:lang w:val="zh-TW" w:eastAsia="zh-TW" w:bidi="zh-TW"/>
        </w:rPr>
        <w:t>类药物</w:t>
      </w:r>
      <w:r>
        <w:rPr>
          <w:spacing w:val="0"/>
          <w:w w:val="100"/>
          <w:position w:val="0"/>
          <w:sz w:val="20"/>
          <w:szCs w:val="20"/>
          <w:lang w:val="en-US" w:eastAsia="en-US" w:bidi="en-US"/>
        </w:rPr>
        <w:t>,</w:t>
      </w:r>
      <w:r>
        <w:rPr>
          <w:spacing w:val="0"/>
          <w:w w:val="100"/>
          <w:position w:val="0"/>
          <w:sz w:val="20"/>
          <w:szCs w:val="20"/>
          <w:lang w:val="zh-TW" w:eastAsia="zh-TW" w:bidi="zh-TW"/>
        </w:rPr>
        <w:t>作为机制全新的口服小分子肾性贫血</w:t>
      </w:r>
    </w:p>
    <w:p>
      <w:pPr>
        <w:pStyle w:val="Style26"/>
        <w:keepNext w:val="0"/>
        <w:keepLines w:val="0"/>
        <w:widowControl w:val="0"/>
        <w:shd w:val="clear" w:color="auto" w:fill="auto"/>
        <w:bidi w:val="0"/>
        <w:spacing w:before="0" w:after="0" w:line="283" w:lineRule="exact"/>
        <w:ind w:left="0" w:right="0" w:firstLine="340"/>
        <w:jc w:val="both"/>
        <w:rPr>
          <w:sz w:val="16"/>
          <w:szCs w:val="16"/>
        </w:rPr>
      </w:pPr>
      <w:r>
        <w:rPr>
          <w:spacing w:val="0"/>
          <w:w w:val="100"/>
          <w:position w:val="0"/>
          <w:sz w:val="16"/>
          <w:szCs w:val="16"/>
          <w:lang w:val="zh-TW" w:eastAsia="zh-TW" w:bidi="zh-TW"/>
        </w:rPr>
        <w:t>基金项目：国家自然科学基金</w:t>
      </w:r>
      <w:r>
        <w:rPr>
          <w:spacing w:val="0"/>
          <w:w w:val="100"/>
          <w:position w:val="0"/>
          <w:sz w:val="12"/>
          <w:szCs w:val="12"/>
          <w:lang w:val="zh-TW" w:eastAsia="zh-TW" w:bidi="zh-TW"/>
        </w:rPr>
        <w:t>(82000648 , 8203000544, 81720108007);</w:t>
      </w:r>
      <w:r>
        <w:rPr>
          <w:spacing w:val="0"/>
          <w:w w:val="100"/>
          <w:position w:val="0"/>
          <w:sz w:val="16"/>
          <w:szCs w:val="16"/>
          <w:lang w:val="zh-TW" w:eastAsia="zh-TW" w:bidi="zh-TW"/>
        </w:rPr>
        <w:t>江苏省自然科学基金(</w:t>
      </w:r>
      <w:r>
        <w:rPr>
          <w:spacing w:val="0"/>
          <w:w w:val="100"/>
          <w:position w:val="0"/>
          <w:sz w:val="12"/>
          <w:szCs w:val="12"/>
          <w:lang w:val="en-US" w:eastAsia="en-US" w:bidi="en-US"/>
        </w:rPr>
        <w:t>BK20200363</w:t>
      </w:r>
      <w:r>
        <w:rPr>
          <w:spacing w:val="0"/>
          <w:w w:val="100"/>
          <w:position w:val="0"/>
          <w:sz w:val="12"/>
          <w:szCs w:val="12"/>
          <w:lang w:val="zh-TW" w:eastAsia="zh-TW" w:bidi="zh-TW"/>
        </w:rPr>
        <w:t>):</w:t>
      </w:r>
      <w:r>
        <w:rPr>
          <w:spacing w:val="0"/>
          <w:w w:val="100"/>
          <w:position w:val="0"/>
          <w:sz w:val="16"/>
          <w:szCs w:val="16"/>
          <w:lang w:val="zh-TW" w:eastAsia="zh-TW" w:bidi="zh-TW"/>
        </w:rPr>
        <w:t>东南大学“优 青”培育基金</w:t>
      </w:r>
      <w:r>
        <w:rPr>
          <w:spacing w:val="0"/>
          <w:w w:val="100"/>
          <w:position w:val="0"/>
          <w:sz w:val="12"/>
          <w:szCs w:val="12"/>
          <w:lang w:val="en-US" w:eastAsia="en-US" w:bidi="en-US"/>
        </w:rPr>
        <w:t>(2021ZDYYYQPY07</w:t>
      </w:r>
      <w:r>
        <w:rPr>
          <w:spacing w:val="0"/>
          <w:w w:val="100"/>
          <w:position w:val="0"/>
          <w:sz w:val="12"/>
          <w:szCs w:val="12"/>
          <w:lang w:val="zh-TW" w:eastAsia="zh-TW" w:bidi="zh-TW"/>
        </w:rPr>
        <w:t>);</w:t>
      </w:r>
      <w:r>
        <w:rPr>
          <w:spacing w:val="0"/>
          <w:w w:val="100"/>
          <w:position w:val="0"/>
          <w:sz w:val="16"/>
          <w:szCs w:val="16"/>
          <w:lang w:val="zh-TW" w:eastAsia="zh-TW" w:bidi="zh-TW"/>
        </w:rPr>
        <w:t>江苏省</w:t>
      </w:r>
      <w:r>
        <w:rPr>
          <w:spacing w:val="0"/>
          <w:w w:val="100"/>
          <w:position w:val="0"/>
          <w:sz w:val="16"/>
          <w:szCs w:val="16"/>
          <w:lang w:val="zh-CN" w:eastAsia="zh-CN" w:bidi="zh-CN"/>
        </w:rPr>
        <w:t>“双创”人</w:t>
      </w:r>
      <w:r>
        <w:rPr>
          <w:spacing w:val="0"/>
          <w:w w:val="100"/>
          <w:position w:val="0"/>
          <w:sz w:val="16"/>
          <w:szCs w:val="16"/>
          <w:lang w:val="zh-TW" w:eastAsia="zh-TW" w:bidi="zh-TW"/>
        </w:rPr>
        <w:t>才项目</w:t>
      </w:r>
    </w:p>
    <w:p>
      <w:pPr>
        <w:pStyle w:val="Style16"/>
        <w:keepNext w:val="0"/>
        <w:keepLines w:val="0"/>
        <w:widowControl w:val="0"/>
        <w:shd w:val="clear" w:color="auto" w:fill="auto"/>
        <w:bidi w:val="0"/>
        <w:spacing w:before="0" w:after="0" w:line="278" w:lineRule="exact"/>
        <w:ind w:left="0" w:right="0" w:firstLine="340"/>
        <w:jc w:val="both"/>
        <w:rPr>
          <w:sz w:val="12"/>
          <w:szCs w:val="12"/>
        </w:rPr>
      </w:pPr>
      <w:r>
        <w:rPr>
          <w:spacing w:val="0"/>
          <w:w w:val="100"/>
          <w:position w:val="0"/>
          <w:sz w:val="16"/>
          <w:szCs w:val="16"/>
        </w:rPr>
        <w:t>作者单位:东南大学附属中大医院肾脏科江苏省肾脏病临床研 究中心，江苏南京</w:t>
      </w:r>
      <w:r>
        <w:rPr>
          <w:spacing w:val="0"/>
          <w:w w:val="100"/>
          <w:position w:val="0"/>
          <w:sz w:val="12"/>
          <w:szCs w:val="12"/>
        </w:rPr>
        <w:t>210009</w:t>
      </w:r>
    </w:p>
    <w:p>
      <w:pPr>
        <w:pStyle w:val="Style26"/>
        <w:keepNext w:val="0"/>
        <w:keepLines w:val="0"/>
        <w:widowControl w:val="0"/>
        <w:shd w:val="clear" w:color="auto" w:fill="auto"/>
        <w:bidi w:val="0"/>
        <w:spacing w:before="0" w:after="160" w:line="283" w:lineRule="exact"/>
        <w:ind w:left="0" w:right="0" w:firstLine="340"/>
        <w:jc w:val="both"/>
        <w:rPr>
          <w:sz w:val="18"/>
          <w:szCs w:val="18"/>
        </w:rPr>
      </w:pPr>
      <w:r>
        <w:rPr>
          <w:spacing w:val="0"/>
          <w:w w:val="100"/>
          <w:position w:val="0"/>
          <w:sz w:val="16"/>
          <w:szCs w:val="16"/>
          <w:lang w:val="zh-TW" w:eastAsia="zh-TW" w:bidi="zh-TW"/>
        </w:rPr>
        <w:t>通信作者:刘必成，电子信箱：</w:t>
      </w:r>
      <w:r>
        <w:fldChar w:fldCharType="begin"/>
      </w:r>
      <w:r>
        <w:rPr/>
        <w:instrText> HYPERLINK "mailto:liube64@163.com" </w:instrText>
      </w:r>
      <w:r>
        <w:fldChar w:fldCharType="separate"/>
      </w:r>
      <w:r>
        <w:rPr>
          <w:spacing w:val="0"/>
          <w:w w:val="100"/>
          <w:position w:val="0"/>
          <w:sz w:val="12"/>
          <w:szCs w:val="12"/>
          <w:lang w:val="en-US" w:eastAsia="en-US" w:bidi="en-US"/>
        </w:rPr>
        <w:t>liube64@163.com</w:t>
      </w:r>
      <w:r>
        <w:fldChar w:fldCharType="end"/>
      </w:r>
      <w:r>
        <w:rPr>
          <w:spacing w:val="0"/>
          <w:w w:val="100"/>
          <w:position w:val="0"/>
          <w:sz w:val="12"/>
          <w:szCs w:val="12"/>
          <w:lang w:val="en-US" w:eastAsia="en-US" w:bidi="en-US"/>
        </w:rPr>
        <w:t xml:space="preserve"> </w:t>
      </w:r>
      <w:r>
        <w:rPr>
          <w:rStyle w:val="CharStyle3"/>
        </w:rPr>
        <w:t>治疗药物，为临床肾性贫血的治疗提供了新选 择6。我国在全球首先完成</w:t>
      </w:r>
      <w:r>
        <w:rPr>
          <w:rStyle w:val="CharStyle3"/>
          <w:sz w:val="18"/>
          <w:szCs w:val="18"/>
          <w:lang w:val="en-US" w:eastAsia="en-US" w:bidi="en-US"/>
        </w:rPr>
        <w:t>HI</w:t>
      </w:r>
      <w:r>
        <w:rPr>
          <w:rStyle w:val="CharStyle3"/>
        </w:rPr>
        <w:t xml:space="preserve">期临床试验并批准上 市应用，随后全球多个多中心临床试验相继完成， 证实该药可显著提高肾性贫血患者血红蛋白 </w:t>
      </w:r>
      <w:r>
        <w:rPr>
          <w:rStyle w:val="CharStyle3"/>
          <w:sz w:val="18"/>
          <w:szCs w:val="18"/>
        </w:rPr>
        <w:t>(</w:t>
      </w:r>
      <w:r>
        <w:rPr>
          <w:rStyle w:val="CharStyle3"/>
          <w:sz w:val="18"/>
          <w:szCs w:val="18"/>
          <w:lang w:val="en-US" w:eastAsia="en-US" w:bidi="en-US"/>
        </w:rPr>
        <w:t>hemoglobin</w:t>
      </w:r>
      <w:r>
        <w:rPr>
          <w:rStyle w:val="CharStyle3"/>
          <w:sz w:val="18"/>
          <w:szCs w:val="18"/>
        </w:rPr>
        <w:t xml:space="preserve">, </w:t>
      </w:r>
      <w:r>
        <w:rPr>
          <w:rStyle w:val="CharStyle3"/>
          <w:sz w:val="18"/>
          <w:szCs w:val="18"/>
          <w:lang w:val="en-US" w:eastAsia="en-US" w:bidi="en-US"/>
        </w:rPr>
        <w:t xml:space="preserve">Hb </w:t>
      </w:r>
      <w:r>
        <w:rPr>
          <w:rStyle w:val="CharStyle3"/>
        </w:rPr>
        <w:t>)水平回。为了及时总结国内外研 究和临床应用经验,更好地指导临床用药,进一步 优化肾性贫血治疗策略，由中国研究型医院学会肾 脏病学专业委员会组织肾脏病领域知名临床专家, 共同制定了《罗沙司他治疗肾性贫血中国专家共 识》(简称本共识),现对其主要内容做一解读</w:t>
      </w:r>
      <w:r>
        <w:rPr>
          <w:rStyle w:val="CharStyle3"/>
          <w:sz w:val="18"/>
          <w:szCs w:val="18"/>
          <w:lang w:val="en-US" w:eastAsia="en-US" w:bidi="en-US"/>
        </w:rPr>
        <w:t>"I</w:t>
      </w:r>
    </w:p>
    <w:p>
      <w:pPr>
        <w:pStyle w:val="Style2"/>
        <w:keepNext w:val="0"/>
        <w:keepLines w:val="0"/>
        <w:widowControl w:val="0"/>
        <w:shd w:val="clear" w:color="auto" w:fill="auto"/>
        <w:bidi w:val="0"/>
        <w:spacing w:before="0" w:after="160" w:line="336" w:lineRule="exact"/>
        <w:ind w:left="0" w:right="0" w:firstLine="0"/>
        <w:jc w:val="both"/>
      </w:pPr>
      <w:r>
        <w:rPr>
          <w:spacing w:val="0"/>
          <w:w w:val="100"/>
          <w:position w:val="0"/>
          <w:sz w:val="18"/>
          <w:szCs w:val="18"/>
        </w:rPr>
        <w:t>1</w:t>
      </w:r>
      <w:r>
        <w:rPr>
          <w:spacing w:val="0"/>
          <w:w w:val="100"/>
          <w:position w:val="0"/>
        </w:rPr>
        <w:t>罗沙司他适应治疗人群</w:t>
      </w:r>
    </w:p>
    <w:p>
      <w:pPr>
        <w:pStyle w:val="Style2"/>
        <w:keepNext w:val="0"/>
        <w:keepLines w:val="0"/>
        <w:widowControl w:val="0"/>
        <w:shd w:val="clear" w:color="auto" w:fill="auto"/>
        <w:bidi w:val="0"/>
        <w:spacing w:before="0" w:after="0" w:line="317" w:lineRule="exact"/>
        <w:ind w:left="0" w:right="0" w:firstLine="0"/>
        <w:jc w:val="both"/>
      </w:pPr>
      <w:r>
        <w:rPr>
          <w:spacing w:val="0"/>
          <w:w w:val="100"/>
          <w:position w:val="0"/>
          <w:sz w:val="18"/>
          <w:szCs w:val="18"/>
          <w:lang w:val="en-US" w:eastAsia="en-US" w:bidi="en-US"/>
        </w:rPr>
        <w:t>1.1</w:t>
      </w:r>
      <w:r>
        <w:rPr>
          <w:spacing w:val="0"/>
          <w:w w:val="100"/>
          <w:position w:val="0"/>
        </w:rPr>
        <w:t>推荐用于透析依赖(包括血液透析和腹膜透 析)</w:t>
      </w:r>
      <w:r>
        <w:rPr>
          <w:spacing w:val="0"/>
          <w:w w:val="100"/>
          <w:position w:val="0"/>
          <w:sz w:val="18"/>
          <w:szCs w:val="18"/>
          <w:lang w:val="en-US" w:eastAsia="en-US" w:bidi="en-US"/>
        </w:rPr>
        <w:t>CKD</w:t>
      </w:r>
      <w:r>
        <w:rPr>
          <w:spacing w:val="0"/>
          <w:w w:val="100"/>
          <w:position w:val="0"/>
        </w:rPr>
        <w:t xml:space="preserve">患者合并肾性贫血的治疗 中国透析依赖 </w:t>
      </w:r>
      <w:r>
        <w:rPr>
          <w:spacing w:val="0"/>
          <w:w w:val="100"/>
          <w:position w:val="0"/>
          <w:sz w:val="18"/>
          <w:szCs w:val="18"/>
          <w:lang w:val="en-US" w:eastAsia="en-US" w:bidi="en-US"/>
        </w:rPr>
        <w:t>CKD</w:t>
      </w:r>
      <w:r>
        <w:rPr>
          <w:spacing w:val="0"/>
          <w:w w:val="100"/>
          <w:position w:val="0"/>
        </w:rPr>
        <w:t>患者的多中心、随机对照研究结果显示，罗沙 司他提高血液透析与腹膜透析患者的</w:t>
      </w:r>
      <w:r>
        <w:rPr>
          <w:spacing w:val="0"/>
          <w:w w:val="100"/>
          <w:position w:val="0"/>
          <w:sz w:val="18"/>
          <w:szCs w:val="18"/>
          <w:lang w:val="en-US" w:eastAsia="en-US" w:bidi="en-US"/>
        </w:rPr>
        <w:t>Hb</w:t>
      </w:r>
      <w:r>
        <w:rPr>
          <w:spacing w:val="0"/>
          <w:w w:val="100"/>
          <w:position w:val="0"/>
        </w:rPr>
        <w:t>水平非劣 效于</w:t>
      </w:r>
      <w:r>
        <w:rPr>
          <w:spacing w:val="0"/>
          <w:w w:val="100"/>
          <w:position w:val="0"/>
          <w:sz w:val="18"/>
          <w:szCs w:val="18"/>
          <w:lang w:val="en-US" w:eastAsia="en-US" w:bidi="en-US"/>
        </w:rPr>
        <w:t>ESA</w:t>
      </w:r>
      <w:r>
        <w:rPr>
          <w:spacing w:val="0"/>
          <w:w w:val="100"/>
          <w:position w:val="0"/>
          <w:sz w:val="18"/>
          <w:szCs w:val="18"/>
          <w:vertAlign w:val="superscript"/>
          <w:lang w:val="en-US" w:eastAsia="en-US" w:bidi="en-US"/>
        </w:rPr>
        <w:t>[8]</w:t>
      </w:r>
      <w:r>
        <w:rPr>
          <w:spacing w:val="0"/>
          <w:w w:val="100"/>
          <w:position w:val="0"/>
        </w:rPr>
        <w:t>；日本透析人群的随机、双盲、阳性对照 研究也得出相似的结论3。同时，欧美的多项多中 心、随机对照</w:t>
      </w:r>
      <w:r>
        <w:rPr>
          <w:spacing w:val="0"/>
          <w:w w:val="100"/>
          <w:position w:val="0"/>
          <w:sz w:val="18"/>
          <w:szCs w:val="18"/>
          <w:lang w:val="en-US" w:eastAsia="en-US" w:bidi="en-US"/>
        </w:rPr>
        <w:t>HI</w:t>
      </w:r>
      <w:r>
        <w:rPr>
          <w:spacing w:val="0"/>
          <w:w w:val="100"/>
          <w:position w:val="0"/>
        </w:rPr>
        <w:t>期临床研究</w:t>
      </w:r>
      <w:r>
        <w:rPr>
          <w:spacing w:val="0"/>
          <w:w w:val="100"/>
          <w:position w:val="0"/>
          <w:sz w:val="18"/>
          <w:szCs w:val="18"/>
          <w:lang w:val="en-US" w:eastAsia="en-US" w:bidi="en-US"/>
        </w:rPr>
        <w:t>（HIMALAYA, ROCKIES</w:t>
      </w:r>
      <w:r>
        <w:rPr>
          <w:spacing w:val="0"/>
          <w:w w:val="100"/>
          <w:position w:val="0"/>
        </w:rPr>
        <w:t>、</w:t>
      </w:r>
      <w:r>
        <w:rPr>
          <w:spacing w:val="0"/>
          <w:w w:val="100"/>
          <w:position w:val="0"/>
          <w:sz w:val="18"/>
          <w:szCs w:val="18"/>
          <w:lang w:val="en-US" w:eastAsia="en-US" w:bidi="en-US"/>
        </w:rPr>
        <w:t xml:space="preserve">SIERRAS </w:t>
      </w:r>
      <w:r>
        <w:rPr>
          <w:spacing w:val="0"/>
          <w:w w:val="100"/>
          <w:position w:val="0"/>
        </w:rPr>
        <w:t xml:space="preserve">和 </w:t>
      </w:r>
      <w:r>
        <w:rPr>
          <w:spacing w:val="0"/>
          <w:w w:val="100"/>
          <w:position w:val="0"/>
          <w:sz w:val="18"/>
          <w:szCs w:val="18"/>
          <w:lang w:val="en-US" w:eastAsia="en-US" w:bidi="en-US"/>
        </w:rPr>
        <w:t xml:space="preserve">PYRENEES </w:t>
      </w:r>
      <w:r>
        <w:rPr>
          <w:spacing w:val="0"/>
          <w:w w:val="100"/>
          <w:position w:val="0"/>
        </w:rPr>
        <w:t>研究）也显示罗 沙司他在腹膜透析和血液透析肾性贫血患者中治 疗效果非劣效于</w:t>
      </w:r>
      <w:r>
        <w:rPr>
          <w:spacing w:val="0"/>
          <w:w w:val="100"/>
          <w:position w:val="0"/>
          <w:sz w:val="18"/>
          <w:szCs w:val="18"/>
          <w:lang w:val="en-US" w:eastAsia="en-US" w:bidi="en-US"/>
        </w:rPr>
        <w:t>ESA</w:t>
      </w:r>
      <w:r>
        <w:rPr>
          <w:spacing w:val="0"/>
          <w:w w:val="100"/>
          <w:position w:val="0"/>
          <w:sz w:val="18"/>
          <w:szCs w:val="18"/>
          <w:vertAlign w:val="superscript"/>
          <w:lang w:val="en-US" w:eastAsia="en-US" w:bidi="en-US"/>
        </w:rPr>
        <w:t>[7]</w:t>
      </w:r>
      <w:r>
        <w:rPr>
          <w:spacing w:val="0"/>
          <w:w w:val="100"/>
          <w:position w:val="0"/>
          <w:sz w:val="18"/>
          <w:szCs w:val="18"/>
          <w:vertAlign w:val="subscript"/>
          <w:lang w:val="en-US" w:eastAsia="en-US" w:bidi="en-US"/>
        </w:rPr>
        <w:t>O</w:t>
      </w:r>
      <w:r>
        <w:rPr>
          <w:spacing w:val="0"/>
          <w:w w:val="100"/>
          <w:position w:val="0"/>
        </w:rPr>
        <w:t>此外，无论既往是否接受 过</w:t>
      </w:r>
      <w:r>
        <w:rPr>
          <w:spacing w:val="0"/>
          <w:w w:val="100"/>
          <w:position w:val="0"/>
          <w:sz w:val="18"/>
          <w:szCs w:val="18"/>
          <w:lang w:val="en-US" w:eastAsia="en-US" w:bidi="en-US"/>
        </w:rPr>
        <w:t>ESA</w:t>
      </w:r>
      <w:r>
        <w:rPr>
          <w:spacing w:val="0"/>
          <w:w w:val="100"/>
          <w:position w:val="0"/>
        </w:rPr>
        <w:t>治疗，转换至罗沙司他治疗后均可有效纠正 肾性贫血,并维持</w:t>
      </w:r>
      <w:r>
        <w:rPr>
          <w:spacing w:val="0"/>
          <w:w w:val="100"/>
          <w:position w:val="0"/>
          <w:sz w:val="18"/>
          <w:szCs w:val="18"/>
          <w:lang w:val="en-US" w:eastAsia="en-US" w:bidi="en-US"/>
        </w:rPr>
        <w:t>Hb</w:t>
      </w:r>
      <w:r>
        <w:rPr>
          <w:spacing w:val="0"/>
          <w:w w:val="100"/>
          <w:position w:val="0"/>
        </w:rPr>
        <w:t>稳定。同时，罗沙司他治疗的 安全性也在临床试验中得到证实⑺。基于此,本共 识将罗沙司他以</w:t>
      </w:r>
      <w:r>
        <w:rPr>
          <w:spacing w:val="0"/>
          <w:w w:val="100"/>
          <w:position w:val="0"/>
          <w:sz w:val="18"/>
          <w:szCs w:val="18"/>
          <w:lang w:val="en-US" w:eastAsia="en-US" w:bidi="en-US"/>
        </w:rPr>
        <w:t>1A</w:t>
      </w:r>
      <w:r>
        <w:rPr>
          <w:spacing w:val="0"/>
          <w:w w:val="100"/>
          <w:position w:val="0"/>
        </w:rPr>
        <w:t>级证据推荐用于透析依赖（包括 血液透析和腹膜透析）</w:t>
      </w:r>
      <w:r>
        <w:rPr>
          <w:spacing w:val="0"/>
          <w:w w:val="100"/>
          <w:position w:val="0"/>
          <w:sz w:val="18"/>
          <w:szCs w:val="18"/>
          <w:lang w:val="en-US" w:eastAsia="en-US" w:bidi="en-US"/>
        </w:rPr>
        <w:t>CKD</w:t>
      </w:r>
      <w:r>
        <w:rPr>
          <w:spacing w:val="0"/>
          <w:w w:val="100"/>
          <w:position w:val="0"/>
        </w:rPr>
        <w:t>患者合并肾性贫血的治 疗。</w:t>
      </w:r>
    </w:p>
    <w:p>
      <w:pPr>
        <w:pStyle w:val="Style2"/>
        <w:keepNext w:val="0"/>
        <w:keepLines w:val="0"/>
        <w:widowControl w:val="0"/>
        <w:shd w:val="clear" w:color="auto" w:fill="auto"/>
        <w:bidi w:val="0"/>
        <w:spacing w:before="0" w:after="0" w:line="337" w:lineRule="exact"/>
        <w:ind w:left="0" w:right="0" w:firstLine="0"/>
        <w:jc w:val="both"/>
      </w:pPr>
      <w:r>
        <w:rPr>
          <w:spacing w:val="0"/>
          <w:w w:val="100"/>
          <w:position w:val="0"/>
          <w:sz w:val="18"/>
          <w:szCs w:val="18"/>
          <w:lang w:val="en-US" w:eastAsia="en-US" w:bidi="en-US"/>
        </w:rPr>
        <w:t>1.2</w:t>
      </w:r>
      <w:r>
        <w:rPr>
          <w:spacing w:val="0"/>
          <w:w w:val="100"/>
          <w:position w:val="0"/>
        </w:rPr>
        <w:t>推荐用于非透析依赖</w:t>
      </w:r>
      <w:r>
        <w:rPr>
          <w:spacing w:val="0"/>
          <w:w w:val="100"/>
          <w:position w:val="0"/>
          <w:sz w:val="18"/>
          <w:szCs w:val="18"/>
          <w:lang w:val="en-US" w:eastAsia="en-US" w:bidi="en-US"/>
        </w:rPr>
        <w:t>CKD</w:t>
      </w:r>
      <w:r>
        <w:rPr>
          <w:spacing w:val="0"/>
          <w:w w:val="100"/>
          <w:position w:val="0"/>
        </w:rPr>
        <w:t>患者合并肾性贫血 的治疗中国非透析依赖</w:t>
      </w:r>
      <w:r>
        <w:rPr>
          <w:spacing w:val="0"/>
          <w:w w:val="100"/>
          <w:position w:val="0"/>
          <w:sz w:val="18"/>
          <w:szCs w:val="18"/>
          <w:lang w:val="en-US" w:eastAsia="en-US" w:bidi="en-US"/>
        </w:rPr>
        <w:t>CKD</w:t>
      </w:r>
      <w:r>
        <w:rPr>
          <w:spacing w:val="0"/>
          <w:w w:val="100"/>
          <w:position w:val="0"/>
        </w:rPr>
        <w:t>患者的多中心、随机 对照研究结果显示，罗沙司他组</w:t>
      </w:r>
      <w:r>
        <w:rPr>
          <w:spacing w:val="0"/>
          <w:w w:val="100"/>
          <w:position w:val="0"/>
          <w:sz w:val="18"/>
          <w:szCs w:val="18"/>
          <w:lang w:val="en-US" w:eastAsia="en-US" w:bidi="en-US"/>
        </w:rPr>
        <w:t>Hb</w:t>
      </w:r>
      <w:r>
        <w:rPr>
          <w:spacing w:val="0"/>
          <w:w w:val="100"/>
          <w:position w:val="0"/>
        </w:rPr>
        <w:t>水平相对于基 线平均增加（</w:t>
      </w:r>
      <w:r>
        <w:rPr>
          <w:spacing w:val="0"/>
          <w:w w:val="100"/>
          <w:position w:val="0"/>
          <w:sz w:val="18"/>
          <w:szCs w:val="18"/>
        </w:rPr>
        <w:t xml:space="preserve">19±12 </w:t>
      </w:r>
      <w:r>
        <w:rPr>
          <w:spacing w:val="0"/>
          <w:w w:val="100"/>
          <w:position w:val="0"/>
          <w:sz w:val="18"/>
          <w:szCs w:val="18"/>
          <w:lang w:val="en-US" w:eastAsia="en-US" w:bidi="en-US"/>
        </w:rPr>
        <w:t>）g/L</w:t>
      </w:r>
      <w:r>
        <w:rPr>
          <w:spacing w:val="0"/>
          <w:w w:val="100"/>
          <w:position w:val="0"/>
          <w:sz w:val="18"/>
          <w:szCs w:val="18"/>
        </w:rPr>
        <w:t>,</w:t>
      </w:r>
      <w:r>
        <w:rPr>
          <w:spacing w:val="0"/>
          <w:w w:val="100"/>
          <w:position w:val="0"/>
        </w:rPr>
        <w:t>而安慰剂组</w:t>
      </w:r>
      <w:r>
        <w:rPr>
          <w:spacing w:val="0"/>
          <w:w w:val="100"/>
          <w:position w:val="0"/>
          <w:sz w:val="18"/>
          <w:szCs w:val="18"/>
          <w:lang w:val="en-US" w:eastAsia="en-US" w:bidi="en-US"/>
        </w:rPr>
        <w:t>Hb</w:t>
      </w:r>
      <w:r>
        <w:rPr>
          <w:spacing w:val="0"/>
          <w:w w:val="100"/>
          <w:position w:val="0"/>
        </w:rPr>
        <w:t>水平较基线 降低</w:t>
      </w:r>
      <w:r>
        <w:rPr>
          <w:spacing w:val="0"/>
          <w:w w:val="100"/>
          <w:position w:val="0"/>
          <w:sz w:val="18"/>
          <w:szCs w:val="18"/>
        </w:rPr>
        <w:t xml:space="preserve">（4±8） </w:t>
      </w:r>
      <w:r>
        <w:rPr>
          <w:spacing w:val="0"/>
          <w:w w:val="100"/>
          <w:position w:val="0"/>
          <w:sz w:val="18"/>
          <w:szCs w:val="18"/>
          <w:lang w:val="en-US" w:eastAsia="en-US" w:bidi="en-US"/>
        </w:rPr>
        <w:t>g/L</w:t>
      </w:r>
      <w:r>
        <w:rPr>
          <w:spacing w:val="0"/>
          <w:w w:val="100"/>
          <w:position w:val="0"/>
          <w:sz w:val="18"/>
          <w:szCs w:val="18"/>
        </w:rPr>
        <w:t>,</w:t>
      </w:r>
      <w:r>
        <w:rPr>
          <w:spacing w:val="0"/>
          <w:w w:val="100"/>
          <w:position w:val="0"/>
        </w:rPr>
        <w:t>证实罗沙司他可有效提升非透析依 赖</w:t>
      </w:r>
      <w:r>
        <w:rPr>
          <w:spacing w:val="0"/>
          <w:w w:val="100"/>
          <w:position w:val="0"/>
          <w:sz w:val="18"/>
          <w:szCs w:val="18"/>
          <w:lang w:val="en-US" w:eastAsia="en-US" w:bidi="en-US"/>
        </w:rPr>
        <w:t>CKD</w:t>
      </w:r>
      <w:r>
        <w:rPr>
          <w:spacing w:val="0"/>
          <w:w w:val="100"/>
          <w:position w:val="0"/>
        </w:rPr>
        <w:t>患者</w:t>
      </w:r>
      <w:r>
        <w:rPr>
          <w:spacing w:val="0"/>
          <w:w w:val="100"/>
          <w:position w:val="0"/>
          <w:sz w:val="18"/>
          <w:szCs w:val="18"/>
          <w:lang w:val="en-US" w:eastAsia="en-US" w:bidi="en-US"/>
        </w:rPr>
        <w:t>Hb</w:t>
      </w:r>
      <w:r>
        <w:rPr>
          <w:spacing w:val="0"/>
          <w:w w:val="100"/>
          <w:position w:val="0"/>
        </w:rPr>
        <w:t>水平2。此外，日本、欧美的多项多 中心、随机对照</w:t>
      </w:r>
      <w:r>
        <w:rPr>
          <w:spacing w:val="0"/>
          <w:w w:val="100"/>
          <w:position w:val="0"/>
          <w:sz w:val="18"/>
          <w:szCs w:val="18"/>
          <w:lang w:val="en-US" w:eastAsia="en-US" w:bidi="en-US"/>
        </w:rPr>
        <w:t>HI</w:t>
      </w:r>
      <w:r>
        <w:rPr>
          <w:spacing w:val="0"/>
          <w:w w:val="100"/>
          <w:position w:val="0"/>
        </w:rPr>
        <w:t>期临床研究</w:t>
      </w:r>
      <w:r>
        <w:rPr>
          <w:spacing w:val="0"/>
          <w:w w:val="100"/>
          <w:position w:val="0"/>
          <w:sz w:val="18"/>
          <w:szCs w:val="18"/>
          <w:lang w:val="en-US" w:eastAsia="en-US" w:bidi="en-US"/>
        </w:rPr>
        <w:t>[1517-CL-0314（</w:t>
      </w:r>
      <w:r>
        <w:rPr>
          <w:spacing w:val="0"/>
          <w:w w:val="100"/>
          <w:position w:val="0"/>
        </w:rPr>
        <w:t>日 本）、</w:t>
      </w:r>
      <w:r>
        <w:rPr>
          <w:spacing w:val="0"/>
          <w:w w:val="100"/>
          <w:position w:val="0"/>
          <w:sz w:val="18"/>
          <w:szCs w:val="18"/>
          <w:lang w:val="en-US" w:eastAsia="en-US" w:bidi="en-US"/>
        </w:rPr>
        <w:t>OLYMPUS</w:t>
      </w:r>
      <w:r>
        <w:rPr>
          <w:spacing w:val="0"/>
          <w:w w:val="100"/>
          <w:position w:val="0"/>
          <w:lang w:val="en-US" w:eastAsia="en-US" w:bidi="en-US"/>
        </w:rPr>
        <w:t>、</w:t>
      </w:r>
      <w:r>
        <w:rPr>
          <w:spacing w:val="0"/>
          <w:w w:val="100"/>
          <w:position w:val="0"/>
          <w:sz w:val="18"/>
          <w:szCs w:val="18"/>
          <w:lang w:val="en-US" w:eastAsia="en-US" w:bidi="en-US"/>
        </w:rPr>
        <w:t>ANDES</w:t>
      </w:r>
      <w:r>
        <w:rPr>
          <w:spacing w:val="0"/>
          <w:w w:val="100"/>
          <w:position w:val="0"/>
          <w:lang w:val="en-US" w:eastAsia="en-US" w:bidi="en-US"/>
        </w:rPr>
        <w:t>、</w:t>
      </w:r>
      <w:r>
        <w:rPr>
          <w:spacing w:val="0"/>
          <w:w w:val="100"/>
          <w:position w:val="0"/>
          <w:sz w:val="18"/>
          <w:szCs w:val="18"/>
          <w:lang w:val="en-US" w:eastAsia="en-US" w:bidi="en-US"/>
        </w:rPr>
        <w:t xml:space="preserve">ALPS </w:t>
      </w:r>
      <w:r>
        <w:rPr>
          <w:spacing w:val="0"/>
          <w:w w:val="100"/>
          <w:position w:val="0"/>
        </w:rPr>
        <w:t xml:space="preserve">和 </w:t>
      </w:r>
      <w:r>
        <w:rPr>
          <w:spacing w:val="0"/>
          <w:w w:val="100"/>
          <w:position w:val="0"/>
          <w:sz w:val="18"/>
          <w:szCs w:val="18"/>
          <w:lang w:val="en-US" w:eastAsia="en-US" w:bidi="en-US"/>
        </w:rPr>
        <w:t xml:space="preserve">DOLOMITES </w:t>
      </w:r>
      <w:r>
        <w:rPr>
          <w:spacing w:val="0"/>
          <w:w w:val="100"/>
          <w:position w:val="0"/>
        </w:rPr>
        <w:t>研 究]也显示，罗沙司他在非透析肾性贫血患者中治 疗有效「刃。同样地，罗沙司他治疗的安全性也得到 证实。基于此，本共识也将罗沙司他以</w:t>
      </w:r>
      <w:r>
        <w:rPr>
          <w:spacing w:val="0"/>
          <w:w w:val="100"/>
          <w:position w:val="0"/>
          <w:sz w:val="18"/>
          <w:szCs w:val="18"/>
          <w:lang w:val="en-US" w:eastAsia="en-US" w:bidi="en-US"/>
        </w:rPr>
        <w:t>1A</w:t>
      </w:r>
      <w:r>
        <w:rPr>
          <w:spacing w:val="0"/>
          <w:w w:val="100"/>
          <w:position w:val="0"/>
        </w:rPr>
        <w:t>级证据推 荐用于非透析依赖</w:t>
      </w:r>
      <w:r>
        <w:rPr>
          <w:spacing w:val="0"/>
          <w:w w:val="100"/>
          <w:position w:val="0"/>
          <w:sz w:val="18"/>
          <w:szCs w:val="18"/>
          <w:lang w:val="en-US" w:eastAsia="en-US" w:bidi="en-US"/>
        </w:rPr>
        <w:t>CKD</w:t>
      </w:r>
      <w:r>
        <w:rPr>
          <w:spacing w:val="0"/>
          <w:w w:val="100"/>
          <w:position w:val="0"/>
        </w:rPr>
        <w:t>患者合并肾性贫血的治疗。</w:t>
      </w:r>
    </w:p>
    <w:p>
      <w:pPr>
        <w:pStyle w:val="Style2"/>
        <w:keepNext w:val="0"/>
        <w:keepLines w:val="0"/>
        <w:widowControl w:val="0"/>
        <w:shd w:val="clear" w:color="auto" w:fill="auto"/>
        <w:bidi w:val="0"/>
        <w:spacing w:before="0" w:after="0" w:line="337" w:lineRule="exact"/>
        <w:ind w:left="0" w:right="0" w:firstLine="0"/>
        <w:jc w:val="both"/>
      </w:pPr>
      <w:r>
        <w:rPr>
          <w:spacing w:val="0"/>
          <w:w w:val="100"/>
          <w:position w:val="0"/>
          <w:sz w:val="18"/>
          <w:szCs w:val="18"/>
          <w:lang w:val="en-US" w:eastAsia="en-US" w:bidi="en-US"/>
        </w:rPr>
        <w:t>1.3</w:t>
      </w:r>
      <w:r>
        <w:rPr>
          <w:spacing w:val="0"/>
          <w:w w:val="100"/>
          <w:position w:val="0"/>
        </w:rPr>
        <w:t>建议用于伴有微炎症状态</w:t>
      </w:r>
      <w:r>
        <w:rPr>
          <w:spacing w:val="0"/>
          <w:w w:val="100"/>
          <w:position w:val="0"/>
          <w:sz w:val="18"/>
          <w:szCs w:val="18"/>
          <w:lang w:val="en-US" w:eastAsia="en-US" w:bidi="en-US"/>
        </w:rPr>
        <w:t>CKD</w:t>
      </w:r>
      <w:r>
        <w:rPr>
          <w:spacing w:val="0"/>
          <w:w w:val="100"/>
          <w:position w:val="0"/>
        </w:rPr>
        <w:t>患者贫血的治 疗 微炎症是影响</w:t>
      </w:r>
      <w:r>
        <w:rPr>
          <w:spacing w:val="0"/>
          <w:w w:val="100"/>
          <w:position w:val="0"/>
          <w:sz w:val="18"/>
          <w:szCs w:val="18"/>
          <w:lang w:val="en-US" w:eastAsia="en-US" w:bidi="en-US"/>
        </w:rPr>
        <w:t>CKD</w:t>
      </w:r>
      <w:r>
        <w:rPr>
          <w:spacing w:val="0"/>
          <w:w w:val="100"/>
          <w:position w:val="0"/>
        </w:rPr>
        <w:t>患者贫血治疗效果的重要 原因，能够引起</w:t>
      </w:r>
      <w:r>
        <w:rPr>
          <w:spacing w:val="0"/>
          <w:w w:val="100"/>
          <w:position w:val="0"/>
          <w:sz w:val="18"/>
          <w:szCs w:val="18"/>
          <w:lang w:val="en-US" w:eastAsia="en-US" w:bidi="en-US"/>
        </w:rPr>
        <w:t>ESA</w:t>
      </w:r>
      <w:r>
        <w:rPr>
          <w:spacing w:val="0"/>
          <w:w w:val="100"/>
          <w:position w:val="0"/>
        </w:rPr>
        <w:t xml:space="preserve">治疗反应降低，更重要的是，临 床上缺乏有效治疗手段。在中国和日本透析依赖 </w:t>
      </w:r>
      <w:r>
        <w:rPr>
          <w:spacing w:val="0"/>
          <w:w w:val="100"/>
          <w:position w:val="0"/>
          <w:sz w:val="18"/>
          <w:szCs w:val="18"/>
          <w:lang w:val="en-US" w:eastAsia="en-US" w:bidi="en-US"/>
        </w:rPr>
        <w:t>CKD</w:t>
      </w:r>
      <w:r>
        <w:rPr>
          <w:spacing w:val="0"/>
          <w:w w:val="100"/>
          <w:position w:val="0"/>
        </w:rPr>
        <w:t>患者的随机、对照</w:t>
      </w:r>
      <w:r>
        <w:rPr>
          <w:spacing w:val="0"/>
          <w:w w:val="100"/>
          <w:position w:val="0"/>
          <w:sz w:val="18"/>
          <w:szCs w:val="18"/>
          <w:lang w:val="en-US" w:eastAsia="en-US" w:bidi="en-US"/>
        </w:rPr>
        <w:t>DI</w:t>
      </w:r>
      <w:r>
        <w:rPr>
          <w:spacing w:val="0"/>
          <w:w w:val="100"/>
          <w:position w:val="0"/>
        </w:rPr>
        <w:t>期临床试验中，微炎症亚 组分析结果显示，罗沙司他能显著升高该人群的</w:t>
      </w:r>
      <w:r>
        <w:rPr>
          <w:spacing w:val="0"/>
          <w:w w:val="100"/>
          <w:position w:val="0"/>
          <w:sz w:val="18"/>
          <w:szCs w:val="18"/>
          <w:lang w:val="en-US" w:eastAsia="en-US" w:bidi="en-US"/>
        </w:rPr>
        <w:t xml:space="preserve">Hb </w:t>
      </w:r>
      <w:r>
        <w:rPr>
          <w:spacing w:val="0"/>
          <w:w w:val="100"/>
          <w:position w:val="0"/>
        </w:rPr>
        <w:t>水平,且</w:t>
      </w:r>
      <w:r>
        <w:rPr>
          <w:spacing w:val="0"/>
          <w:w w:val="100"/>
          <w:position w:val="0"/>
          <w:sz w:val="18"/>
          <w:szCs w:val="18"/>
          <w:lang w:val="en-US" w:eastAsia="en-US" w:bidi="en-US"/>
        </w:rPr>
        <w:t>ESA</w:t>
      </w:r>
      <w:r>
        <w:rPr>
          <w:spacing w:val="0"/>
          <w:w w:val="100"/>
          <w:position w:val="0"/>
        </w:rPr>
        <w:t>需要更高剂量维持</w:t>
      </w:r>
      <w:r>
        <w:rPr>
          <w:spacing w:val="0"/>
          <w:w w:val="100"/>
          <w:position w:val="0"/>
          <w:sz w:val="18"/>
          <w:szCs w:val="18"/>
          <w:lang w:val="en-US" w:eastAsia="en-US" w:bidi="en-US"/>
        </w:rPr>
        <w:t>Hb</w:t>
      </w:r>
      <w:r>
        <w:rPr>
          <w:spacing w:val="0"/>
          <w:w w:val="100"/>
          <w:position w:val="0"/>
        </w:rPr>
        <w:t>水平，罗沙司他 治疗不需要增加剂量质顶。因此，本共识建议在伴有 微炎症状态的</w:t>
      </w:r>
      <w:r>
        <w:rPr>
          <w:spacing w:val="0"/>
          <w:w w:val="100"/>
          <w:position w:val="0"/>
          <w:sz w:val="18"/>
          <w:szCs w:val="18"/>
          <w:lang w:val="en-US" w:eastAsia="en-US" w:bidi="en-US"/>
        </w:rPr>
        <w:t>CKD</w:t>
      </w:r>
      <w:r>
        <w:rPr>
          <w:spacing w:val="0"/>
          <w:w w:val="100"/>
          <w:position w:val="0"/>
        </w:rPr>
        <w:t>患者中可考虑应用罗沙司他，以 获得更优的贫血治疗效果</w:t>
      </w:r>
      <w:r>
        <w:rPr>
          <w:spacing w:val="0"/>
          <w:w w:val="100"/>
          <w:position w:val="0"/>
          <w:sz w:val="18"/>
          <w:szCs w:val="18"/>
          <w:lang w:val="en-US" w:eastAsia="en-US" w:bidi="en-US"/>
        </w:rPr>
        <w:t>（2B</w:t>
      </w:r>
      <w:r>
        <w:rPr>
          <w:spacing w:val="0"/>
          <w:w w:val="100"/>
          <w:position w:val="0"/>
        </w:rPr>
        <w:t>级证据）。</w:t>
      </w:r>
    </w:p>
    <w:p>
      <w:pPr>
        <w:pStyle w:val="Style2"/>
        <w:keepNext w:val="0"/>
        <w:keepLines w:val="0"/>
        <w:widowControl w:val="0"/>
        <w:shd w:val="clear" w:color="auto" w:fill="auto"/>
        <w:bidi w:val="0"/>
        <w:spacing w:before="0" w:after="0" w:line="337" w:lineRule="exact"/>
        <w:ind w:left="0" w:right="0" w:firstLine="0"/>
        <w:jc w:val="both"/>
      </w:pPr>
      <w:r>
        <w:rPr>
          <w:spacing w:val="0"/>
          <w:w w:val="100"/>
          <w:position w:val="0"/>
          <w:sz w:val="18"/>
          <w:szCs w:val="18"/>
          <w:lang w:val="en-US" w:eastAsia="en-US" w:bidi="en-US"/>
        </w:rPr>
        <w:t>1.4</w:t>
      </w:r>
      <w:r>
        <w:rPr>
          <w:spacing w:val="0"/>
          <w:w w:val="100"/>
          <w:position w:val="0"/>
        </w:rPr>
        <w:t>在其他特殊人群中的使用肾性贫血患者常 常因为合并全身炎症反应、功能性铁缺乏等，导致 对</w:t>
      </w:r>
      <w:r>
        <w:rPr>
          <w:spacing w:val="0"/>
          <w:w w:val="100"/>
          <w:position w:val="0"/>
          <w:sz w:val="18"/>
          <w:szCs w:val="18"/>
          <w:lang w:val="en-US" w:eastAsia="en-US" w:bidi="en-US"/>
        </w:rPr>
        <w:t>ESA</w:t>
      </w:r>
      <w:r>
        <w:rPr>
          <w:spacing w:val="0"/>
          <w:w w:val="100"/>
          <w:position w:val="0"/>
        </w:rPr>
        <w:t xml:space="preserve">治疗低反应,是导致目前该病治疗达标率较 低的重要原因之一,也是该病临床治疗的难点。过 去几年中，有关罗沙司他在这些特殊患者中的治疗 作用进行了探讨,积累了一些经验,本共识对此进 </w:t>
      </w:r>
      <w:r>
        <w:rPr>
          <w:spacing w:val="0"/>
          <w:w w:val="100"/>
          <w:position w:val="0"/>
        </w:rPr>
        <w:t>行归纳和总结。</w:t>
      </w:r>
    </w:p>
    <w:p>
      <w:pPr>
        <w:pStyle w:val="Style2"/>
        <w:keepNext w:val="0"/>
        <w:keepLines w:val="0"/>
        <w:widowControl w:val="0"/>
        <w:shd w:val="clear" w:color="auto" w:fill="auto"/>
        <w:bidi w:val="0"/>
        <w:spacing w:before="0" w:after="0" w:line="338" w:lineRule="exact"/>
        <w:ind w:left="0" w:right="0" w:firstLine="0"/>
        <w:jc w:val="both"/>
      </w:pPr>
      <w:r>
        <w:rPr>
          <w:spacing w:val="0"/>
          <w:w w:val="100"/>
          <w:position w:val="0"/>
          <w:sz w:val="18"/>
          <w:szCs w:val="18"/>
          <w:lang w:val="en-US" w:eastAsia="en-US" w:bidi="en-US"/>
        </w:rPr>
        <w:t>1-4.1</w:t>
      </w:r>
      <w:r>
        <w:rPr>
          <w:spacing w:val="0"/>
          <w:w w:val="100"/>
          <w:position w:val="0"/>
        </w:rPr>
        <w:t>炎症性贫血患者各种原因引起的炎症反 应常常通过升高铁调素引起机体铁稳态的紊乱，而 传统的铁剂和</w:t>
      </w:r>
      <w:r>
        <w:rPr>
          <w:spacing w:val="0"/>
          <w:w w:val="100"/>
          <w:position w:val="0"/>
          <w:sz w:val="18"/>
          <w:szCs w:val="18"/>
          <w:lang w:val="en-US" w:eastAsia="en-US" w:bidi="en-US"/>
        </w:rPr>
        <w:t>ESA</w:t>
      </w:r>
      <w:r>
        <w:rPr>
          <w:spacing w:val="0"/>
          <w:w w:val="100"/>
          <w:position w:val="0"/>
        </w:rPr>
        <w:t>治疗往往效果不佳甚至无效,是 困扰临床医师的重要问题。国内外随机、对照</w:t>
      </w:r>
      <w:r>
        <w:rPr>
          <w:spacing w:val="0"/>
          <w:w w:val="100"/>
          <w:position w:val="0"/>
          <w:sz w:val="18"/>
          <w:szCs w:val="18"/>
          <w:lang w:val="en-US" w:eastAsia="en-US" w:bidi="en-US"/>
        </w:rPr>
        <w:t>ID</w:t>
      </w:r>
      <w:r>
        <w:rPr>
          <w:spacing w:val="0"/>
          <w:w w:val="100"/>
          <w:position w:val="0"/>
        </w:rPr>
        <w:t>期 临床试验结果显示，罗沙司他改善贫血不受（微）炎 症状态的影响風</w:t>
      </w:r>
      <w:r>
        <w:rPr>
          <w:spacing w:val="0"/>
          <w:w w:val="100"/>
          <w:position w:val="0"/>
          <w:lang w:val="en-US" w:eastAsia="en-US" w:bidi="en-US"/>
        </w:rPr>
        <w:t>e。</w:t>
      </w:r>
      <w:r>
        <w:rPr>
          <w:spacing w:val="0"/>
          <w:w w:val="100"/>
          <w:position w:val="0"/>
        </w:rPr>
        <w:t>同时，多项临床试验表明，罗沙 司他能够显著降低</w:t>
      </w:r>
      <w:r>
        <w:rPr>
          <w:spacing w:val="0"/>
          <w:w w:val="100"/>
          <w:position w:val="0"/>
          <w:sz w:val="18"/>
          <w:szCs w:val="18"/>
          <w:lang w:val="en-US" w:eastAsia="en-US" w:bidi="en-US"/>
        </w:rPr>
        <w:t>CKD</w:t>
      </w:r>
      <w:r>
        <w:rPr>
          <w:spacing w:val="0"/>
          <w:w w:val="100"/>
          <w:position w:val="0"/>
        </w:rPr>
        <w:t>患者的铁调素水平,纠正铁 代谢紊乱</w:t>
      </w:r>
      <w:r>
        <w:rPr>
          <w:spacing w:val="0"/>
          <w:w w:val="100"/>
          <w:position w:val="0"/>
          <w:sz w:val="18"/>
          <w:szCs w:val="18"/>
        </w:rPr>
        <w:t>°，</w:t>
      </w:r>
      <w:r>
        <w:rPr>
          <w:spacing w:val="0"/>
          <w:w w:val="100"/>
          <w:position w:val="0"/>
          <w:sz w:val="18"/>
          <w:szCs w:val="18"/>
          <w:vertAlign w:val="superscript"/>
        </w:rPr>
        <w:t>121</w:t>
      </w:r>
      <w:r>
        <w:rPr>
          <w:spacing w:val="0"/>
          <w:w w:val="100"/>
          <w:position w:val="0"/>
          <w:sz w:val="18"/>
          <w:szCs w:val="18"/>
        </w:rPr>
        <w:t xml:space="preserve"> </w:t>
      </w:r>
      <w:r>
        <w:rPr>
          <w:spacing w:val="0"/>
          <w:w w:val="100"/>
          <w:position w:val="0"/>
          <w:sz w:val="18"/>
          <w:szCs w:val="18"/>
          <w:lang w:val="en-US" w:eastAsia="en-US" w:bidi="en-US"/>
        </w:rPr>
        <w:t>o</w:t>
      </w:r>
      <w:r>
        <w:rPr>
          <w:spacing w:val="0"/>
          <w:w w:val="100"/>
          <w:position w:val="0"/>
        </w:rPr>
        <w:t>因此,对于常规治疗无效的炎症性 贫血患者可考虑试用罗沙司他治疗。</w:t>
      </w:r>
    </w:p>
    <w:p>
      <w:pPr>
        <w:pStyle w:val="Style2"/>
        <w:keepNext w:val="0"/>
        <w:keepLines w:val="0"/>
        <w:widowControl w:val="0"/>
        <w:shd w:val="clear" w:color="auto" w:fill="auto"/>
        <w:bidi w:val="0"/>
        <w:spacing w:before="0" w:after="0" w:line="338" w:lineRule="exact"/>
        <w:ind w:left="0" w:right="0" w:firstLine="0"/>
        <w:jc w:val="both"/>
      </w:pPr>
      <w:r>
        <w:rPr>
          <w:spacing w:val="0"/>
          <w:w w:val="100"/>
          <w:position w:val="0"/>
          <w:sz w:val="18"/>
          <w:szCs w:val="18"/>
          <w:lang w:val="en-US" w:eastAsia="en-US" w:bidi="en-US"/>
        </w:rPr>
        <w:t>1.4.2</w:t>
      </w:r>
      <w:r>
        <w:rPr>
          <w:spacing w:val="0"/>
          <w:w w:val="100"/>
          <w:position w:val="0"/>
        </w:rPr>
        <w:t>功能性铁缺乏患者 铁利用障碍是临床常 见问题，罗沙司他能通过多途径调控铁代谢皿。因 此，该药可能有助于改善合并功能性铁缺乏患者的 肾性贫血，值得临床进一步探讨。</w:t>
      </w:r>
    </w:p>
    <w:p>
      <w:pPr>
        <w:pStyle w:val="Style2"/>
        <w:keepNext w:val="0"/>
        <w:keepLines w:val="0"/>
        <w:widowControl w:val="0"/>
        <w:shd w:val="clear" w:color="auto" w:fill="auto"/>
        <w:bidi w:val="0"/>
        <w:spacing w:before="0" w:after="160" w:line="336" w:lineRule="exact"/>
        <w:ind w:left="0" w:right="0" w:firstLine="0"/>
        <w:jc w:val="both"/>
      </w:pPr>
      <w:r>
        <w:rPr>
          <w:spacing w:val="0"/>
          <w:w w:val="100"/>
          <w:position w:val="0"/>
          <w:sz w:val="18"/>
          <w:szCs w:val="18"/>
          <w:lang w:val="en-US" w:eastAsia="en-US" w:bidi="en-US"/>
        </w:rPr>
        <w:t>1.4.3 ESA</w:t>
      </w:r>
      <w:r>
        <w:rPr>
          <w:spacing w:val="0"/>
          <w:w w:val="100"/>
          <w:position w:val="0"/>
        </w:rPr>
        <w:t>低反应患者</w:t>
      </w:r>
      <w:r>
        <w:rPr>
          <w:spacing w:val="0"/>
          <w:w w:val="100"/>
          <w:position w:val="0"/>
          <w:sz w:val="18"/>
          <w:szCs w:val="18"/>
          <w:lang w:val="en-US" w:eastAsia="en-US" w:bidi="en-US"/>
        </w:rPr>
        <w:t>ESA</w:t>
      </w:r>
      <w:r>
        <w:rPr>
          <w:spacing w:val="0"/>
          <w:w w:val="100"/>
          <w:position w:val="0"/>
        </w:rPr>
        <w:t>低反应是肾性贫血治 疗中的一个常见问题，是患者心血管事件和病死率 增高的重要因素之一。其中，铁代谢紊乱、感染、继 发性甲状旁腺功能亢进和透析不充分是引起</w:t>
      </w:r>
      <w:r>
        <w:rPr>
          <w:spacing w:val="0"/>
          <w:w w:val="100"/>
          <w:position w:val="0"/>
          <w:sz w:val="18"/>
          <w:szCs w:val="18"/>
          <w:lang w:val="en-US" w:eastAsia="en-US" w:bidi="en-US"/>
        </w:rPr>
        <w:t xml:space="preserve">ESA </w:t>
      </w:r>
      <w:r>
        <w:rPr>
          <w:spacing w:val="0"/>
          <w:w w:val="100"/>
          <w:position w:val="0"/>
        </w:rPr>
        <w:t>低反应的重要原因，临床上尚缺乏有效的治疗策 略。在中国和日本血液透析患者的</w:t>
      </w:r>
      <w:r>
        <w:rPr>
          <w:spacing w:val="0"/>
          <w:w w:val="100"/>
          <w:position w:val="0"/>
          <w:sz w:val="18"/>
          <w:szCs w:val="18"/>
          <w:lang w:val="en-US" w:eastAsia="en-US" w:bidi="en-US"/>
        </w:rPr>
        <w:t>ESA</w:t>
      </w:r>
      <w:r>
        <w:rPr>
          <w:spacing w:val="0"/>
          <w:w w:val="100"/>
          <w:position w:val="0"/>
        </w:rPr>
        <w:t>抵抗人群 亚组分析发现，应用罗沙司他可有效升高</w:t>
      </w:r>
      <w:r>
        <w:rPr>
          <w:spacing w:val="0"/>
          <w:w w:val="100"/>
          <w:position w:val="0"/>
          <w:sz w:val="18"/>
          <w:szCs w:val="18"/>
          <w:lang w:val="en-US" w:eastAsia="en-US" w:bidi="en-US"/>
        </w:rPr>
        <w:t>Hb</w:t>
      </w:r>
      <w:r>
        <w:rPr>
          <w:spacing w:val="0"/>
          <w:w w:val="100"/>
          <w:position w:val="0"/>
        </w:rPr>
        <w:t>水 平詩气同时，越来越多的临床试验表明，罗沙司他 对</w:t>
      </w:r>
      <w:r>
        <w:rPr>
          <w:spacing w:val="0"/>
          <w:w w:val="100"/>
          <w:position w:val="0"/>
          <w:sz w:val="18"/>
          <w:szCs w:val="18"/>
          <w:lang w:val="en-US" w:eastAsia="en-US" w:bidi="en-US"/>
        </w:rPr>
        <w:t>ESA</w:t>
      </w:r>
      <w:r>
        <w:rPr>
          <w:spacing w:val="0"/>
          <w:w w:val="100"/>
          <w:position w:val="0"/>
        </w:rPr>
        <w:t xml:space="preserve">低反应患者有效曲。因此，罗沙司他可能是 </w:t>
      </w:r>
      <w:r>
        <w:rPr>
          <w:spacing w:val="0"/>
          <w:w w:val="100"/>
          <w:position w:val="0"/>
          <w:sz w:val="18"/>
          <w:szCs w:val="18"/>
          <w:lang w:val="en-US" w:eastAsia="en-US" w:bidi="en-US"/>
        </w:rPr>
        <w:t>ESA</w:t>
      </w:r>
      <w:r>
        <w:rPr>
          <w:spacing w:val="0"/>
          <w:w w:val="100"/>
          <w:position w:val="0"/>
        </w:rPr>
        <w:t>低反应患者的有效治疗方法。</w:t>
      </w:r>
    </w:p>
    <w:p>
      <w:pPr>
        <w:pStyle w:val="Style2"/>
        <w:keepNext w:val="0"/>
        <w:keepLines w:val="0"/>
        <w:widowControl w:val="0"/>
        <w:shd w:val="clear" w:color="auto" w:fill="auto"/>
        <w:bidi w:val="0"/>
        <w:spacing w:before="0" w:after="160" w:line="337" w:lineRule="exact"/>
        <w:ind w:left="0" w:right="0" w:firstLine="0"/>
        <w:jc w:val="both"/>
      </w:pPr>
      <w:r>
        <w:rPr>
          <w:spacing w:val="0"/>
          <w:w w:val="100"/>
          <w:position w:val="0"/>
          <w:sz w:val="18"/>
          <w:szCs w:val="18"/>
        </w:rPr>
        <w:t>2</w:t>
      </w:r>
      <w:r>
        <w:rPr>
          <w:spacing w:val="0"/>
          <w:w w:val="100"/>
          <w:position w:val="0"/>
        </w:rPr>
        <w:t>罗沙司他如何应用</w:t>
      </w:r>
    </w:p>
    <w:p>
      <w:pPr>
        <w:pStyle w:val="Style2"/>
        <w:keepNext w:val="0"/>
        <w:keepLines w:val="0"/>
        <w:widowControl w:val="0"/>
        <w:shd w:val="clear" w:color="auto" w:fill="auto"/>
        <w:bidi w:val="0"/>
        <w:spacing w:before="0" w:after="0" w:line="337" w:lineRule="exact"/>
        <w:ind w:left="0" w:right="0" w:firstLine="0"/>
        <w:jc w:val="both"/>
      </w:pPr>
      <w:r>
        <w:rPr>
          <w:spacing w:val="0"/>
          <w:w w:val="100"/>
          <w:position w:val="0"/>
          <w:sz w:val="18"/>
          <w:szCs w:val="18"/>
          <w:lang w:val="en-US" w:eastAsia="en-US" w:bidi="en-US"/>
        </w:rPr>
        <w:t>2.1</w:t>
      </w:r>
      <w:r>
        <w:rPr>
          <w:spacing w:val="0"/>
          <w:w w:val="100"/>
          <w:position w:val="0"/>
        </w:rPr>
        <w:t>治疗时机和治疗靶目标治疗时机和治疗靶 目标是非常重要的临床问题。目前,没有针对罗沙 司他起始治疗时机和治疗靶目标的研究，参考罗沙 司他临床试验，并结合</w:t>
      </w:r>
      <w:r>
        <w:rPr>
          <w:spacing w:val="0"/>
          <w:w w:val="100"/>
          <w:position w:val="0"/>
          <w:sz w:val="18"/>
          <w:szCs w:val="18"/>
          <w:lang w:val="en-US" w:eastAsia="en-US" w:bidi="en-US"/>
        </w:rPr>
        <w:t>ESA</w:t>
      </w:r>
      <w:r>
        <w:rPr>
          <w:spacing w:val="0"/>
          <w:w w:val="100"/>
          <w:position w:val="0"/>
        </w:rPr>
        <w:t>应用，本共识建议罗沙 司他起始治疗时机为</w:t>
      </w:r>
      <w:r>
        <w:rPr>
          <w:spacing w:val="0"/>
          <w:w w:val="100"/>
          <w:position w:val="0"/>
          <w:sz w:val="18"/>
          <w:szCs w:val="18"/>
          <w:lang w:val="en-US" w:eastAsia="en-US" w:bidi="en-US"/>
        </w:rPr>
        <w:t>Hb＜100 g/L（2,</w:t>
      </w:r>
      <w:r>
        <w:rPr>
          <w:spacing w:val="0"/>
          <w:w w:val="100"/>
          <w:position w:val="0"/>
        </w:rPr>
        <w:t>未分级），靶目 标为</w:t>
      </w:r>
      <w:r>
        <w:rPr>
          <w:spacing w:val="0"/>
          <w:w w:val="100"/>
          <w:position w:val="0"/>
          <w:sz w:val="18"/>
          <w:szCs w:val="18"/>
          <w:lang w:val="en-US" w:eastAsia="en-US" w:bidi="en-US"/>
        </w:rPr>
        <w:t>HbNllO g/L,</w:t>
      </w:r>
      <w:r>
        <w:rPr>
          <w:spacing w:val="0"/>
          <w:w w:val="100"/>
          <w:position w:val="0"/>
        </w:rPr>
        <w:t>但不超过</w:t>
      </w:r>
      <w:r>
        <w:rPr>
          <w:spacing w:val="0"/>
          <w:w w:val="100"/>
          <w:position w:val="0"/>
          <w:sz w:val="18"/>
          <w:szCs w:val="18"/>
        </w:rPr>
        <w:t xml:space="preserve">130 </w:t>
      </w:r>
      <w:r>
        <w:rPr>
          <w:spacing w:val="0"/>
          <w:w w:val="100"/>
          <w:position w:val="0"/>
          <w:sz w:val="18"/>
          <w:szCs w:val="18"/>
          <w:lang w:val="en-US" w:eastAsia="en-US" w:bidi="en-US"/>
        </w:rPr>
        <w:t xml:space="preserve">g/L* </w:t>
      </w:r>
      <w:r>
        <w:rPr>
          <w:spacing w:val="0"/>
          <w:w w:val="100"/>
          <w:position w:val="0"/>
          <w:sz w:val="18"/>
          <w:szCs w:val="18"/>
          <w:vertAlign w:val="superscript"/>
        </w:rPr>
        <w:t>101</w:t>
      </w:r>
      <w:r>
        <w:rPr>
          <w:spacing w:val="0"/>
          <w:w w:val="100"/>
          <w:position w:val="0"/>
          <w:sz w:val="18"/>
          <w:szCs w:val="18"/>
        </w:rPr>
        <w:t xml:space="preserve"> </w:t>
      </w:r>
      <w:r>
        <w:rPr>
          <w:spacing w:val="0"/>
          <w:w w:val="100"/>
          <w:position w:val="0"/>
          <w:sz w:val="18"/>
          <w:szCs w:val="18"/>
          <w:vertAlign w:val="subscript"/>
          <w:lang w:val="en-US" w:eastAsia="en-US" w:bidi="en-US"/>
        </w:rPr>
        <w:t>o</w:t>
      </w:r>
      <w:r>
        <w:rPr>
          <w:spacing w:val="0"/>
          <w:w w:val="100"/>
          <w:position w:val="0"/>
        </w:rPr>
        <w:t>关于罗沙 司他治疗的靶目标是否需要调整未来值得进一步 研究。</w:t>
      </w:r>
    </w:p>
    <w:p>
      <w:pPr>
        <w:pStyle w:val="Style2"/>
        <w:keepNext w:val="0"/>
        <w:keepLines w:val="0"/>
        <w:widowControl w:val="0"/>
        <w:shd w:val="clear" w:color="auto" w:fill="auto"/>
        <w:bidi w:val="0"/>
        <w:spacing w:before="0" w:after="0" w:line="337" w:lineRule="exact"/>
        <w:ind w:left="0" w:right="0" w:firstLine="0"/>
        <w:jc w:val="both"/>
      </w:pPr>
      <w:r>
        <w:rPr>
          <w:spacing w:val="0"/>
          <w:w w:val="100"/>
          <w:position w:val="0"/>
          <w:sz w:val="18"/>
          <w:szCs w:val="18"/>
          <w:lang w:val="en-US" w:eastAsia="en-US" w:bidi="en-US"/>
        </w:rPr>
        <w:t>2.2</w:t>
      </w:r>
      <w:r>
        <w:rPr>
          <w:spacing w:val="0"/>
          <w:w w:val="100"/>
          <w:position w:val="0"/>
        </w:rPr>
        <w:t>起始剂量、剂量优化及个体化有关罗沙司他 的起始剂量，本共识基于</w:t>
      </w:r>
      <w:r>
        <w:rPr>
          <w:spacing w:val="0"/>
          <w:w w:val="100"/>
          <w:position w:val="0"/>
          <w:sz w:val="18"/>
          <w:szCs w:val="18"/>
        </w:rPr>
        <w:t>2</w:t>
      </w:r>
      <w:r>
        <w:rPr>
          <w:spacing w:val="0"/>
          <w:w w:val="100"/>
          <w:position w:val="0"/>
        </w:rPr>
        <w:t xml:space="preserve">项中国患者的罗沙司他 </w:t>
      </w:r>
      <w:r>
        <w:rPr>
          <w:spacing w:val="0"/>
          <w:w w:val="100"/>
          <w:position w:val="0"/>
          <w:sz w:val="18"/>
          <w:szCs w:val="18"/>
          <w:lang w:val="en-US" w:eastAsia="en-US" w:bidi="en-US"/>
        </w:rPr>
        <w:t>ID</w:t>
      </w:r>
      <w:r>
        <w:rPr>
          <w:spacing w:val="0"/>
          <w:w w:val="100"/>
          <w:position w:val="0"/>
        </w:rPr>
        <w:t>期临床研究结果，建议罗沙司他治疗肾性贫血的 起始剂量:透析患者为每次</w:t>
      </w:r>
      <w:r>
        <w:rPr>
          <w:spacing w:val="0"/>
          <w:w w:val="100"/>
          <w:position w:val="0"/>
          <w:sz w:val="18"/>
          <w:szCs w:val="18"/>
        </w:rPr>
        <w:t xml:space="preserve">100 </w:t>
      </w:r>
      <w:r>
        <w:rPr>
          <w:spacing w:val="0"/>
          <w:w w:val="100"/>
          <w:position w:val="0"/>
          <w:sz w:val="18"/>
          <w:szCs w:val="18"/>
          <w:lang w:val="en-US" w:eastAsia="en-US" w:bidi="en-US"/>
        </w:rPr>
        <w:t>mg（</w:t>
      </w:r>
      <w:r>
        <w:rPr>
          <w:spacing w:val="0"/>
          <w:w w:val="100"/>
          <w:position w:val="0"/>
        </w:rPr>
        <w:t>体重</w:t>
      </w:r>
      <w:r>
        <w:rPr>
          <w:spacing w:val="0"/>
          <w:w w:val="100"/>
          <w:position w:val="0"/>
          <w:sz w:val="18"/>
          <w:szCs w:val="18"/>
        </w:rPr>
        <w:t xml:space="preserve">＜60 </w:t>
      </w:r>
      <w:r>
        <w:rPr>
          <w:spacing w:val="0"/>
          <w:w w:val="100"/>
          <w:position w:val="0"/>
          <w:sz w:val="18"/>
          <w:szCs w:val="18"/>
          <w:lang w:val="en-US" w:eastAsia="en-US" w:bidi="en-US"/>
        </w:rPr>
        <w:t>kg）</w:t>
      </w:r>
      <w:r>
        <w:rPr>
          <w:spacing w:val="0"/>
          <w:w w:val="100"/>
          <w:position w:val="0"/>
        </w:rPr>
        <w:t xml:space="preserve">或 </w:t>
      </w:r>
      <w:r>
        <w:rPr>
          <w:spacing w:val="0"/>
          <w:w w:val="100"/>
          <w:position w:val="0"/>
          <w:sz w:val="18"/>
          <w:szCs w:val="18"/>
        </w:rPr>
        <w:t xml:space="preserve">120 </w:t>
      </w:r>
      <w:r>
        <w:rPr>
          <w:spacing w:val="0"/>
          <w:w w:val="100"/>
          <w:position w:val="0"/>
          <w:sz w:val="18"/>
          <w:szCs w:val="18"/>
          <w:lang w:val="en-US" w:eastAsia="en-US" w:bidi="en-US"/>
        </w:rPr>
        <w:t>mg</w:t>
      </w:r>
      <w:r>
        <w:rPr>
          <w:spacing w:val="0"/>
          <w:w w:val="100"/>
          <w:position w:val="0"/>
        </w:rPr>
        <w:t>（体重</w:t>
      </w:r>
      <w:r>
        <w:rPr>
          <w:spacing w:val="0"/>
          <w:w w:val="100"/>
          <w:position w:val="0"/>
          <w:sz w:val="18"/>
          <w:szCs w:val="18"/>
        </w:rPr>
        <w:t xml:space="preserve">260 </w:t>
      </w:r>
      <w:r>
        <w:rPr>
          <w:spacing w:val="0"/>
          <w:w w:val="100"/>
          <w:position w:val="0"/>
          <w:sz w:val="18"/>
          <w:szCs w:val="18"/>
          <w:lang w:val="en-US" w:eastAsia="en-US" w:bidi="en-US"/>
        </w:rPr>
        <w:t>kg）</w:t>
      </w:r>
      <w:r>
        <w:rPr>
          <w:spacing w:val="0"/>
          <w:w w:val="100"/>
          <w:position w:val="0"/>
        </w:rPr>
        <w:t>，非透析患者为每次</w:t>
      </w:r>
      <w:r>
        <w:rPr>
          <w:spacing w:val="0"/>
          <w:w w:val="100"/>
          <w:position w:val="0"/>
          <w:sz w:val="18"/>
          <w:szCs w:val="18"/>
        </w:rPr>
        <w:t xml:space="preserve">70 </w:t>
      </w:r>
      <w:r>
        <w:rPr>
          <w:spacing w:val="0"/>
          <w:w w:val="100"/>
          <w:position w:val="0"/>
          <w:sz w:val="18"/>
          <w:szCs w:val="18"/>
          <w:lang w:val="en-US" w:eastAsia="en-US" w:bidi="en-US"/>
        </w:rPr>
        <w:t>mg</w:t>
      </w:r>
      <w:r>
        <w:rPr>
          <w:spacing w:val="0"/>
          <w:w w:val="100"/>
          <w:position w:val="0"/>
        </w:rPr>
        <w:t>（体 重</w:t>
      </w:r>
      <w:r>
        <w:rPr>
          <w:spacing w:val="0"/>
          <w:w w:val="100"/>
          <w:position w:val="0"/>
          <w:sz w:val="18"/>
          <w:szCs w:val="18"/>
        </w:rPr>
        <w:t xml:space="preserve">＜60 </w:t>
      </w:r>
      <w:r>
        <w:rPr>
          <w:spacing w:val="0"/>
          <w:w w:val="100"/>
          <w:position w:val="0"/>
          <w:sz w:val="18"/>
          <w:szCs w:val="18"/>
          <w:lang w:val="en-US" w:eastAsia="en-US" w:bidi="en-US"/>
        </w:rPr>
        <w:t>kg</w:t>
      </w:r>
      <w:r>
        <w:rPr>
          <w:spacing w:val="0"/>
          <w:w w:val="100"/>
          <w:position w:val="0"/>
        </w:rPr>
        <w:t>）或</w:t>
      </w:r>
      <w:r>
        <w:rPr>
          <w:spacing w:val="0"/>
          <w:w w:val="100"/>
          <w:position w:val="0"/>
          <w:sz w:val="18"/>
          <w:szCs w:val="18"/>
        </w:rPr>
        <w:t xml:space="preserve">100 </w:t>
      </w:r>
      <w:r>
        <w:rPr>
          <w:spacing w:val="0"/>
          <w:w w:val="100"/>
          <w:position w:val="0"/>
          <w:sz w:val="18"/>
          <w:szCs w:val="18"/>
          <w:lang w:val="en-US" w:eastAsia="en-US" w:bidi="en-US"/>
        </w:rPr>
        <w:t xml:space="preserve">mg </w:t>
      </w:r>
      <w:r>
        <w:rPr>
          <w:spacing w:val="0"/>
          <w:w w:val="100"/>
          <w:position w:val="0"/>
        </w:rPr>
        <w:t>（体重</w:t>
      </w:r>
      <w:r>
        <w:rPr>
          <w:spacing w:val="0"/>
          <w:w w:val="100"/>
          <w:position w:val="0"/>
          <w:sz w:val="18"/>
          <w:szCs w:val="18"/>
        </w:rPr>
        <w:t xml:space="preserve">260 </w:t>
      </w:r>
      <w:r>
        <w:rPr>
          <w:spacing w:val="0"/>
          <w:w w:val="100"/>
          <w:position w:val="0"/>
          <w:sz w:val="18"/>
          <w:szCs w:val="18"/>
          <w:lang w:val="en-US" w:eastAsia="en-US" w:bidi="en-US"/>
        </w:rPr>
        <w:t>kg</w:t>
      </w:r>
      <w:r>
        <w:rPr>
          <w:spacing w:val="0"/>
          <w:w w:val="100"/>
          <w:position w:val="0"/>
        </w:rPr>
        <w:t>）,每周</w:t>
      </w:r>
      <w:r>
        <w:rPr>
          <w:spacing w:val="0"/>
          <w:w w:val="100"/>
          <w:position w:val="0"/>
          <w:sz w:val="18"/>
          <w:szCs w:val="18"/>
        </w:rPr>
        <w:t>3</w:t>
      </w:r>
      <w:r>
        <w:rPr>
          <w:spacing w:val="0"/>
          <w:w w:val="100"/>
          <w:position w:val="0"/>
        </w:rPr>
        <w:t>次，口服给 药</w:t>
      </w:r>
      <w:r>
        <w:rPr>
          <w:spacing w:val="0"/>
          <w:w w:val="100"/>
          <w:position w:val="0"/>
          <w:sz w:val="18"/>
          <w:szCs w:val="18"/>
        </w:rPr>
        <w:t>（2,</w:t>
      </w:r>
      <w:r>
        <w:rPr>
          <w:spacing w:val="0"/>
          <w:w w:val="100"/>
          <w:position w:val="0"/>
        </w:rPr>
        <w:t>未分级）。为了避免副反应，需要结合患者年 龄、体重、既往使用</w:t>
      </w:r>
      <w:r>
        <w:rPr>
          <w:spacing w:val="0"/>
          <w:w w:val="100"/>
          <w:position w:val="0"/>
          <w:sz w:val="18"/>
          <w:szCs w:val="18"/>
          <w:lang w:val="en-US" w:eastAsia="en-US" w:bidi="en-US"/>
        </w:rPr>
        <w:t>ESA</w:t>
      </w:r>
      <w:r>
        <w:rPr>
          <w:spacing w:val="0"/>
          <w:w w:val="100"/>
          <w:position w:val="0"/>
        </w:rPr>
        <w:t>剂量、基础</w:t>
      </w:r>
      <w:r>
        <w:rPr>
          <w:spacing w:val="0"/>
          <w:w w:val="100"/>
          <w:position w:val="0"/>
          <w:sz w:val="18"/>
          <w:szCs w:val="18"/>
          <w:lang w:val="en-US" w:eastAsia="en-US" w:bidi="en-US"/>
        </w:rPr>
        <w:t>Hb</w:t>
      </w:r>
      <w:r>
        <w:rPr>
          <w:spacing w:val="0"/>
          <w:w w:val="100"/>
          <w:position w:val="0"/>
        </w:rPr>
        <w:t xml:space="preserve">值、铁代谢、 </w:t>
      </w:r>
      <w:r>
        <w:rPr>
          <w:spacing w:val="0"/>
          <w:w w:val="100"/>
          <w:position w:val="0"/>
        </w:rPr>
        <w:t>营养状态以及透析方式等因素，个体化并以较小的 起始剂量开始使用。有关罗沙司他应用过程中剂 量调整问题,本共识也给予原则性指导，建议应用 初期应加强对</w:t>
      </w:r>
      <w:r>
        <w:rPr>
          <w:spacing w:val="0"/>
          <w:w w:val="100"/>
          <w:position w:val="0"/>
          <w:sz w:val="18"/>
          <w:szCs w:val="18"/>
          <w:lang w:val="en-US" w:eastAsia="en-US" w:bidi="en-US"/>
        </w:rPr>
        <w:t>Hb</w:t>
      </w:r>
      <w:r>
        <w:rPr>
          <w:spacing w:val="0"/>
          <w:w w:val="100"/>
          <w:position w:val="0"/>
        </w:rPr>
        <w:t>升高速度的监测，并据此给予给 药剂量的相应调整</w:t>
      </w:r>
      <w:r>
        <w:rPr>
          <w:spacing w:val="0"/>
          <w:w w:val="100"/>
          <w:position w:val="0"/>
          <w:lang w:val="en-US" w:eastAsia="en-US" w:bidi="en-US"/>
        </w:rPr>
        <w:t>E。</w:t>
      </w:r>
    </w:p>
    <w:p>
      <w:pPr>
        <w:pStyle w:val="Style2"/>
        <w:keepNext w:val="0"/>
        <w:keepLines w:val="0"/>
        <w:widowControl w:val="0"/>
        <w:shd w:val="clear" w:color="auto" w:fill="auto"/>
        <w:bidi w:val="0"/>
        <w:spacing w:before="0" w:after="160" w:line="336" w:lineRule="exact"/>
        <w:ind w:left="0" w:right="0" w:firstLine="0"/>
        <w:jc w:val="both"/>
      </w:pPr>
      <w:r>
        <w:rPr>
          <w:spacing w:val="0"/>
          <w:w w:val="100"/>
          <w:position w:val="0"/>
          <w:sz w:val="18"/>
          <w:szCs w:val="18"/>
          <w:lang w:val="en-US" w:eastAsia="en-US" w:bidi="en-US"/>
        </w:rPr>
        <w:t>2.3</w:t>
      </w:r>
      <w:r>
        <w:rPr>
          <w:spacing w:val="0"/>
          <w:w w:val="100"/>
          <w:position w:val="0"/>
        </w:rPr>
        <w:t>铁剂的监测与使用罗沙司他治疗期间，铁剂 的治疗时机、铁状态指标的监测时机与频率、合适 的铁剂治疗靶目标尚未明确。但多项</w:t>
      </w:r>
      <w:r>
        <w:rPr>
          <w:spacing w:val="0"/>
          <w:w w:val="100"/>
          <w:position w:val="0"/>
          <w:sz w:val="18"/>
          <w:szCs w:val="18"/>
          <w:lang w:val="en-US" w:eastAsia="en-US" w:bidi="en-US"/>
        </w:rPr>
        <w:t>DI</w:t>
      </w:r>
      <w:r>
        <w:rPr>
          <w:spacing w:val="0"/>
          <w:w w:val="100"/>
          <w:position w:val="0"/>
        </w:rPr>
        <w:t xml:space="preserve">期临床研 究结果显示，罗沙司他可降低铁调素和血清铁蛋白 </w:t>
      </w:r>
      <w:r>
        <w:rPr>
          <w:rFonts w:ascii="Times New Roman" w:eastAsia="Times New Roman" w:hAnsi="Times New Roman" w:cs="Times New Roman"/>
          <w:i/>
          <w:iCs/>
          <w:spacing w:val="0"/>
          <w:w w:val="100"/>
          <w:position w:val="0"/>
          <w:sz w:val="17"/>
          <w:szCs w:val="17"/>
        </w:rPr>
        <w:t>（</w:t>
      </w:r>
      <w:r>
        <w:rPr>
          <w:spacing w:val="0"/>
          <w:w w:val="100"/>
          <w:position w:val="0"/>
          <w:sz w:val="18"/>
          <w:szCs w:val="18"/>
          <w:lang w:val="en-US" w:eastAsia="en-US" w:bidi="en-US"/>
        </w:rPr>
        <w:t>serum ferritin</w:t>
      </w:r>
      <w:r>
        <w:rPr>
          <w:spacing w:val="0"/>
          <w:w w:val="100"/>
          <w:position w:val="0"/>
          <w:sz w:val="18"/>
          <w:szCs w:val="18"/>
        </w:rPr>
        <w:t xml:space="preserve">, </w:t>
      </w:r>
      <w:r>
        <w:rPr>
          <w:spacing w:val="0"/>
          <w:w w:val="100"/>
          <w:position w:val="0"/>
          <w:sz w:val="18"/>
          <w:szCs w:val="18"/>
          <w:lang w:val="en-US" w:eastAsia="en-US" w:bidi="en-US"/>
        </w:rPr>
        <w:t>SF</w:t>
      </w:r>
      <w:r>
        <w:rPr>
          <w:spacing w:val="0"/>
          <w:w w:val="100"/>
          <w:position w:val="0"/>
          <w:sz w:val="18"/>
          <w:szCs w:val="18"/>
        </w:rPr>
        <w:t>）</w:t>
      </w:r>
      <w:r>
        <w:rPr>
          <w:spacing w:val="0"/>
          <w:w w:val="100"/>
          <w:position w:val="0"/>
        </w:rPr>
        <w:t>水平</w:t>
      </w:r>
      <w:r>
        <w:rPr>
          <w:spacing w:val="0"/>
          <w:w w:val="100"/>
          <w:position w:val="0"/>
          <w:sz w:val="18"/>
          <w:szCs w:val="18"/>
        </w:rPr>
        <w:t>，</w:t>
      </w:r>
      <w:r>
        <w:rPr>
          <w:spacing w:val="0"/>
          <w:w w:val="100"/>
          <w:position w:val="0"/>
        </w:rPr>
        <w:t>升高转铁蛋白与总铁结合 力，提示罗沙司他可增加铁利用而降低铁储 备</w:t>
      </w:r>
      <w:r>
        <w:rPr>
          <w:spacing w:val="0"/>
          <w:w w:val="100"/>
          <w:position w:val="0"/>
          <w:sz w:val="18"/>
          <w:szCs w:val="18"/>
        </w:rPr>
        <w:t>"°F</w:t>
      </w:r>
      <w:r>
        <w:rPr>
          <w:spacing w:val="0"/>
          <w:w w:val="100"/>
          <w:position w:val="0"/>
        </w:rPr>
        <w:t>。因此，本共识建议</w:t>
      </w:r>
      <w:r>
        <w:rPr>
          <w:spacing w:val="0"/>
          <w:w w:val="100"/>
          <w:position w:val="0"/>
          <w:sz w:val="18"/>
          <w:szCs w:val="18"/>
          <w:lang w:val="en-US" w:eastAsia="en-US" w:bidi="en-US"/>
        </w:rPr>
        <w:t>CKD</w:t>
      </w:r>
      <w:r>
        <w:rPr>
          <w:spacing w:val="0"/>
          <w:w w:val="100"/>
          <w:position w:val="0"/>
        </w:rPr>
        <w:t>透析前和腹膜透 析患者</w:t>
      </w:r>
      <w:r>
        <w:rPr>
          <w:spacing w:val="0"/>
          <w:w w:val="100"/>
          <w:position w:val="0"/>
          <w:sz w:val="18"/>
          <w:szCs w:val="18"/>
          <w:lang w:val="en-US" w:eastAsia="en-US" w:bidi="en-US"/>
        </w:rPr>
        <w:t>SF&lt;100 |JLg/L</w:t>
      </w:r>
      <w:r>
        <w:rPr>
          <w:spacing w:val="0"/>
          <w:w w:val="100"/>
          <w:position w:val="0"/>
        </w:rPr>
        <w:t>和（或）转铁蛋白饱和度 （</w:t>
      </w:r>
      <w:r>
        <w:rPr>
          <w:spacing w:val="0"/>
          <w:w w:val="100"/>
          <w:position w:val="0"/>
          <w:sz w:val="18"/>
          <w:szCs w:val="18"/>
          <w:lang w:val="en-US" w:eastAsia="en-US" w:bidi="en-US"/>
        </w:rPr>
        <w:t>transferring saturation</w:t>
      </w:r>
      <w:r>
        <w:rPr>
          <w:spacing w:val="0"/>
          <w:w w:val="100"/>
          <w:position w:val="0"/>
          <w:sz w:val="18"/>
          <w:szCs w:val="18"/>
        </w:rPr>
        <w:t xml:space="preserve">, </w:t>
      </w:r>
      <w:r>
        <w:rPr>
          <w:spacing w:val="0"/>
          <w:w w:val="100"/>
          <w:position w:val="0"/>
          <w:sz w:val="18"/>
          <w:szCs w:val="18"/>
          <w:lang w:val="en-US" w:eastAsia="en-US" w:bidi="en-US"/>
        </w:rPr>
        <w:t>TSAT</w:t>
      </w:r>
      <w:r>
        <w:rPr>
          <w:spacing w:val="0"/>
          <w:w w:val="100"/>
          <w:position w:val="0"/>
        </w:rPr>
        <w:t xml:space="preserve">） </w:t>
      </w:r>
      <w:r>
        <w:rPr>
          <w:spacing w:val="0"/>
          <w:w w:val="100"/>
          <w:position w:val="0"/>
          <w:sz w:val="18"/>
          <w:szCs w:val="18"/>
        </w:rPr>
        <w:t>&lt;20% ,</w:t>
      </w:r>
      <w:r>
        <w:rPr>
          <w:spacing w:val="0"/>
          <w:w w:val="100"/>
          <w:position w:val="0"/>
        </w:rPr>
        <w:t xml:space="preserve">血液透析患者 </w:t>
      </w:r>
      <w:r>
        <w:rPr>
          <w:spacing w:val="0"/>
          <w:w w:val="100"/>
          <w:position w:val="0"/>
          <w:sz w:val="18"/>
          <w:szCs w:val="18"/>
          <w:lang w:val="en-US" w:eastAsia="en-US" w:bidi="en-US"/>
        </w:rPr>
        <w:t>SF&lt;200 |mg/L</w:t>
      </w:r>
      <w:r>
        <w:rPr>
          <w:spacing w:val="0"/>
          <w:w w:val="100"/>
          <w:position w:val="0"/>
        </w:rPr>
        <w:t>和（或）</w:t>
      </w:r>
      <w:r>
        <w:rPr>
          <w:spacing w:val="0"/>
          <w:w w:val="100"/>
          <w:position w:val="0"/>
          <w:sz w:val="18"/>
          <w:szCs w:val="18"/>
          <w:lang w:val="en-US" w:eastAsia="en-US" w:bidi="en-US"/>
        </w:rPr>
        <w:t>TSAT&lt;20%</w:t>
      </w:r>
      <w:r>
        <w:rPr>
          <w:spacing w:val="0"/>
          <w:w w:val="100"/>
          <w:position w:val="0"/>
        </w:rPr>
        <w:t>时应联合铁剂治 疗。考虑到罗沙司他治疗对铁代谢的影响,该共识 建议对于起始治疗阶段的患者，应定期监测铁状态 （</w:t>
      </w:r>
      <w:r>
        <w:rPr>
          <w:spacing w:val="0"/>
          <w:w w:val="100"/>
          <w:position w:val="0"/>
          <w:sz w:val="18"/>
          <w:szCs w:val="18"/>
          <w:lang w:val="en-US" w:eastAsia="en-US" w:bidi="en-US"/>
        </w:rPr>
        <w:t>TSAT</w:t>
      </w:r>
      <w:r>
        <w:rPr>
          <w:spacing w:val="0"/>
          <w:w w:val="100"/>
          <w:position w:val="0"/>
        </w:rPr>
        <w:t>和</w:t>
      </w:r>
      <w:r>
        <w:rPr>
          <w:spacing w:val="0"/>
          <w:w w:val="100"/>
          <w:position w:val="0"/>
          <w:sz w:val="18"/>
          <w:szCs w:val="18"/>
          <w:lang w:val="en-US" w:eastAsia="en-US" w:bidi="en-US"/>
        </w:rPr>
        <w:t>SF</w:t>
      </w:r>
      <w:r>
        <w:rPr>
          <w:spacing w:val="0"/>
          <w:w w:val="100"/>
          <w:position w:val="0"/>
        </w:rPr>
        <w:t>）,检测频率至少每月</w:t>
      </w:r>
      <w:r>
        <w:rPr>
          <w:spacing w:val="0"/>
          <w:w w:val="100"/>
          <w:position w:val="0"/>
          <w:sz w:val="18"/>
          <w:szCs w:val="18"/>
        </w:rPr>
        <w:t>1</w:t>
      </w:r>
      <w:r>
        <w:rPr>
          <w:spacing w:val="0"/>
          <w:w w:val="100"/>
          <w:position w:val="0"/>
        </w:rPr>
        <w:t>次，包括开始治 疗前;而对于维持治疗阶段或</w:t>
      </w:r>
      <w:r>
        <w:rPr>
          <w:spacing w:val="0"/>
          <w:w w:val="100"/>
          <w:position w:val="0"/>
          <w:sz w:val="18"/>
          <w:szCs w:val="18"/>
          <w:lang w:val="en-US" w:eastAsia="en-US" w:bidi="en-US"/>
        </w:rPr>
        <w:t>Hb</w:t>
      </w:r>
      <w:r>
        <w:rPr>
          <w:spacing w:val="0"/>
          <w:w w:val="100"/>
          <w:position w:val="0"/>
        </w:rPr>
        <w:t>较为稳定的患者， 建议至少每</w:t>
      </w:r>
      <w:r>
        <w:rPr>
          <w:spacing w:val="0"/>
          <w:w w:val="100"/>
          <w:position w:val="0"/>
          <w:sz w:val="18"/>
          <w:szCs w:val="18"/>
        </w:rPr>
        <w:t>3</w:t>
      </w:r>
      <w:r>
        <w:rPr>
          <w:spacing w:val="0"/>
          <w:w w:val="100"/>
          <w:position w:val="0"/>
        </w:rPr>
        <w:t>个月检测</w:t>
      </w:r>
      <w:r>
        <w:rPr>
          <w:spacing w:val="0"/>
          <w:w w:val="100"/>
          <w:position w:val="0"/>
          <w:sz w:val="18"/>
          <w:szCs w:val="18"/>
        </w:rPr>
        <w:t>1</w:t>
      </w:r>
      <w:r>
        <w:rPr>
          <w:spacing w:val="0"/>
          <w:w w:val="100"/>
          <w:position w:val="0"/>
        </w:rPr>
        <w:t>次,必要时增加监测铁状 态</w:t>
      </w:r>
      <w:r>
        <w:rPr>
          <w:spacing w:val="0"/>
          <w:w w:val="100"/>
          <w:position w:val="0"/>
          <w:sz w:val="18"/>
          <w:szCs w:val="18"/>
          <w:lang w:val="en-US" w:eastAsia="en-US" w:bidi="en-US"/>
        </w:rPr>
        <w:t>（TSAT</w:t>
      </w:r>
      <w:r>
        <w:rPr>
          <w:spacing w:val="0"/>
          <w:w w:val="100"/>
          <w:position w:val="0"/>
        </w:rPr>
        <w:t>和</w:t>
      </w:r>
      <w:r>
        <w:rPr>
          <w:spacing w:val="0"/>
          <w:w w:val="100"/>
          <w:position w:val="0"/>
          <w:sz w:val="18"/>
          <w:szCs w:val="18"/>
          <w:lang w:val="en-US" w:eastAsia="en-US" w:bidi="en-US"/>
        </w:rPr>
        <w:t>SF）</w:t>
      </w:r>
      <w:r>
        <w:rPr>
          <w:spacing w:val="0"/>
          <w:w w:val="100"/>
          <w:position w:val="0"/>
        </w:rPr>
        <w:t>的频率。治疗上，可首选口服铁剂 治疗，因为纳入血液透析和腹膜透析患者中的</w:t>
      </w:r>
      <w:r>
        <w:rPr>
          <w:spacing w:val="0"/>
          <w:w w:val="100"/>
          <w:position w:val="0"/>
          <w:sz w:val="18"/>
          <w:szCs w:val="18"/>
          <w:lang w:val="en-US" w:eastAsia="en-US" w:bidi="en-US"/>
        </w:rPr>
        <w:t>DI</w:t>
      </w:r>
      <w:r>
        <w:rPr>
          <w:spacing w:val="0"/>
          <w:w w:val="100"/>
          <w:position w:val="0"/>
        </w:rPr>
        <w:t>期 临床研究发现，口服铁剂与静脉铁剂具有相似的升 高</w:t>
      </w:r>
      <w:r>
        <w:rPr>
          <w:spacing w:val="0"/>
          <w:w w:val="100"/>
          <w:position w:val="0"/>
          <w:sz w:val="18"/>
          <w:szCs w:val="18"/>
          <w:lang w:val="en-US" w:eastAsia="en-US" w:bidi="en-US"/>
        </w:rPr>
        <w:t>Hb</w:t>
      </w:r>
      <w:r>
        <w:rPr>
          <w:spacing w:val="0"/>
          <w:w w:val="100"/>
          <w:position w:val="0"/>
        </w:rPr>
        <w:t>疗效「顷。</w:t>
      </w:r>
    </w:p>
    <w:p>
      <w:pPr>
        <w:pStyle w:val="Style2"/>
        <w:keepNext w:val="0"/>
        <w:keepLines w:val="0"/>
        <w:widowControl w:val="0"/>
        <w:shd w:val="clear" w:color="auto" w:fill="auto"/>
        <w:bidi w:val="0"/>
        <w:spacing w:before="0" w:after="160" w:line="336" w:lineRule="exact"/>
        <w:ind w:left="0" w:right="0" w:firstLine="0"/>
        <w:jc w:val="both"/>
      </w:pPr>
      <w:r>
        <w:rPr>
          <w:spacing w:val="0"/>
          <w:w w:val="100"/>
          <w:position w:val="0"/>
          <w:sz w:val="18"/>
          <w:szCs w:val="18"/>
        </w:rPr>
        <w:t>3</w:t>
      </w:r>
      <w:r>
        <w:rPr>
          <w:spacing w:val="0"/>
          <w:w w:val="100"/>
          <w:position w:val="0"/>
        </w:rPr>
        <w:t>罗沙司他治疗肾性贫血的优势</w:t>
      </w:r>
    </w:p>
    <w:p>
      <w:pPr>
        <w:pStyle w:val="Style2"/>
        <w:keepNext w:val="0"/>
        <w:keepLines w:val="0"/>
        <w:widowControl w:val="0"/>
        <w:shd w:val="clear" w:color="auto" w:fill="auto"/>
        <w:bidi w:val="0"/>
        <w:spacing w:before="0" w:after="0"/>
        <w:ind w:left="0" w:right="0" w:firstLine="0"/>
        <w:jc w:val="both"/>
      </w:pPr>
      <w:r>
        <w:rPr>
          <w:spacing w:val="0"/>
          <w:w w:val="100"/>
          <w:position w:val="0"/>
          <w:sz w:val="18"/>
          <w:szCs w:val="18"/>
          <w:lang w:val="en-US" w:eastAsia="en-US" w:bidi="en-US"/>
        </w:rPr>
        <w:t>3.1</w:t>
      </w:r>
      <w:r>
        <w:rPr>
          <w:spacing w:val="0"/>
          <w:w w:val="100"/>
          <w:position w:val="0"/>
        </w:rPr>
        <w:t>机制全新罗沙司他是一种小分子化合物，模 拟机体低氧环境,可逆性抑制脯氨酰羟化酶活性， 短暂并呈剂量依赖性诱导</w:t>
      </w:r>
      <w:r>
        <w:rPr>
          <w:spacing w:val="0"/>
          <w:w w:val="100"/>
          <w:position w:val="0"/>
          <w:sz w:val="18"/>
          <w:szCs w:val="18"/>
          <w:lang w:val="en-US" w:eastAsia="en-US" w:bidi="en-US"/>
        </w:rPr>
        <w:t>HIF</w:t>
      </w:r>
      <w:r>
        <w:rPr>
          <w:spacing w:val="0"/>
          <w:w w:val="100"/>
          <w:position w:val="0"/>
        </w:rPr>
        <w:t>稳定表达，以“生理性 浓度</w:t>
      </w:r>
      <w:r>
        <w:rPr>
          <w:spacing w:val="0"/>
          <w:w w:val="100"/>
          <w:position w:val="0"/>
          <w:lang w:val="zh-CN" w:eastAsia="zh-CN" w:bidi="zh-CN"/>
        </w:rPr>
        <w:t>”促进</w:t>
      </w:r>
      <w:r>
        <w:rPr>
          <w:spacing w:val="0"/>
          <w:w w:val="100"/>
          <w:position w:val="0"/>
        </w:rPr>
        <w:t>下游靶基因促红细胞生成素</w:t>
      </w:r>
      <w:r>
        <w:rPr>
          <w:spacing w:val="0"/>
          <w:w w:val="100"/>
          <w:position w:val="0"/>
          <w:sz w:val="18"/>
          <w:szCs w:val="18"/>
          <w:lang w:val="en-US" w:eastAsia="en-US" w:bidi="en-US"/>
        </w:rPr>
        <w:t>（EPO）</w:t>
      </w:r>
      <w:r>
        <w:rPr>
          <w:spacing w:val="0"/>
          <w:w w:val="100"/>
          <w:position w:val="0"/>
        </w:rPr>
        <w:t>的表 达，诱导红细胞生成，改善肾性贫血。此外,罗沙司 他不仅能够可逆地促进生理浓度的</w:t>
      </w:r>
      <w:r>
        <w:rPr>
          <w:spacing w:val="0"/>
          <w:w w:val="100"/>
          <w:position w:val="0"/>
          <w:sz w:val="18"/>
          <w:szCs w:val="18"/>
          <w:lang w:val="en-US" w:eastAsia="en-US" w:bidi="en-US"/>
        </w:rPr>
        <w:t>EPO</w:t>
      </w:r>
      <w:r>
        <w:rPr>
          <w:spacing w:val="0"/>
          <w:w w:val="100"/>
          <w:position w:val="0"/>
        </w:rPr>
        <w:t>表达，还可 以促进</w:t>
      </w:r>
      <w:r>
        <w:rPr>
          <w:spacing w:val="0"/>
          <w:w w:val="100"/>
          <w:position w:val="0"/>
          <w:sz w:val="18"/>
          <w:szCs w:val="18"/>
          <w:lang w:val="en-US" w:eastAsia="en-US" w:bidi="en-US"/>
        </w:rPr>
        <w:t>EPO</w:t>
      </w:r>
      <w:r>
        <w:rPr>
          <w:spacing w:val="0"/>
          <w:w w:val="100"/>
          <w:position w:val="0"/>
        </w:rPr>
        <w:t>受体表达，纠正贫血。</w:t>
      </w:r>
    </w:p>
    <w:p>
      <w:pPr>
        <w:pStyle w:val="Style2"/>
        <w:keepNext w:val="0"/>
        <w:keepLines w:val="0"/>
        <w:widowControl w:val="0"/>
        <w:shd w:val="clear" w:color="auto" w:fill="auto"/>
        <w:bidi w:val="0"/>
        <w:spacing w:before="0" w:after="0"/>
        <w:ind w:left="0" w:right="0" w:firstLine="0"/>
        <w:jc w:val="both"/>
      </w:pPr>
      <w:r>
        <w:rPr>
          <w:spacing w:val="0"/>
          <w:w w:val="100"/>
          <w:position w:val="0"/>
          <w:sz w:val="18"/>
          <w:szCs w:val="18"/>
          <w:lang w:val="en-US" w:eastAsia="en-US" w:bidi="en-US"/>
        </w:rPr>
        <w:t>3.2</w:t>
      </w:r>
      <w:r>
        <w:rPr>
          <w:spacing w:val="0"/>
          <w:w w:val="100"/>
          <w:position w:val="0"/>
        </w:rPr>
        <w:t>可以改善铁吸收和利用一方面，罗沙司他能 够通过促进二价金属离子转运体和十二指肠细胞 色素</w:t>
      </w:r>
      <w:r>
        <w:rPr>
          <w:spacing w:val="0"/>
          <w:w w:val="100"/>
          <w:position w:val="0"/>
          <w:sz w:val="18"/>
          <w:szCs w:val="18"/>
          <w:lang w:val="en-US" w:eastAsia="en-US" w:bidi="en-US"/>
        </w:rPr>
        <w:t>B</w:t>
      </w:r>
      <w:r>
        <w:rPr>
          <w:spacing w:val="0"/>
          <w:w w:val="100"/>
          <w:position w:val="0"/>
        </w:rPr>
        <w:t>的表达而增加肠道对铁的吸收;另一方面，罗 沙司他还可以降低铁调素水平，促进肝细胞和巨噬 细胞释放铁，增加机体可利用铁,改善铁代谢紊乱， 这表明罗沙司他能够通过调控铁代谢紊乱，多靶点 综合促进</w:t>
      </w:r>
      <w:r>
        <w:rPr>
          <w:spacing w:val="0"/>
          <w:w w:val="100"/>
          <w:position w:val="0"/>
          <w:sz w:val="18"/>
          <w:szCs w:val="18"/>
          <w:lang w:val="en-US" w:eastAsia="en-US" w:bidi="en-US"/>
        </w:rPr>
        <w:t>Hb</w:t>
      </w:r>
      <w:r>
        <w:rPr>
          <w:spacing w:val="0"/>
          <w:w w:val="100"/>
          <w:position w:val="0"/>
        </w:rPr>
        <w:t>的生成2。因此，罗沙司他也为功能 性铁缺乏患者提供了有效的治疗策略。</w:t>
      </w:r>
    </w:p>
    <w:p>
      <w:pPr>
        <w:pStyle w:val="Style2"/>
        <w:keepNext w:val="0"/>
        <w:keepLines w:val="0"/>
        <w:widowControl w:val="0"/>
        <w:shd w:val="clear" w:color="auto" w:fill="auto"/>
        <w:bidi w:val="0"/>
        <w:spacing w:before="0" w:after="0"/>
        <w:ind w:left="0" w:right="0" w:firstLine="0"/>
        <w:jc w:val="both"/>
        <w:rPr>
          <w:sz w:val="11"/>
          <w:szCs w:val="11"/>
        </w:rPr>
      </w:pPr>
      <w:r>
        <w:rPr>
          <w:spacing w:val="0"/>
          <w:w w:val="100"/>
          <w:position w:val="0"/>
          <w:sz w:val="18"/>
          <w:szCs w:val="18"/>
          <w:lang w:val="en-US" w:eastAsia="en-US" w:bidi="en-US"/>
        </w:rPr>
        <w:t>3.3</w:t>
      </w:r>
      <w:r>
        <w:rPr>
          <w:spacing w:val="0"/>
          <w:w w:val="100"/>
          <w:position w:val="0"/>
          <w:sz w:val="20"/>
          <w:szCs w:val="20"/>
        </w:rPr>
        <w:t>其他优势 罗沙司他半衰期为</w:t>
      </w:r>
      <w:r>
        <w:rPr>
          <w:spacing w:val="0"/>
          <w:w w:val="100"/>
          <w:position w:val="0"/>
          <w:sz w:val="18"/>
          <w:szCs w:val="18"/>
          <w:lang w:val="en-US" w:eastAsia="en-US" w:bidi="en-US"/>
        </w:rPr>
        <w:t>12.8 h,</w:t>
      </w:r>
      <w:r>
        <w:rPr>
          <w:spacing w:val="0"/>
          <w:w w:val="100"/>
          <w:position w:val="0"/>
          <w:sz w:val="20"/>
          <w:szCs w:val="20"/>
        </w:rPr>
        <w:t xml:space="preserve">胶囊剂 </w:t>
      </w:r>
      <w:r>
        <w:rPr>
          <w:spacing w:val="0"/>
          <w:w w:val="100"/>
          <w:position w:val="0"/>
          <w:sz w:val="20"/>
          <w:szCs w:val="20"/>
        </w:rPr>
        <w:t>型,每周口服给药</w:t>
      </w:r>
      <w:r>
        <w:rPr>
          <w:spacing w:val="0"/>
          <w:w w:val="100"/>
          <w:position w:val="0"/>
          <w:sz w:val="18"/>
          <w:szCs w:val="18"/>
        </w:rPr>
        <w:t>2~3</w:t>
      </w:r>
      <w:r>
        <w:rPr>
          <w:spacing w:val="0"/>
          <w:w w:val="100"/>
          <w:position w:val="0"/>
          <w:sz w:val="20"/>
          <w:szCs w:val="20"/>
        </w:rPr>
        <w:t>次,避免了频繁就医的麻烦。 罗沙司他间歇性给药方式可以长期维持治疗效果, 不会导致治疗敏感性降低。此外，还具有避免注射 痛、保存方便、不受饮食以及血液透析影响的优 占</w:t>
      </w:r>
      <w:r>
        <w:rPr>
          <w:rFonts w:ascii="Times New Roman" w:eastAsia="Times New Roman" w:hAnsi="Times New Roman" w:cs="Times New Roman"/>
          <w:spacing w:val="0"/>
          <w:w w:val="100"/>
          <w:position w:val="0"/>
          <w:sz w:val="11"/>
          <w:szCs w:val="11"/>
          <w:lang w:val="en-US" w:eastAsia="en-US" w:bidi="en-US"/>
        </w:rPr>
        <w:t>[17-18]</w:t>
      </w:r>
    </w:p>
    <w:p>
      <w:pPr>
        <w:pStyle w:val="Style32"/>
        <w:keepNext w:val="0"/>
        <w:keepLines w:val="0"/>
        <w:widowControl w:val="0"/>
        <w:shd w:val="clear" w:color="auto" w:fill="auto"/>
        <w:bidi w:val="0"/>
        <w:spacing w:before="0"/>
        <w:ind w:left="0" w:right="0"/>
        <w:jc w:val="both"/>
      </w:pPr>
      <w:r>
        <w:rPr>
          <w:rFonts w:ascii="Times New Roman" w:eastAsia="Times New Roman" w:hAnsi="Times New Roman" w:cs="Times New Roman"/>
          <w:color w:val="000000"/>
          <w:spacing w:val="0"/>
          <w:w w:val="100"/>
          <w:position w:val="0"/>
          <w:lang w:val="en-US" w:eastAsia="en-US" w:bidi="en-US"/>
        </w:rPr>
        <w:t>O</w:t>
      </w:r>
    </w:p>
    <w:p>
      <w:pPr>
        <w:pStyle w:val="Style2"/>
        <w:keepNext w:val="0"/>
        <w:keepLines w:val="0"/>
        <w:widowControl w:val="0"/>
        <w:shd w:val="clear" w:color="auto" w:fill="auto"/>
        <w:bidi w:val="0"/>
        <w:spacing w:before="0" w:after="140" w:line="360" w:lineRule="exact"/>
        <w:ind w:left="0" w:right="0" w:firstLine="0"/>
        <w:jc w:val="both"/>
      </w:pPr>
      <w:r>
        <w:rPr>
          <w:spacing w:val="0"/>
          <w:w w:val="100"/>
          <w:position w:val="0"/>
          <w:sz w:val="18"/>
          <w:szCs w:val="18"/>
        </w:rPr>
        <w:t>4</w:t>
      </w:r>
      <w:r>
        <w:rPr>
          <w:spacing w:val="0"/>
          <w:w w:val="100"/>
          <w:position w:val="0"/>
        </w:rPr>
        <w:t>罗沙司他治疗肾性贫血的潜在不良反应和注意 事项</w:t>
      </w:r>
    </w:p>
    <w:p>
      <w:pPr>
        <w:pStyle w:val="Style2"/>
        <w:keepNext w:val="0"/>
        <w:keepLines w:val="0"/>
        <w:widowControl w:val="0"/>
        <w:shd w:val="clear" w:color="auto" w:fill="auto"/>
        <w:bidi w:val="0"/>
        <w:spacing w:before="0" w:after="0" w:line="328" w:lineRule="exact"/>
        <w:ind w:left="0" w:right="0" w:firstLine="440"/>
        <w:jc w:val="both"/>
        <w:rPr>
          <w:sz w:val="18"/>
          <w:szCs w:val="18"/>
        </w:rPr>
      </w:pPr>
      <w:r>
        <w:rPr>
          <w:spacing w:val="0"/>
          <w:w w:val="100"/>
          <w:position w:val="0"/>
          <w:sz w:val="20"/>
          <w:szCs w:val="20"/>
        </w:rPr>
        <w:t>目前，罗沙司他已经在</w:t>
      </w:r>
      <w:r>
        <w:rPr>
          <w:spacing w:val="0"/>
          <w:w w:val="100"/>
          <w:position w:val="0"/>
          <w:sz w:val="18"/>
          <w:szCs w:val="18"/>
        </w:rPr>
        <w:t>20</w:t>
      </w:r>
      <w:r>
        <w:rPr>
          <w:spacing w:val="0"/>
          <w:w w:val="100"/>
          <w:position w:val="0"/>
          <w:sz w:val="20"/>
          <w:szCs w:val="20"/>
        </w:rPr>
        <w:t>余个国家开展了几十 项临床研究,但大多数临床研究随访时间较短。由 于受</w:t>
      </w:r>
      <w:r>
        <w:rPr>
          <w:spacing w:val="0"/>
          <w:w w:val="100"/>
          <w:position w:val="0"/>
          <w:sz w:val="18"/>
          <w:szCs w:val="18"/>
          <w:lang w:val="en-US" w:eastAsia="en-US" w:bidi="en-US"/>
        </w:rPr>
        <w:t>HIF</w:t>
      </w:r>
      <w:r>
        <w:rPr>
          <w:spacing w:val="0"/>
          <w:w w:val="100"/>
          <w:position w:val="0"/>
          <w:sz w:val="20"/>
          <w:szCs w:val="20"/>
        </w:rPr>
        <w:t>调控的下游靶基因众多，罗沙司他安全性 尚需更长时间和更多受试者应用以确定妈</w:t>
      </w:r>
      <w:r>
        <w:rPr>
          <w:spacing w:val="0"/>
          <w:w w:val="100"/>
          <w:position w:val="0"/>
          <w:sz w:val="18"/>
          <w:szCs w:val="18"/>
          <w:lang w:val="en-US" w:eastAsia="en-US" w:bidi="en-US"/>
        </w:rPr>
        <w:t>"I</w:t>
      </w:r>
    </w:p>
    <w:p>
      <w:pPr>
        <w:pStyle w:val="Style2"/>
        <w:keepNext w:val="0"/>
        <w:keepLines w:val="0"/>
        <w:widowControl w:val="0"/>
        <w:shd w:val="clear" w:color="auto" w:fill="auto"/>
        <w:bidi w:val="0"/>
        <w:spacing w:before="0" w:after="140" w:line="335" w:lineRule="exact"/>
        <w:ind w:left="0" w:right="0" w:firstLine="440"/>
        <w:jc w:val="both"/>
      </w:pPr>
      <w:r>
        <w:rPr>
          <w:spacing w:val="0"/>
          <w:w w:val="100"/>
          <w:position w:val="0"/>
        </w:rPr>
        <w:t>目前临床试验结果表明，与对照组（包括安慰 剂和</w:t>
      </w:r>
      <w:r>
        <w:rPr>
          <w:spacing w:val="0"/>
          <w:w w:val="100"/>
          <w:position w:val="0"/>
          <w:sz w:val="18"/>
          <w:szCs w:val="18"/>
          <w:lang w:val="en-US" w:eastAsia="en-US" w:bidi="en-US"/>
        </w:rPr>
        <w:t>ESA</w:t>
      </w:r>
      <w:r>
        <w:rPr>
          <w:spacing w:val="0"/>
          <w:w w:val="100"/>
          <w:position w:val="0"/>
        </w:rPr>
        <w:t>）相比，罗沙司他组主要不良心血管事件 （定义为全因病死率、心肌梗死或中风）发生率、眼 部疾病风险和肿瘤相关的不良事件差异无统计学 意义</w:t>
      </w:r>
      <w:r>
        <w:rPr>
          <w:spacing w:val="0"/>
          <w:w w:val="100"/>
          <w:position w:val="0"/>
          <w:lang w:val="en-US" w:eastAsia="en-US" w:bidi="en-US"/>
        </w:rPr>
        <w:t>「g</w:t>
      </w:r>
      <w:r>
        <w:rPr>
          <w:spacing w:val="0"/>
          <w:w w:val="100"/>
          <w:position w:val="0"/>
        </w:rPr>
        <w:t>气但罗沙司他治疗患者中血管通路和深静 脉血栓形成的发生率高于对照组</w:t>
      </w:r>
      <w:r>
        <w:rPr>
          <w:rFonts w:ascii="Times New Roman" w:eastAsia="Times New Roman" w:hAnsi="Times New Roman" w:cs="Times New Roman"/>
          <w:smallCaps/>
          <w:spacing w:val="0"/>
          <w:w w:val="100"/>
          <w:position w:val="0"/>
          <w:sz w:val="18"/>
          <w:szCs w:val="18"/>
          <w:lang w:val="en-US" w:eastAsia="en-US" w:bidi="en-US"/>
        </w:rPr>
        <w:t>m</w:t>
      </w:r>
      <w:r>
        <w:rPr>
          <w:smallCaps/>
          <w:spacing w:val="0"/>
          <w:w w:val="100"/>
          <w:position w:val="0"/>
          <w:lang w:val="en-US" w:eastAsia="en-US" w:bidi="en-US"/>
        </w:rPr>
        <w:t>。</w:t>
      </w:r>
      <w:r>
        <w:rPr>
          <w:spacing w:val="0"/>
          <w:w w:val="100"/>
          <w:position w:val="0"/>
        </w:rPr>
        <w:t>同时,在我国 罗沙司他的</w:t>
      </w:r>
      <w:r>
        <w:rPr>
          <w:spacing w:val="0"/>
          <w:w w:val="100"/>
          <w:position w:val="0"/>
          <w:sz w:val="18"/>
          <w:szCs w:val="18"/>
          <w:lang w:val="en-US" w:eastAsia="en-US" w:bidi="en-US"/>
        </w:rPr>
        <w:t>ID</w:t>
      </w:r>
      <w:r>
        <w:rPr>
          <w:spacing w:val="0"/>
          <w:w w:val="100"/>
          <w:position w:val="0"/>
        </w:rPr>
        <w:t>期临床试验中，罗沙司他治疗期间高 钾血症发生率高于对照组（非透析依赖患者：</w:t>
      </w:r>
      <w:r>
        <w:rPr>
          <w:spacing w:val="0"/>
          <w:w w:val="100"/>
          <w:position w:val="0"/>
          <w:sz w:val="18"/>
          <w:szCs w:val="18"/>
        </w:rPr>
        <w:t>16%</w:t>
      </w:r>
      <w:r>
        <w:rPr>
          <w:spacing w:val="0"/>
          <w:w w:val="100"/>
          <w:position w:val="0"/>
        </w:rPr>
        <w:t xml:space="preserve">比 </w:t>
      </w:r>
      <w:r>
        <w:rPr>
          <w:spacing w:val="0"/>
          <w:w w:val="100"/>
          <w:position w:val="0"/>
          <w:sz w:val="18"/>
          <w:szCs w:val="18"/>
        </w:rPr>
        <w:t>8%；</w:t>
      </w:r>
      <w:r>
        <w:rPr>
          <w:spacing w:val="0"/>
          <w:w w:val="100"/>
          <w:position w:val="0"/>
        </w:rPr>
        <w:t>透析依赖患者:</w:t>
      </w:r>
      <w:r>
        <w:rPr>
          <w:spacing w:val="0"/>
          <w:w w:val="100"/>
          <w:position w:val="0"/>
          <w:sz w:val="18"/>
          <w:szCs w:val="18"/>
        </w:rPr>
        <w:t>7.4%</w:t>
      </w:r>
      <w:r>
        <w:rPr>
          <w:spacing w:val="0"/>
          <w:w w:val="100"/>
          <w:position w:val="0"/>
        </w:rPr>
        <w:t>比</w:t>
      </w:r>
      <w:r>
        <w:rPr>
          <w:spacing w:val="0"/>
          <w:w w:val="100"/>
          <w:position w:val="0"/>
          <w:sz w:val="18"/>
          <w:szCs w:val="18"/>
        </w:rPr>
        <w:t xml:space="preserve">1%） </w:t>
      </w:r>
      <w:r>
        <w:rPr>
          <w:spacing w:val="0"/>
          <w:w w:val="100"/>
          <w:position w:val="0"/>
          <w:sz w:val="18"/>
          <w:szCs w:val="18"/>
          <w:lang w:val="en-US" w:eastAsia="en-US" w:bidi="en-US"/>
        </w:rPr>
        <w:t xml:space="preserve">R </w:t>
      </w:r>
      <w:r>
        <w:rPr>
          <w:spacing w:val="0"/>
          <w:w w:val="100"/>
          <w:position w:val="0"/>
          <w:sz w:val="18"/>
          <w:szCs w:val="18"/>
          <w:vertAlign w:val="superscript"/>
        </w:rPr>
        <w:t>101</w:t>
      </w:r>
      <w:r>
        <w:rPr>
          <w:spacing w:val="0"/>
          <w:w w:val="100"/>
          <w:position w:val="0"/>
          <w:sz w:val="18"/>
          <w:szCs w:val="18"/>
        </w:rPr>
        <w:t xml:space="preserve"> </w:t>
      </w:r>
      <w:r>
        <w:rPr>
          <w:spacing w:val="0"/>
          <w:w w:val="100"/>
          <w:position w:val="0"/>
          <w:sz w:val="18"/>
          <w:szCs w:val="18"/>
          <w:vertAlign w:val="subscript"/>
          <w:lang w:val="en-US" w:eastAsia="en-US" w:bidi="en-US"/>
        </w:rPr>
        <w:t>o</w:t>
      </w:r>
      <w:r>
        <w:rPr>
          <w:spacing w:val="0"/>
          <w:w w:val="100"/>
          <w:position w:val="0"/>
        </w:rPr>
        <w:t xml:space="preserve">此外，罗沙司 他治疗组患者的惊厥发作、严重感染及致死性感染 的发生率均高于对照组⑴。目前，罗沙司他治疗期 间高钾血症、惊厥发作和严重感染的发生原因尚不 明确。基于以上证据，本共识建议在罗沙司他起始 治疗时评估肿瘤风险，治疗期间定期评估高血压、 高钾血症、心血管事件、视网膜病变、肿瘤、血栓相 关事件、惊厥发作、严重感染和肾囊肿生长等风险 </w:t>
      </w:r>
      <w:r>
        <w:rPr>
          <w:spacing w:val="0"/>
          <w:w w:val="100"/>
          <w:position w:val="0"/>
          <w:sz w:val="18"/>
          <w:szCs w:val="18"/>
        </w:rPr>
        <w:t>（2,</w:t>
      </w:r>
      <w:r>
        <w:rPr>
          <w:spacing w:val="0"/>
          <w:w w:val="100"/>
          <w:position w:val="0"/>
        </w:rPr>
        <w:t>未分级）。</w:t>
      </w:r>
    </w:p>
    <w:p>
      <w:pPr>
        <w:pStyle w:val="Style2"/>
        <w:keepNext w:val="0"/>
        <w:keepLines w:val="0"/>
        <w:widowControl w:val="0"/>
        <w:shd w:val="clear" w:color="auto" w:fill="auto"/>
        <w:bidi w:val="0"/>
        <w:spacing w:before="0" w:after="140" w:line="335" w:lineRule="exact"/>
        <w:ind w:left="0" w:right="0" w:firstLine="0"/>
        <w:jc w:val="both"/>
      </w:pPr>
      <w:r>
        <w:rPr>
          <w:spacing w:val="0"/>
          <w:w w:val="100"/>
          <w:position w:val="0"/>
          <w:sz w:val="18"/>
          <w:szCs w:val="18"/>
        </w:rPr>
        <w:t>5</w:t>
      </w:r>
      <w:r>
        <w:rPr>
          <w:spacing w:val="0"/>
          <w:w w:val="100"/>
          <w:position w:val="0"/>
        </w:rPr>
        <w:t>药物间相互作用</w:t>
      </w:r>
    </w:p>
    <w:p>
      <w:pPr>
        <w:pStyle w:val="Style2"/>
        <w:keepNext w:val="0"/>
        <w:keepLines w:val="0"/>
        <w:widowControl w:val="0"/>
        <w:shd w:val="clear" w:color="auto" w:fill="auto"/>
        <w:bidi w:val="0"/>
        <w:spacing w:before="0" w:after="140" w:line="334" w:lineRule="exact"/>
        <w:ind w:left="0" w:right="0" w:firstLine="440"/>
        <w:jc w:val="both"/>
      </w:pPr>
      <w:r>
        <w:rPr>
          <w:spacing w:val="0"/>
          <w:w w:val="100"/>
          <w:position w:val="0"/>
        </w:rPr>
        <w:t>药物间相互作用是罗沙司他应用中需要注意 的问题。罗沙司他与他汀类药物联用时可导致他 汀类药物曲线下面积和峰浓度增加；与碳酸司维拉 姆、醋酸钙和硫酸亚铁合用时，可降低罗沙司他的 血药浓度;与丙璜舒和吉非罗齐合用则增加其血药 浓度。因此，本共识建议所有可导致罗沙司他血药 浓度下降的药物，与罗沙司他服用间隔应超过</w:t>
      </w:r>
      <w:r>
        <w:rPr>
          <w:spacing w:val="0"/>
          <w:w w:val="100"/>
          <w:position w:val="0"/>
          <w:sz w:val="18"/>
          <w:szCs w:val="18"/>
        </w:rPr>
        <w:t xml:space="preserve">1 </w:t>
      </w:r>
      <w:r>
        <w:rPr>
          <w:spacing w:val="0"/>
          <w:w w:val="100"/>
          <w:position w:val="0"/>
          <w:sz w:val="18"/>
          <w:szCs w:val="18"/>
          <w:lang w:val="en-US" w:eastAsia="en-US" w:bidi="en-US"/>
        </w:rPr>
        <w:t>h</w:t>
      </w:r>
      <w:r>
        <w:rPr>
          <w:spacing w:val="0"/>
          <w:w w:val="100"/>
          <w:position w:val="0"/>
          <w:lang w:val="en-US" w:eastAsia="en-US" w:bidi="en-US"/>
        </w:rPr>
        <w:t>。</w:t>
      </w:r>
    </w:p>
    <w:p>
      <w:pPr>
        <w:pStyle w:val="Style2"/>
        <w:keepNext w:val="0"/>
        <w:keepLines w:val="0"/>
        <w:widowControl w:val="0"/>
        <w:shd w:val="clear" w:color="auto" w:fill="auto"/>
        <w:bidi w:val="0"/>
        <w:spacing w:before="0" w:after="140" w:line="335" w:lineRule="exact"/>
        <w:ind w:left="0" w:right="0" w:firstLine="0"/>
        <w:jc w:val="both"/>
      </w:pPr>
      <w:r>
        <w:rPr>
          <w:spacing w:val="0"/>
          <w:w w:val="100"/>
          <w:position w:val="0"/>
          <w:sz w:val="18"/>
          <w:szCs w:val="18"/>
        </w:rPr>
        <w:t>6</w:t>
      </w:r>
      <w:r>
        <w:rPr>
          <w:spacing w:val="0"/>
          <w:w w:val="100"/>
          <w:position w:val="0"/>
        </w:rPr>
        <w:t>结语</w:t>
      </w:r>
    </w:p>
    <w:p>
      <w:pPr>
        <w:pStyle w:val="Style2"/>
        <w:keepNext w:val="0"/>
        <w:keepLines w:val="0"/>
        <w:widowControl w:val="0"/>
        <w:shd w:val="clear" w:color="auto" w:fill="auto"/>
        <w:bidi w:val="0"/>
        <w:spacing w:before="0" w:after="0" w:line="355" w:lineRule="exact"/>
        <w:ind w:left="0" w:right="0" w:firstLine="440"/>
        <w:jc w:val="both"/>
      </w:pPr>
      <w:r>
        <w:rPr>
          <w:spacing w:val="0"/>
          <w:w w:val="100"/>
          <w:position w:val="0"/>
        </w:rPr>
        <w:t>我国</w:t>
      </w:r>
      <w:r>
        <w:rPr>
          <w:spacing w:val="0"/>
          <w:w w:val="100"/>
          <w:position w:val="0"/>
          <w:sz w:val="18"/>
          <w:szCs w:val="18"/>
          <w:lang w:val="en-US" w:eastAsia="en-US" w:bidi="en-US"/>
        </w:rPr>
        <w:t>CKD</w:t>
      </w:r>
      <w:r>
        <w:rPr>
          <w:spacing w:val="0"/>
          <w:w w:val="100"/>
          <w:position w:val="0"/>
        </w:rPr>
        <w:t xml:space="preserve">贫血发生率高，但治疗率与达标率仍 较低。近年来肾性贫血治疗取得重要进展。我国 </w:t>
      </w:r>
      <w:r>
        <w:rPr>
          <w:spacing w:val="0"/>
          <w:w w:val="100"/>
          <w:position w:val="0"/>
        </w:rPr>
        <w:t>最早上市使用罗沙司他，是临床应用积累病例数最 多的国家，取得了一定的临床经验。期待《罗沙司 他治疗肾性贫血中国专家共识》的发表将有助于肾 性贫血疗效的改善，更好地指导临床用药，优化肾 性贫血治疗策略,改善患者预后。</w:t>
      </w:r>
    </w:p>
    <w:p>
      <w:pPr>
        <w:pStyle w:val="Style2"/>
        <w:keepNext w:val="0"/>
        <w:keepLines w:val="0"/>
        <w:widowControl w:val="0"/>
        <w:shd w:val="clear" w:color="auto" w:fill="auto"/>
        <w:bidi w:val="0"/>
        <w:spacing w:before="0" w:after="200" w:line="337" w:lineRule="exact"/>
        <w:ind w:left="0" w:right="0" w:firstLine="420"/>
        <w:jc w:val="both"/>
      </w:pPr>
      <w:r>
        <w:rPr>
          <w:spacing w:val="0"/>
          <w:w w:val="100"/>
          <w:position w:val="0"/>
        </w:rPr>
        <w:t>志谢:感谢中国健康促进基金会医疗服务能力 建设专项基金之“慧研卓识</w:t>
      </w:r>
      <w:r>
        <w:rPr>
          <w:spacing w:val="0"/>
          <w:w w:val="100"/>
          <w:position w:val="0"/>
          <w:lang w:val="zh-CN" w:eastAsia="zh-CN" w:bidi="zh-CN"/>
        </w:rPr>
        <w:t>”期</w:t>
      </w:r>
      <w:r>
        <w:rPr>
          <w:spacing w:val="0"/>
          <w:w w:val="100"/>
          <w:position w:val="0"/>
        </w:rPr>
        <w:t>刊战略合作项目的 公益支持！</w:t>
      </w:r>
    </w:p>
    <w:p>
      <w:pPr>
        <w:pStyle w:val="Style16"/>
        <w:keepNext w:val="0"/>
        <w:keepLines w:val="0"/>
        <w:widowControl w:val="0"/>
        <w:shd w:val="clear" w:color="auto" w:fill="auto"/>
        <w:bidi w:val="0"/>
        <w:spacing w:before="0" w:after="160"/>
        <w:ind w:left="0" w:right="0" w:firstLine="0"/>
        <w:jc w:val="both"/>
        <w:rPr>
          <w:sz w:val="17"/>
          <w:szCs w:val="17"/>
        </w:rPr>
      </w:pPr>
      <w:r>
        <w:rPr>
          <w:spacing w:val="0"/>
          <w:w w:val="100"/>
          <w:position w:val="0"/>
          <w:sz w:val="17"/>
          <w:szCs w:val="17"/>
        </w:rPr>
        <w:t>参考文献</w:t>
      </w:r>
    </w:p>
    <w:p>
      <w:pPr>
        <w:pStyle w:val="Style26"/>
        <w:keepNext w:val="0"/>
        <w:keepLines w:val="0"/>
        <w:widowControl w:val="0"/>
        <w:numPr>
          <w:ilvl w:val="0"/>
          <w:numId w:val="1"/>
        </w:numPr>
        <w:shd w:val="clear" w:color="auto" w:fill="auto"/>
        <w:tabs>
          <w:tab w:pos="332" w:val="left"/>
        </w:tabs>
        <w:bidi w:val="0"/>
        <w:spacing w:before="0" w:after="0" w:line="288" w:lineRule="exact"/>
        <w:ind w:left="320" w:right="0" w:hanging="320"/>
        <w:jc w:val="both"/>
      </w:pPr>
      <w:bookmarkStart w:id="6" w:name="bookmark6"/>
      <w:bookmarkEnd w:id="6"/>
      <w:r>
        <w:rPr>
          <w:spacing w:val="0"/>
          <w:w w:val="100"/>
          <w:position w:val="0"/>
          <w:lang w:val="en-US" w:eastAsia="en-US" w:bidi="en-US"/>
        </w:rPr>
        <w:t>Li Y, Shi H, Wang WM, et al. Prevalence ,awareness, and treatment of anemia in Chinese patients with nondialysis chronic kidney disease</w:t>
      </w:r>
      <w:r>
        <w:rPr>
          <w:spacing w:val="0"/>
          <w:w w:val="100"/>
          <w:position w:val="0"/>
          <w:lang w:val="zh-TW" w:eastAsia="zh-TW" w:bidi="zh-TW"/>
        </w:rPr>
        <w:t xml:space="preserve">: </w:t>
      </w:r>
      <w:r>
        <w:rPr>
          <w:spacing w:val="0"/>
          <w:w w:val="100"/>
          <w:position w:val="0"/>
          <w:lang w:val="en-US" w:eastAsia="en-US" w:bidi="en-US"/>
        </w:rPr>
        <w:t>first multicenter, cross— sectional study [j]. Medicine (Baltimore), 2016, 95(24)： e3872.</w:t>
      </w:r>
    </w:p>
    <w:p>
      <w:pPr>
        <w:pStyle w:val="Style16"/>
        <w:keepNext w:val="0"/>
        <w:keepLines w:val="0"/>
        <w:widowControl w:val="0"/>
        <w:shd w:val="clear" w:color="auto" w:fill="auto"/>
        <w:bidi w:val="0"/>
        <w:spacing w:before="0" w:after="0"/>
        <w:ind w:right="0" w:hanging="320"/>
        <w:jc w:val="both"/>
        <w:rPr>
          <w:sz w:val="12"/>
          <w:szCs w:val="12"/>
        </w:rPr>
      </w:pPr>
      <w:bookmarkStart w:id="7" w:name="bookmark7"/>
      <w:r>
        <w:rPr>
          <w:spacing w:val="0"/>
          <w:w w:val="100"/>
          <w:position w:val="0"/>
          <w:sz w:val="12"/>
          <w:szCs w:val="12"/>
          <w:lang w:val="en-US" w:eastAsia="en-US" w:bidi="en-US"/>
        </w:rPr>
        <w:t>：</w:t>
      </w:r>
      <w:bookmarkEnd w:id="7"/>
      <w:r>
        <w:rPr>
          <w:spacing w:val="0"/>
          <w:w w:val="100"/>
          <w:position w:val="0"/>
          <w:sz w:val="12"/>
          <w:szCs w:val="12"/>
          <w:lang w:val="en-US" w:eastAsia="en-US" w:bidi="en-US"/>
        </w:rPr>
        <w:t>2]</w:t>
      </w:r>
      <w:r>
        <w:rPr>
          <w:spacing w:val="0"/>
          <w:w w:val="100"/>
          <w:position w:val="0"/>
          <w:sz w:val="16"/>
          <w:szCs w:val="16"/>
        </w:rPr>
        <w:t>中国医师协会肾脏内科医师分会肾性贫血指南工作组.中国肾 性贫血诊治临床实践指南</w:t>
      </w:r>
      <w:r>
        <w:rPr>
          <w:spacing w:val="0"/>
          <w:w w:val="100"/>
          <w:position w:val="0"/>
          <w:sz w:val="12"/>
          <w:szCs w:val="12"/>
          <w:lang w:val="en-US" w:eastAsia="en-US" w:bidi="en-US"/>
        </w:rPr>
        <w:t>[J].</w:t>
      </w:r>
      <w:r>
        <w:rPr>
          <w:spacing w:val="0"/>
          <w:w w:val="100"/>
          <w:position w:val="0"/>
          <w:sz w:val="16"/>
          <w:szCs w:val="16"/>
        </w:rPr>
        <w:t>中华医学杂志，</w:t>
      </w:r>
      <w:r>
        <w:rPr>
          <w:spacing w:val="0"/>
          <w:w w:val="100"/>
          <w:position w:val="0"/>
          <w:sz w:val="12"/>
          <w:szCs w:val="12"/>
        </w:rPr>
        <w:t xml:space="preserve">2021, 101 (20)： </w:t>
      </w:r>
      <w:r>
        <w:rPr>
          <w:spacing w:val="0"/>
          <w:w w:val="100"/>
          <w:position w:val="0"/>
          <w:sz w:val="12"/>
          <w:szCs w:val="12"/>
          <w:lang w:val="en-US" w:eastAsia="en-US" w:bidi="en-US"/>
        </w:rPr>
        <w:t>1463-1502.</w:t>
      </w:r>
    </w:p>
    <w:p>
      <w:pPr>
        <w:pStyle w:val="Style26"/>
        <w:keepNext w:val="0"/>
        <w:keepLines w:val="0"/>
        <w:widowControl w:val="0"/>
        <w:numPr>
          <w:ilvl w:val="0"/>
          <w:numId w:val="3"/>
        </w:numPr>
        <w:shd w:val="clear" w:color="auto" w:fill="auto"/>
        <w:tabs>
          <w:tab w:pos="337" w:val="left"/>
        </w:tabs>
        <w:bidi w:val="0"/>
        <w:spacing w:before="0" w:after="0" w:line="287" w:lineRule="exact"/>
        <w:ind w:left="320" w:right="0" w:hanging="320"/>
        <w:jc w:val="both"/>
      </w:pPr>
      <w:bookmarkStart w:id="8" w:name="bookmark8"/>
      <w:bookmarkEnd w:id="8"/>
      <w:r>
        <w:rPr>
          <w:spacing w:val="0"/>
          <w:w w:val="100"/>
          <w:position w:val="0"/>
          <w:lang w:val="en-US" w:eastAsia="en-US" w:bidi="en-US"/>
        </w:rPr>
        <w:t>Koulouridis I, Alfayez M</w:t>
      </w:r>
      <w:r>
        <w:rPr>
          <w:spacing w:val="0"/>
          <w:w w:val="100"/>
          <w:position w:val="0"/>
          <w:lang w:val="zh-TW" w:eastAsia="zh-TW" w:bidi="zh-TW"/>
        </w:rPr>
        <w:t xml:space="preserve">, </w:t>
      </w:r>
      <w:r>
        <w:rPr>
          <w:spacing w:val="0"/>
          <w:w w:val="100"/>
          <w:position w:val="0"/>
          <w:lang w:val="en-US" w:eastAsia="en-US" w:bidi="en-US"/>
        </w:rPr>
        <w:t>Trikali nos TA, et al. Dose of eiythropoiesis—stimulating agents and adverse outcomes in CKD</w:t>
      </w:r>
      <w:r>
        <w:rPr>
          <w:spacing w:val="0"/>
          <w:w w:val="100"/>
          <w:position w:val="0"/>
          <w:lang w:val="zh-TW" w:eastAsia="zh-TW" w:bidi="zh-TW"/>
        </w:rPr>
        <w:t xml:space="preserve">: </w:t>
      </w:r>
      <w:r>
        <w:rPr>
          <w:spacing w:val="0"/>
          <w:w w:val="100"/>
          <w:position w:val="0"/>
          <w:lang w:val="en-US" w:eastAsia="en-US" w:bidi="en-US"/>
        </w:rPr>
        <w:t>a meta— regression analysis [j]. Am J Kidney Dis, 2013, 61 (1)： 44-56.</w:t>
      </w:r>
    </w:p>
    <w:p>
      <w:pPr>
        <w:pStyle w:val="Style26"/>
        <w:keepNext w:val="0"/>
        <w:keepLines w:val="0"/>
        <w:widowControl w:val="0"/>
        <w:numPr>
          <w:ilvl w:val="0"/>
          <w:numId w:val="3"/>
        </w:numPr>
        <w:shd w:val="clear" w:color="auto" w:fill="auto"/>
        <w:tabs>
          <w:tab w:pos="337" w:val="left"/>
        </w:tabs>
        <w:bidi w:val="0"/>
        <w:spacing w:before="0" w:after="0" w:line="287" w:lineRule="exact"/>
        <w:ind w:left="320" w:right="0" w:hanging="320"/>
        <w:jc w:val="both"/>
      </w:pPr>
      <w:bookmarkStart w:id="9" w:name="bookmark9"/>
      <w:bookmarkEnd w:id="9"/>
      <w:r>
        <w:rPr>
          <w:spacing w:val="0"/>
          <w:w w:val="100"/>
          <w:position w:val="0"/>
          <w:lang w:val="en-US" w:eastAsia="en-US" w:bidi="en-US"/>
        </w:rPr>
        <w:t>Hung SC, Lin YP, Tamg DC. Eiytliropoiesis—stimulating agents in chronic kidney disease</w:t>
      </w:r>
      <w:r>
        <w:rPr>
          <w:spacing w:val="0"/>
          <w:w w:val="100"/>
          <w:position w:val="0"/>
          <w:lang w:val="zh-TW" w:eastAsia="zh-TW" w:bidi="zh-TW"/>
        </w:rPr>
        <w:t xml:space="preserve">: </w:t>
      </w:r>
      <w:r>
        <w:rPr>
          <w:spacing w:val="0"/>
          <w:w w:val="100"/>
          <w:position w:val="0"/>
          <w:lang w:val="en-US" w:eastAsia="en-US" w:bidi="en-US"/>
        </w:rPr>
        <w:t>what have we learned in 25 years? [j]. J Formos Med Assoc, 2014, 113(1)： 3-10.</w:t>
      </w:r>
    </w:p>
    <w:p>
      <w:pPr>
        <w:pStyle w:val="Style26"/>
        <w:keepNext w:val="0"/>
        <w:keepLines w:val="0"/>
        <w:widowControl w:val="0"/>
        <w:numPr>
          <w:ilvl w:val="0"/>
          <w:numId w:val="3"/>
        </w:numPr>
        <w:shd w:val="clear" w:color="auto" w:fill="auto"/>
        <w:tabs>
          <w:tab w:pos="337" w:val="left"/>
        </w:tabs>
        <w:bidi w:val="0"/>
        <w:spacing w:before="0" w:after="0" w:line="287" w:lineRule="exact"/>
        <w:ind w:left="320" w:right="0" w:hanging="320"/>
        <w:jc w:val="both"/>
      </w:pPr>
      <w:bookmarkStart w:id="10" w:name="bookmark10"/>
      <w:bookmarkEnd w:id="10"/>
      <w:r>
        <w:rPr>
          <w:spacing w:val="0"/>
          <w:w w:val="100"/>
          <w:position w:val="0"/>
          <w:lang w:val="en-US" w:eastAsia="en-US" w:bidi="en-US"/>
        </w:rPr>
        <w:t>Li ZL, Wang B, Wen Y, et al. Disturbance of hypoxia response and its implications in kidney diseases [ J ]. Antioxid Redox Signal, 2022, Online ahead of print.</w:t>
      </w:r>
    </w:p>
    <w:p>
      <w:pPr>
        <w:pStyle w:val="Style26"/>
        <w:keepNext w:val="0"/>
        <w:keepLines w:val="0"/>
        <w:widowControl w:val="0"/>
        <w:numPr>
          <w:ilvl w:val="0"/>
          <w:numId w:val="3"/>
        </w:numPr>
        <w:shd w:val="clear" w:color="auto" w:fill="auto"/>
        <w:tabs>
          <w:tab w:pos="337" w:val="left"/>
        </w:tabs>
        <w:bidi w:val="0"/>
        <w:spacing w:before="0" w:after="0" w:line="287" w:lineRule="exact"/>
        <w:ind w:left="320" w:right="0" w:hanging="320"/>
        <w:jc w:val="both"/>
      </w:pPr>
      <w:bookmarkStart w:id="11" w:name="bookmark11"/>
      <w:bookmarkEnd w:id="11"/>
      <w:r>
        <w:rPr>
          <w:spacing w:val="0"/>
          <w:w w:val="100"/>
          <w:position w:val="0"/>
          <w:lang w:val="en-US" w:eastAsia="en-US" w:bidi="en-US"/>
        </w:rPr>
        <w:t>Wang L, Yin H, Yang L, et al. The efficacy and safety of Roxadustat for anemia in patients with chronic kidney disease</w:t>
      </w:r>
      <w:r>
        <w:rPr>
          <w:spacing w:val="0"/>
          <w:w w:val="100"/>
          <w:position w:val="0"/>
          <w:lang w:val="zh-TW" w:eastAsia="zh-TW" w:bidi="zh-TW"/>
        </w:rPr>
        <w:t xml:space="preserve">: </w:t>
      </w:r>
      <w:r>
        <w:rPr>
          <w:spacing w:val="0"/>
          <w:w w:val="100"/>
          <w:position w:val="0"/>
          <w:lang w:val="en-US" w:eastAsia="en-US" w:bidi="en-US"/>
        </w:rPr>
        <w:t>a meta-analysis [ J ]. Front Pharmacol, 2022, 13： 779694.</w:t>
      </w:r>
    </w:p>
    <w:p>
      <w:pPr>
        <w:pStyle w:val="Style16"/>
        <w:keepNext w:val="0"/>
        <w:keepLines w:val="0"/>
        <w:widowControl w:val="0"/>
        <w:shd w:val="clear" w:color="auto" w:fill="auto"/>
        <w:bidi w:val="0"/>
        <w:spacing w:before="0" w:after="0"/>
        <w:ind w:right="0" w:hanging="320"/>
        <w:jc w:val="both"/>
        <w:rPr>
          <w:sz w:val="12"/>
          <w:szCs w:val="12"/>
        </w:rPr>
      </w:pPr>
      <w:bookmarkStart w:id="12" w:name="bookmark12"/>
      <w:r>
        <w:rPr>
          <w:spacing w:val="0"/>
          <w:w w:val="100"/>
          <w:position w:val="0"/>
          <w:sz w:val="12"/>
          <w:szCs w:val="12"/>
          <w:lang w:val="en-US" w:eastAsia="en-US" w:bidi="en-US"/>
        </w:rPr>
        <w:t>：</w:t>
      </w:r>
      <w:bookmarkEnd w:id="12"/>
      <w:r>
        <w:rPr>
          <w:spacing w:val="0"/>
          <w:w w:val="100"/>
          <w:position w:val="0"/>
          <w:sz w:val="12"/>
          <w:szCs w:val="12"/>
          <w:lang w:val="en-US" w:eastAsia="en-US" w:bidi="en-US"/>
        </w:rPr>
        <w:t>7]</w:t>
      </w:r>
      <w:r>
        <w:rPr>
          <w:spacing w:val="0"/>
          <w:w w:val="100"/>
          <w:position w:val="0"/>
          <w:sz w:val="16"/>
          <w:szCs w:val="16"/>
        </w:rPr>
        <w:t>中国研究型医院学会肾脏病学专业委员会.罗沙司他治疗肾性 贫血中国专家共识</w:t>
      </w:r>
      <w:r>
        <w:rPr>
          <w:spacing w:val="0"/>
          <w:w w:val="100"/>
          <w:position w:val="0"/>
          <w:sz w:val="12"/>
          <w:szCs w:val="12"/>
          <w:lang w:val="en-US" w:eastAsia="en-US" w:bidi="en-US"/>
        </w:rPr>
        <w:t>[J].</w:t>
      </w:r>
      <w:r>
        <w:rPr>
          <w:spacing w:val="0"/>
          <w:w w:val="100"/>
          <w:position w:val="0"/>
          <w:sz w:val="16"/>
          <w:szCs w:val="16"/>
        </w:rPr>
        <w:t>中华医学杂志，</w:t>
      </w:r>
      <w:r>
        <w:rPr>
          <w:spacing w:val="0"/>
          <w:w w:val="100"/>
          <w:position w:val="0"/>
          <w:sz w:val="12"/>
          <w:szCs w:val="12"/>
        </w:rPr>
        <w:t xml:space="preserve">2022, 102(24): </w:t>
      </w:r>
      <w:r>
        <w:rPr>
          <w:spacing w:val="0"/>
          <w:w w:val="100"/>
          <w:position w:val="0"/>
          <w:sz w:val="12"/>
          <w:szCs w:val="12"/>
          <w:lang w:val="en-US" w:eastAsia="en-US" w:bidi="en-US"/>
        </w:rPr>
        <w:t>1802- 1810.</w:t>
      </w:r>
    </w:p>
    <w:p>
      <w:pPr>
        <w:pStyle w:val="Style26"/>
        <w:keepNext w:val="0"/>
        <w:keepLines w:val="0"/>
        <w:widowControl w:val="0"/>
        <w:numPr>
          <w:ilvl w:val="0"/>
          <w:numId w:val="5"/>
        </w:numPr>
        <w:shd w:val="clear" w:color="auto" w:fill="auto"/>
        <w:tabs>
          <w:tab w:pos="337" w:val="left"/>
        </w:tabs>
        <w:bidi w:val="0"/>
        <w:spacing w:before="0" w:after="0" w:line="286" w:lineRule="exact"/>
        <w:ind w:left="320" w:right="0" w:hanging="320"/>
        <w:jc w:val="both"/>
      </w:pPr>
      <w:bookmarkStart w:id="13" w:name="bookmark13"/>
      <w:bookmarkEnd w:id="13"/>
      <w:r>
        <w:rPr>
          <w:spacing w:val="0"/>
          <w:w w:val="100"/>
          <w:position w:val="0"/>
          <w:lang w:val="en-US" w:eastAsia="en-US" w:bidi="en-US"/>
        </w:rPr>
        <w:t>Chen N</w:t>
      </w:r>
      <w:r>
        <w:rPr>
          <w:spacing w:val="0"/>
          <w:w w:val="100"/>
          <w:position w:val="0"/>
          <w:lang w:val="zh-TW" w:eastAsia="zh-TW" w:bidi="zh-TW"/>
        </w:rPr>
        <w:t xml:space="preserve">, </w:t>
      </w:r>
      <w:r>
        <w:rPr>
          <w:spacing w:val="0"/>
          <w:w w:val="100"/>
          <w:position w:val="0"/>
          <w:lang w:val="en-US" w:eastAsia="en-US" w:bidi="en-US"/>
        </w:rPr>
        <w:t xml:space="preserve">Hao C </w:t>
      </w:r>
      <w:r>
        <w:rPr>
          <w:spacing w:val="0"/>
          <w:w w:val="100"/>
          <w:position w:val="0"/>
          <w:lang w:val="zh-TW" w:eastAsia="zh-TW" w:bidi="zh-TW"/>
        </w:rPr>
        <w:t xml:space="preserve">, </w:t>
      </w:r>
      <w:r>
        <w:rPr>
          <w:spacing w:val="0"/>
          <w:w w:val="100"/>
          <w:position w:val="0"/>
          <w:lang w:val="en-US" w:eastAsia="en-US" w:bidi="en-US"/>
        </w:rPr>
        <w:t>Liu BC, et al. Roxadustat treatment for anemia in patients undergoing long-term dialysis [j]. N Engl J Med, 2019, 381(11)： 1011-1022.</w:t>
      </w:r>
    </w:p>
    <w:p>
      <w:pPr>
        <w:pStyle w:val="Style26"/>
        <w:keepNext w:val="0"/>
        <w:keepLines w:val="0"/>
        <w:widowControl w:val="0"/>
        <w:numPr>
          <w:ilvl w:val="0"/>
          <w:numId w:val="5"/>
        </w:numPr>
        <w:shd w:val="clear" w:color="auto" w:fill="auto"/>
        <w:tabs>
          <w:tab w:pos="337" w:val="left"/>
        </w:tabs>
        <w:bidi w:val="0"/>
        <w:spacing w:before="0" w:after="0" w:line="286" w:lineRule="exact"/>
        <w:ind w:left="320" w:right="0" w:hanging="320"/>
        <w:jc w:val="both"/>
      </w:pPr>
      <w:bookmarkStart w:id="14" w:name="bookmark14"/>
      <w:bookmarkEnd w:id="14"/>
      <w:r>
        <w:rPr>
          <w:spacing w:val="0"/>
          <w:w w:val="100"/>
          <w:position w:val="0"/>
          <w:lang w:val="en-US" w:eastAsia="en-US" w:bidi="en-US"/>
        </w:rPr>
        <w:t>Akizawa T, Iwasaki M, Yamaguchi Y, et al. Phase 3, randomized, double—blind, active— comparator (Darbepoetin alfa) study of oral Roxadustat in CKD patients with anemia on hemodialysis in Japan [j]. J Am Soc Nephrol, 2020, 31(7)： 1628-1639.</w:t>
      </w:r>
    </w:p>
    <w:p>
      <w:pPr>
        <w:pStyle w:val="Style26"/>
        <w:keepNext w:val="0"/>
        <w:keepLines w:val="0"/>
        <w:widowControl w:val="0"/>
        <w:numPr>
          <w:ilvl w:val="0"/>
          <w:numId w:val="5"/>
        </w:numPr>
        <w:shd w:val="clear" w:color="auto" w:fill="auto"/>
        <w:tabs>
          <w:tab w:pos="418" w:val="left"/>
        </w:tabs>
        <w:bidi w:val="0"/>
        <w:spacing w:before="0" w:after="0" w:line="286" w:lineRule="exact"/>
        <w:ind w:left="400" w:right="0" w:hanging="400"/>
        <w:jc w:val="both"/>
      </w:pPr>
      <w:bookmarkStart w:id="15" w:name="bookmark15"/>
      <w:bookmarkEnd w:id="15"/>
      <w:r>
        <w:rPr>
          <w:spacing w:val="0"/>
          <w:w w:val="100"/>
          <w:position w:val="0"/>
          <w:lang w:val="en-US" w:eastAsia="en-US" w:bidi="en-US"/>
        </w:rPr>
        <w:t>Chen N, Hao C, Peng X, et al. Roxadustat for anemia in patients with kidney disease not receiving dialysis [J]. N Engl J Med, 2019, 381(11)： 1001-1010.</w:t>
      </w:r>
    </w:p>
    <w:p>
      <w:pPr>
        <w:pStyle w:val="Style26"/>
        <w:keepNext w:val="0"/>
        <w:keepLines w:val="0"/>
        <w:widowControl w:val="0"/>
        <w:numPr>
          <w:ilvl w:val="0"/>
          <w:numId w:val="1"/>
        </w:numPr>
        <w:shd w:val="clear" w:color="auto" w:fill="auto"/>
        <w:tabs>
          <w:tab w:pos="418" w:val="left"/>
        </w:tabs>
        <w:bidi w:val="0"/>
        <w:spacing w:before="0" w:after="180" w:line="286" w:lineRule="exact"/>
        <w:ind w:left="400" w:right="0" w:hanging="400"/>
        <w:jc w:val="both"/>
      </w:pPr>
      <w:bookmarkStart w:id="16" w:name="bookmark16"/>
      <w:bookmarkEnd w:id="16"/>
      <w:r>
        <w:rPr>
          <w:spacing w:val="0"/>
          <w:w w:val="100"/>
          <w:position w:val="0"/>
          <w:lang w:val="en-US" w:eastAsia="en-US" w:bidi="en-US"/>
        </w:rPr>
        <w:t xml:space="preserve">Provenzano R, Sliutov E, Eremeeva L, et al. Roxadustat for anemia in patients with end— stage renal disease incident to dialysis [j]. Nephrol Dial Transplant, 2021, 36(9) </w:t>
      </w:r>
      <w:r>
        <w:rPr>
          <w:spacing w:val="0"/>
          <w:w w:val="100"/>
          <w:position w:val="0"/>
          <w:lang w:val="zh-CN" w:eastAsia="zh-CN" w:bidi="zh-CN"/>
        </w:rPr>
        <w:t xml:space="preserve">: </w:t>
      </w:r>
      <w:r>
        <w:rPr>
          <w:spacing w:val="0"/>
          <w:w w:val="100"/>
          <w:position w:val="0"/>
          <w:lang w:val="en-US" w:eastAsia="en-US" w:bidi="en-US"/>
        </w:rPr>
        <w:t>1717- 1730.</w:t>
      </w:r>
    </w:p>
    <w:p>
      <w:pPr>
        <w:pStyle w:val="Style26"/>
        <w:keepNext w:val="0"/>
        <w:keepLines w:val="0"/>
        <w:widowControl w:val="0"/>
        <w:numPr>
          <w:ilvl w:val="0"/>
          <w:numId w:val="7"/>
        </w:numPr>
        <w:shd w:val="clear" w:color="auto" w:fill="auto"/>
        <w:tabs>
          <w:tab w:pos="423" w:val="left"/>
        </w:tabs>
        <w:bidi w:val="0"/>
        <w:spacing w:before="0" w:after="0" w:line="287" w:lineRule="exact"/>
        <w:ind w:left="380" w:right="0" w:hanging="380"/>
        <w:jc w:val="both"/>
      </w:pPr>
      <w:bookmarkStart w:id="17" w:name="bookmark17"/>
      <w:bookmarkEnd w:id="17"/>
      <w:r>
        <w:rPr>
          <w:spacing w:val="0"/>
          <w:w w:val="100"/>
          <w:position w:val="0"/>
          <w:lang w:val="en-US" w:eastAsia="en-US" w:bidi="en-US"/>
        </w:rPr>
        <w:t>Yan Z, Xu G. A novel choice to correct inflammation— induced anemia in CKD： oral hypoxia—inducible factor prolyl hydroxylase inhibitor Roxadustat [j]. Front Med (Lausanne) , 2020, 7</w:t>
      </w:r>
      <w:r>
        <w:rPr>
          <w:spacing w:val="0"/>
          <w:w w:val="100"/>
          <w:position w:val="0"/>
          <w:lang w:val="zh-TW" w:eastAsia="zh-TW" w:bidi="zh-TW"/>
        </w:rPr>
        <w:t xml:space="preserve">: </w:t>
      </w:r>
      <w:r>
        <w:rPr>
          <w:spacing w:val="0"/>
          <w:w w:val="100"/>
          <w:position w:val="0"/>
          <w:lang w:val="en-US" w:eastAsia="en-US" w:bidi="en-US"/>
        </w:rPr>
        <w:t>393.</w:t>
      </w:r>
    </w:p>
    <w:p>
      <w:pPr>
        <w:pStyle w:val="Style26"/>
        <w:keepNext w:val="0"/>
        <w:keepLines w:val="0"/>
        <w:widowControl w:val="0"/>
        <w:shd w:val="clear" w:color="auto" w:fill="auto"/>
        <w:bidi w:val="0"/>
        <w:spacing w:before="0" w:after="0" w:line="287" w:lineRule="exact"/>
        <w:ind w:left="380" w:right="0" w:hanging="380"/>
        <w:jc w:val="both"/>
      </w:pPr>
      <w:bookmarkStart w:id="18" w:name="bookmark18"/>
      <w:r>
        <w:rPr>
          <w:spacing w:val="0"/>
          <w:w w:val="100"/>
          <w:position w:val="0"/>
          <w:lang w:val="en-US" w:eastAsia="en-US" w:bidi="en-US"/>
        </w:rPr>
        <w:t>[</w:t>
      </w:r>
      <w:bookmarkEnd w:id="18"/>
      <w:r>
        <w:rPr>
          <w:spacing w:val="0"/>
          <w:w w:val="100"/>
          <w:position w:val="0"/>
          <w:lang w:val="en-US" w:eastAsia="en-US" w:bidi="en-US"/>
        </w:rPr>
        <w:t xml:space="preserve">13 ] Haase VH. HIF— prolyl hydroxylases as therapeutic targets in erythropoiesis and iron metabolism [j]. Hemodial Int, 2017, 21 (Suppl 1) </w:t>
      </w:r>
      <w:r>
        <w:rPr>
          <w:spacing w:val="0"/>
          <w:w w:val="100"/>
          <w:position w:val="0"/>
          <w:lang w:val="zh-TW" w:eastAsia="zh-TW" w:bidi="zh-TW"/>
        </w:rPr>
        <w:t xml:space="preserve">: </w:t>
      </w:r>
      <w:r>
        <w:rPr>
          <w:spacing w:val="0"/>
          <w:w w:val="100"/>
          <w:position w:val="0"/>
          <w:lang w:val="en-US" w:eastAsia="en-US" w:bidi="en-US"/>
        </w:rPr>
        <w:t>SI 10-S124.</w:t>
      </w:r>
    </w:p>
    <w:p>
      <w:pPr>
        <w:pStyle w:val="Style26"/>
        <w:keepNext w:val="0"/>
        <w:keepLines w:val="0"/>
        <w:widowControl w:val="0"/>
        <w:shd w:val="clear" w:color="auto" w:fill="auto"/>
        <w:bidi w:val="0"/>
        <w:spacing w:before="0" w:after="0" w:line="287" w:lineRule="exact"/>
        <w:ind w:left="380" w:right="0" w:hanging="380"/>
        <w:jc w:val="both"/>
      </w:pPr>
      <w:bookmarkStart w:id="19" w:name="bookmark19"/>
      <w:r>
        <w:rPr>
          <w:spacing w:val="0"/>
          <w:w w:val="100"/>
          <w:position w:val="0"/>
          <w:lang w:val="en-US" w:eastAsia="en-US" w:bidi="en-US"/>
        </w:rPr>
        <w:t>[</w:t>
      </w:r>
      <w:bookmarkEnd w:id="19"/>
      <w:r>
        <w:rPr>
          <w:spacing w:val="0"/>
          <w:w w:val="100"/>
          <w:position w:val="0"/>
          <w:lang w:val="en-US" w:eastAsia="en-US" w:bidi="en-US"/>
        </w:rPr>
        <w:t>14] Weir MR. Managing anemia across the stages of kidney disease in those hypo responsive to erythropoiesis— stimulating agents [ J ]. Am J Nephrol, 2021, 52(6)： 450-466.</w:t>
      </w:r>
    </w:p>
    <w:p>
      <w:pPr>
        <w:pStyle w:val="Style26"/>
        <w:keepNext w:val="0"/>
        <w:keepLines w:val="0"/>
        <w:widowControl w:val="0"/>
        <w:shd w:val="clear" w:color="auto" w:fill="auto"/>
        <w:bidi w:val="0"/>
        <w:spacing w:before="0" w:after="0" w:line="287" w:lineRule="exact"/>
        <w:ind w:left="380" w:right="0" w:hanging="380"/>
        <w:jc w:val="both"/>
      </w:pPr>
      <w:bookmarkStart w:id="20" w:name="bookmark20"/>
      <w:r>
        <w:rPr>
          <w:spacing w:val="0"/>
          <w:w w:val="100"/>
          <w:position w:val="0"/>
          <w:lang w:val="en-US" w:eastAsia="en-US" w:bidi="en-US"/>
        </w:rPr>
        <w:t>[</w:t>
      </w:r>
      <w:bookmarkEnd w:id="20"/>
      <w:r>
        <w:rPr>
          <w:spacing w:val="0"/>
          <w:w w:val="100"/>
          <w:position w:val="0"/>
          <w:lang w:val="en-US" w:eastAsia="en-US" w:bidi="en-US"/>
        </w:rPr>
        <w:t xml:space="preserve">15 ] Li </w:t>
      </w:r>
      <w:r>
        <w:rPr>
          <w:i/>
          <w:iCs/>
          <w:spacing w:val="0"/>
          <w:w w:val="100"/>
          <w:position w:val="0"/>
          <w:lang w:val="en-US" w:eastAsia="en-US" w:bidi="en-US"/>
        </w:rPr>
        <w:t>ZL,</w:t>
      </w:r>
      <w:r>
        <w:rPr>
          <w:spacing w:val="0"/>
          <w:w w:val="100"/>
          <w:position w:val="0"/>
          <w:lang w:val="en-US" w:eastAsia="en-US" w:bidi="en-US"/>
        </w:rPr>
        <w:t xml:space="preserve"> Tu Y, Liu BC. Treatment of renal anemia with Roxadustat</w:t>
      </w:r>
      <w:r>
        <w:rPr>
          <w:spacing w:val="0"/>
          <w:w w:val="100"/>
          <w:position w:val="0"/>
          <w:lang w:val="zh-TW" w:eastAsia="zh-TW" w:bidi="zh-TW"/>
        </w:rPr>
        <w:t xml:space="preserve">: </w:t>
      </w:r>
      <w:r>
        <w:rPr>
          <w:spacing w:val="0"/>
          <w:w w:val="100"/>
          <w:position w:val="0"/>
          <w:lang w:val="en-US" w:eastAsia="en-US" w:bidi="en-US"/>
        </w:rPr>
        <w:t>advantages and achievement [j]. Kidney Dis (Basel), 2020, 6(2)： 65-73.</w:t>
      </w:r>
    </w:p>
    <w:p>
      <w:pPr>
        <w:pStyle w:val="Style26"/>
        <w:keepNext w:val="0"/>
        <w:keepLines w:val="0"/>
        <w:widowControl w:val="0"/>
        <w:numPr>
          <w:ilvl w:val="0"/>
          <w:numId w:val="9"/>
        </w:numPr>
        <w:shd w:val="clear" w:color="auto" w:fill="auto"/>
        <w:tabs>
          <w:tab w:pos="423" w:val="left"/>
        </w:tabs>
        <w:bidi w:val="0"/>
        <w:spacing w:before="0" w:after="0" w:line="287" w:lineRule="exact"/>
        <w:ind w:left="380" w:right="0" w:hanging="380"/>
        <w:jc w:val="both"/>
      </w:pPr>
      <w:bookmarkStart w:id="21" w:name="bookmark21"/>
      <w:bookmarkEnd w:id="21"/>
      <w:r>
        <w:rPr>
          <w:spacing w:val="0"/>
          <w:w w:val="100"/>
          <w:position w:val="0"/>
          <w:lang w:val="en-US" w:eastAsia="en-US" w:bidi="en-US"/>
        </w:rPr>
        <w:t>Sangliani NS, Haase VH. Hypoxia—inducible factor activators in renal anemia</w:t>
      </w:r>
      <w:r>
        <w:rPr>
          <w:spacing w:val="0"/>
          <w:w w:val="100"/>
          <w:position w:val="0"/>
          <w:lang w:val="zh-TW" w:eastAsia="zh-TW" w:bidi="zh-TW"/>
        </w:rPr>
        <w:t xml:space="preserve">: </w:t>
      </w:r>
      <w:r>
        <w:rPr>
          <w:spacing w:val="0"/>
          <w:w w:val="100"/>
          <w:position w:val="0"/>
          <w:lang w:val="en-US" w:eastAsia="en-US" w:bidi="en-US"/>
        </w:rPr>
        <w:t xml:space="preserve">current clinical experience [j]. Adv Chronic Kidney Dis, 2019, 26(4) </w:t>
      </w:r>
      <w:r>
        <w:rPr>
          <w:spacing w:val="0"/>
          <w:w w:val="100"/>
          <w:position w:val="0"/>
          <w:lang w:val="zh-TW" w:eastAsia="zh-TW" w:bidi="zh-TW"/>
        </w:rPr>
        <w:t xml:space="preserve">: </w:t>
      </w:r>
      <w:r>
        <w:rPr>
          <w:spacing w:val="0"/>
          <w:w w:val="100"/>
          <w:position w:val="0"/>
          <w:lang w:val="en-US" w:eastAsia="en-US" w:bidi="en-US"/>
        </w:rPr>
        <w:t>253-266.</w:t>
      </w:r>
    </w:p>
    <w:p>
      <w:pPr>
        <w:pStyle w:val="Style26"/>
        <w:keepNext w:val="0"/>
        <w:keepLines w:val="0"/>
        <w:widowControl w:val="0"/>
        <w:numPr>
          <w:ilvl w:val="0"/>
          <w:numId w:val="9"/>
        </w:numPr>
        <w:shd w:val="clear" w:color="auto" w:fill="auto"/>
        <w:tabs>
          <w:tab w:pos="423" w:val="left"/>
        </w:tabs>
        <w:bidi w:val="0"/>
        <w:spacing w:before="0" w:after="0" w:line="287" w:lineRule="exact"/>
        <w:ind w:left="380" w:right="0" w:hanging="380"/>
        <w:jc w:val="both"/>
      </w:pPr>
      <w:bookmarkStart w:id="22" w:name="bookmark22"/>
      <w:bookmarkEnd w:id="22"/>
      <w:r>
        <w:rPr>
          <w:spacing w:val="0"/>
          <w:w w:val="100"/>
          <w:position w:val="0"/>
          <w:lang w:val="en-US" w:eastAsia="en-US" w:bidi="en-US"/>
        </w:rPr>
        <w:t>Sliibata T, Nomura Y, Takada A, et al. Evaluation of food and spherical carbon adsorbent effects on the pharmacokinetics of Roxadustat in healthy nonelderly adult male Japanese subjects [J]. Clin Pharmacol Drug Dev, 2019, 8(3)： 304—313.</w:t>
      </w:r>
    </w:p>
    <w:p>
      <w:pPr>
        <w:pStyle w:val="Style26"/>
        <w:keepNext w:val="0"/>
        <w:keepLines w:val="0"/>
        <w:widowControl w:val="0"/>
        <w:numPr>
          <w:ilvl w:val="0"/>
          <w:numId w:val="9"/>
        </w:numPr>
        <w:shd w:val="clear" w:color="auto" w:fill="auto"/>
        <w:tabs>
          <w:tab w:pos="423" w:val="left"/>
        </w:tabs>
        <w:bidi w:val="0"/>
        <w:spacing w:before="0" w:after="0" w:line="287" w:lineRule="exact"/>
        <w:ind w:left="0" w:right="0" w:firstLine="0"/>
        <w:jc w:val="both"/>
      </w:pPr>
      <w:bookmarkStart w:id="23" w:name="bookmark23"/>
      <w:bookmarkEnd w:id="23"/>
      <w:r>
        <w:rPr>
          <w:spacing w:val="0"/>
          <w:w w:val="100"/>
          <w:position w:val="0"/>
          <w:lang w:val="en-US" w:eastAsia="en-US" w:bidi="en-US"/>
        </w:rPr>
        <w:t>Provenzano R, Tumlin J, Zabaneli R, et al. Oral hypoxia—</w:t>
      </w:r>
    </w:p>
    <w:p>
      <w:pPr>
        <w:pStyle w:val="Style26"/>
        <w:keepNext w:val="0"/>
        <w:keepLines w:val="0"/>
        <w:widowControl w:val="0"/>
        <w:shd w:val="clear" w:color="auto" w:fill="auto"/>
        <w:tabs>
          <w:tab w:pos="1868" w:val="left"/>
        </w:tabs>
        <w:bidi w:val="0"/>
        <w:spacing w:before="0" w:after="0" w:line="287" w:lineRule="exact"/>
        <w:ind w:left="380" w:right="0" w:firstLine="20"/>
        <w:jc w:val="both"/>
      </w:pPr>
      <w:r>
        <w:rPr>
          <w:spacing w:val="0"/>
          <w:w w:val="100"/>
          <w:position w:val="0"/>
          <w:lang w:val="en-US" w:eastAsia="en-US" w:bidi="en-US"/>
        </w:rPr>
        <w:t>inducible factor prolyl hydroxylase inhibitor Roxadustat (FG— 4592) for treatment of anemia in chronic kidney disease</w:t>
      </w:r>
      <w:r>
        <w:rPr>
          <w:spacing w:val="0"/>
          <w:w w:val="100"/>
          <w:position w:val="0"/>
          <w:lang w:val="zh-TW" w:eastAsia="zh-TW" w:bidi="zh-TW"/>
        </w:rPr>
        <w:t xml:space="preserve">: </w:t>
      </w:r>
      <w:r>
        <w:rPr>
          <w:spacing w:val="0"/>
          <w:w w:val="100"/>
          <w:position w:val="0"/>
          <w:lang w:val="en-US" w:eastAsia="en-US" w:bidi="en-US"/>
        </w:rPr>
        <w:t>a placebo—controlled</w:t>
        <w:tab/>
        <w:t>study of pharmacokinetic and</w:t>
      </w:r>
    </w:p>
    <w:p>
      <w:pPr>
        <w:pStyle w:val="Style26"/>
        <w:keepNext w:val="0"/>
        <w:keepLines w:val="0"/>
        <w:widowControl w:val="0"/>
        <w:shd w:val="clear" w:color="auto" w:fill="auto"/>
        <w:bidi w:val="0"/>
        <w:spacing w:before="0" w:after="0" w:line="287" w:lineRule="exact"/>
        <w:ind w:left="380" w:right="0" w:firstLine="20"/>
        <w:jc w:val="both"/>
      </w:pPr>
      <w:r>
        <w:rPr>
          <w:spacing w:val="0"/>
          <w:w w:val="100"/>
          <w:position w:val="0"/>
          <w:lang w:val="en-US" w:eastAsia="en-US" w:bidi="en-US"/>
        </w:rPr>
        <w:t>pharmacodynamic profiles in hemodialysis patients [j]. J Clin Pharmacol, 2()2(), 60(11)： 1432-1440.</w:t>
      </w:r>
    </w:p>
    <w:p>
      <w:pPr>
        <w:pStyle w:val="Style26"/>
        <w:keepNext w:val="0"/>
        <w:keepLines w:val="0"/>
        <w:widowControl w:val="0"/>
        <w:numPr>
          <w:ilvl w:val="0"/>
          <w:numId w:val="9"/>
        </w:numPr>
        <w:shd w:val="clear" w:color="auto" w:fill="auto"/>
        <w:tabs>
          <w:tab w:pos="423" w:val="left"/>
        </w:tabs>
        <w:bidi w:val="0"/>
        <w:spacing w:before="0" w:after="0" w:line="287" w:lineRule="exact"/>
        <w:ind w:left="380" w:right="0" w:hanging="380"/>
        <w:jc w:val="both"/>
      </w:pPr>
      <w:bookmarkStart w:id="24" w:name="bookmark24"/>
      <w:bookmarkEnd w:id="24"/>
      <w:r>
        <w:rPr>
          <w:spacing w:val="0"/>
          <w:w w:val="100"/>
          <w:position w:val="0"/>
          <w:lang w:val="en-US" w:eastAsia="en-US" w:bidi="en-US"/>
        </w:rPr>
        <w:t>Maxwell PH, Eckardt KU. HIF prolyl hydroxyl ase inhibitors for the treatment of renal anaemia and beyond [j]. Nat Rev Nephrol, 2016, 12(3)： 157-168.</w:t>
      </w:r>
    </w:p>
    <w:p>
      <w:pPr>
        <w:pStyle w:val="Style26"/>
        <w:keepNext w:val="0"/>
        <w:keepLines w:val="0"/>
        <w:widowControl w:val="0"/>
        <w:shd w:val="clear" w:color="auto" w:fill="auto"/>
        <w:bidi w:val="0"/>
        <w:spacing w:before="0" w:after="0" w:line="287" w:lineRule="exact"/>
        <w:ind w:left="380" w:right="0" w:hanging="380"/>
        <w:jc w:val="both"/>
      </w:pPr>
      <w:r>
        <w:rPr>
          <w:spacing w:val="0"/>
          <w:w w:val="100"/>
          <w:position w:val="0"/>
          <w:lang w:val="en-US" w:eastAsia="en-US" w:bidi="en-US"/>
        </w:rPr>
        <w:t>：20]</w:t>
      </w:r>
      <w:r>
        <w:rPr>
          <w:spacing w:val="0"/>
          <w:w w:val="100"/>
          <w:position w:val="0"/>
          <w:sz w:val="16"/>
          <w:szCs w:val="16"/>
          <w:lang w:val="zh-TW" w:eastAsia="zh-TW" w:bidi="zh-TW"/>
        </w:rPr>
        <w:t>李作林，刘</w:t>
      </w:r>
      <w:r>
        <w:rPr>
          <w:spacing w:val="0"/>
          <w:w w:val="100"/>
          <w:position w:val="0"/>
          <w:sz w:val="16"/>
          <w:szCs w:val="16"/>
          <w:lang w:val="zh-CN" w:eastAsia="zh-CN" w:bidi="zh-CN"/>
        </w:rPr>
        <w:t>必成.</w:t>
      </w:r>
      <w:r>
        <w:rPr>
          <w:spacing w:val="0"/>
          <w:w w:val="100"/>
          <w:position w:val="0"/>
          <w:sz w:val="16"/>
          <w:szCs w:val="16"/>
          <w:lang w:val="zh-TW" w:eastAsia="zh-TW" w:bidi="zh-TW"/>
        </w:rPr>
        <w:t>口服</w:t>
      </w:r>
      <w:r>
        <w:rPr>
          <w:spacing w:val="0"/>
          <w:w w:val="100"/>
          <w:position w:val="0"/>
          <w:lang w:val="en-US" w:eastAsia="en-US" w:bidi="en-US"/>
        </w:rPr>
        <w:t>HIF</w:t>
      </w:r>
      <w:r>
        <w:rPr>
          <w:spacing w:val="0"/>
          <w:w w:val="100"/>
          <w:position w:val="0"/>
          <w:sz w:val="16"/>
          <w:szCs w:val="16"/>
          <w:lang w:val="zh-TW" w:eastAsia="zh-TW" w:bidi="zh-TW"/>
        </w:rPr>
        <w:t>稳定剂在肾性贫血治疗中的作 用</w:t>
      </w:r>
      <w:r>
        <w:rPr>
          <w:spacing w:val="0"/>
          <w:w w:val="100"/>
          <w:position w:val="0"/>
          <w:lang w:val="en-US" w:eastAsia="en-US" w:bidi="en-US"/>
        </w:rPr>
        <w:t>[J].</w:t>
      </w:r>
      <w:r>
        <w:rPr>
          <w:spacing w:val="0"/>
          <w:w w:val="100"/>
          <w:position w:val="0"/>
          <w:sz w:val="16"/>
          <w:szCs w:val="16"/>
          <w:lang w:val="zh-TW" w:eastAsia="zh-TW" w:bidi="zh-TW"/>
        </w:rPr>
        <w:t>中华医学杂志,</w:t>
      </w:r>
      <w:r>
        <w:rPr>
          <w:spacing w:val="0"/>
          <w:w w:val="100"/>
          <w:position w:val="0"/>
          <w:lang w:val="zh-TW" w:eastAsia="zh-TW" w:bidi="zh-TW"/>
        </w:rPr>
        <w:t xml:space="preserve">2017, 97(34)： </w:t>
      </w:r>
      <w:r>
        <w:rPr>
          <w:spacing w:val="0"/>
          <w:w w:val="100"/>
          <w:position w:val="0"/>
          <w:lang w:val="en-US" w:eastAsia="en-US" w:bidi="en-US"/>
        </w:rPr>
        <w:t>2706-2709.</w:t>
      </w:r>
    </w:p>
    <w:p>
      <w:pPr>
        <w:pStyle w:val="Style26"/>
        <w:keepNext w:val="0"/>
        <w:keepLines w:val="0"/>
        <w:widowControl w:val="0"/>
        <w:shd w:val="clear" w:color="auto" w:fill="auto"/>
        <w:bidi w:val="0"/>
        <w:spacing w:before="0" w:after="0" w:line="287" w:lineRule="exact"/>
        <w:ind w:left="380" w:right="0" w:hanging="380"/>
        <w:jc w:val="both"/>
      </w:pPr>
      <w:r>
        <w:rPr>
          <w:spacing w:val="0"/>
          <w:w w:val="100"/>
          <w:position w:val="0"/>
          <w:lang w:val="en-US" w:eastAsia="en-US" w:bidi="en-US"/>
        </w:rPr>
        <w:t>[</w:t>
      </w:r>
      <w:r>
        <w:rPr>
          <w:spacing w:val="0"/>
          <w:w w:val="100"/>
          <w:position w:val="0"/>
          <w:lang w:val="zh-TW" w:eastAsia="zh-TW" w:bidi="zh-TW"/>
        </w:rPr>
        <w:t xml:space="preserve">21 </w:t>
      </w:r>
      <w:r>
        <w:rPr>
          <w:spacing w:val="0"/>
          <w:w w:val="100"/>
          <w:position w:val="0"/>
          <w:lang w:val="en-US" w:eastAsia="en-US" w:bidi="en-US"/>
        </w:rPr>
        <w:t>] Provenzano R, Szczech L, Leong R, et al. Efficacy and cardiovascular safety of roxadustat for treatment of anemia in patients with non— dialysis— dependent CKD</w:t>
      </w:r>
      <w:r>
        <w:rPr>
          <w:spacing w:val="0"/>
          <w:w w:val="100"/>
          <w:position w:val="0"/>
          <w:lang w:val="zh-TW" w:eastAsia="zh-TW" w:bidi="zh-TW"/>
        </w:rPr>
        <w:t xml:space="preserve">: </w:t>
      </w:r>
      <w:r>
        <w:rPr>
          <w:spacing w:val="0"/>
          <w:w w:val="100"/>
          <w:position w:val="0"/>
          <w:lang w:val="en-US" w:eastAsia="en-US" w:bidi="en-US"/>
        </w:rPr>
        <w:t>pooled results of three randomized clinical trials [j]. Clin J Am Soc Nephrol, 2021, 16(8)： 1190-1200.</w:t>
      </w:r>
    </w:p>
    <w:p>
      <w:pPr>
        <w:pStyle w:val="Style26"/>
        <w:keepNext w:val="0"/>
        <w:keepLines w:val="0"/>
        <w:widowControl w:val="0"/>
        <w:shd w:val="clear" w:color="auto" w:fill="auto"/>
        <w:bidi w:val="0"/>
        <w:spacing w:before="0" w:after="0" w:line="287" w:lineRule="exact"/>
        <w:ind w:left="380" w:right="0" w:hanging="380"/>
        <w:jc w:val="both"/>
      </w:pPr>
      <w:r>
        <w:rPr>
          <w:spacing w:val="0"/>
          <w:w w:val="100"/>
          <w:position w:val="0"/>
          <w:lang w:val="en-US" w:eastAsia="en-US" w:bidi="en-US"/>
        </w:rPr>
        <w:t>[22] Barratt J, Sulowicz W, Scliomig M, et al. Efficacy and cardiovascular safety of roxadustat in dialysis—dependent chronic kidney disease</w:t>
      </w:r>
      <w:r>
        <w:rPr>
          <w:spacing w:val="0"/>
          <w:w w:val="100"/>
          <w:position w:val="0"/>
          <w:lang w:val="zh-TW" w:eastAsia="zh-TW" w:bidi="zh-TW"/>
        </w:rPr>
        <w:t xml:space="preserve">: </w:t>
      </w:r>
      <w:r>
        <w:rPr>
          <w:spacing w:val="0"/>
          <w:w w:val="100"/>
          <w:position w:val="0"/>
          <w:lang w:val="en-US" w:eastAsia="en-US" w:bidi="en-US"/>
        </w:rPr>
        <w:t>pooled analysis of four phase 3 studies [j]. Adv Ther, 2021, 38(10)： 5345-5360.</w:t>
      </w:r>
    </w:p>
    <w:p>
      <w:pPr>
        <w:pStyle w:val="Style26"/>
        <w:keepNext w:val="0"/>
        <w:keepLines w:val="0"/>
        <w:widowControl w:val="0"/>
        <w:shd w:val="clear" w:color="auto" w:fill="auto"/>
        <w:bidi w:val="0"/>
        <w:spacing w:before="0" w:after="0" w:line="287" w:lineRule="exact"/>
        <w:ind w:left="380" w:right="0" w:hanging="380"/>
        <w:jc w:val="both"/>
      </w:pPr>
      <w:r>
        <w:rPr>
          <w:spacing w:val="0"/>
          <w:w w:val="100"/>
          <w:position w:val="0"/>
          <w:lang w:val="en-US" w:eastAsia="en-US" w:bidi="en-US"/>
        </w:rPr>
        <w:t>[23 ] Sepali YJ, Nguyen QD, Yamaguchi Y, et al. Two phase 3 studies on ophthalmologic effects of Roxadustat versus darhepoetin [ J ]. Kidney Int Rep, 2022, 7(4)： 763-775.</w:t>
      </w:r>
    </w:p>
    <w:p>
      <w:pPr>
        <w:pStyle w:val="Style26"/>
        <w:keepNext w:val="0"/>
        <w:keepLines w:val="0"/>
        <w:widowControl w:val="0"/>
        <w:shd w:val="clear" w:color="auto" w:fill="auto"/>
        <w:bidi w:val="0"/>
        <w:spacing w:before="0" w:after="120" w:line="287" w:lineRule="exact"/>
        <w:ind w:left="380" w:right="0" w:hanging="380"/>
        <w:jc w:val="both"/>
      </w:pPr>
      <w:r>
        <w:rPr>
          <w:spacing w:val="0"/>
          <w:w w:val="100"/>
          <w:position w:val="0"/>
          <w:lang w:val="en-US" w:eastAsia="en-US" w:bidi="en-US"/>
        </w:rPr>
        <w:t>[24] Coyne DW, Fishbane S, Pergola PE, et al. Roxadustat is not associated with an increased risk of neoplasm in patients with CKD and anemia. 2020ASN. ABSTRACT： TH-OR04 [EB/OL]. (2020- 10- 26) [ 2022</w:t>
      </w:r>
      <w:r>
        <w:rPr>
          <w:spacing w:val="0"/>
          <w:w w:val="100"/>
          <w:position w:val="0"/>
          <w:lang w:val="zh-TW" w:eastAsia="zh-TW" w:bidi="zh-TW"/>
        </w:rPr>
        <w:t xml:space="preserve">- </w:t>
      </w:r>
      <w:r>
        <w:rPr>
          <w:spacing w:val="0"/>
          <w:w w:val="100"/>
          <w:position w:val="0"/>
          <w:lang w:val="en-US" w:eastAsia="en-US" w:bidi="en-US"/>
        </w:rPr>
        <w:t>06</w:t>
      </w:r>
      <w:r>
        <w:rPr>
          <w:spacing w:val="0"/>
          <w:w w:val="100"/>
          <w:position w:val="0"/>
          <w:lang w:val="zh-TW" w:eastAsia="zh-TW" w:bidi="zh-TW"/>
        </w:rPr>
        <w:t xml:space="preserve">- </w:t>
      </w:r>
      <w:r>
        <w:rPr>
          <w:spacing w:val="0"/>
          <w:w w:val="100"/>
          <w:position w:val="0"/>
          <w:lang w:val="en-US" w:eastAsia="en-US" w:bidi="en-US"/>
        </w:rPr>
        <w:t>22 ]. https</w:t>
      </w:r>
      <w:r>
        <w:rPr>
          <w:spacing w:val="0"/>
          <w:w w:val="100"/>
          <w:position w:val="0"/>
          <w:lang w:val="zh-TW" w:eastAsia="zh-TW" w:bidi="zh-TW"/>
        </w:rPr>
        <w:t xml:space="preserve">: </w:t>
      </w:r>
      <w:r>
        <w:rPr>
          <w:spacing w:val="0"/>
          <w:w w:val="100"/>
          <w:position w:val="0"/>
          <w:sz w:val="16"/>
          <w:szCs w:val="16"/>
          <w:lang w:val="en-US" w:eastAsia="en-US" w:bidi="en-US"/>
        </w:rPr>
        <w:t>〃</w:t>
      </w:r>
      <w:r>
        <w:rPr>
          <w:spacing w:val="0"/>
          <w:w w:val="100"/>
          <w:position w:val="0"/>
          <w:lang w:val="en-US" w:eastAsia="en-US" w:bidi="en-US"/>
        </w:rPr>
        <w:t>www. Asn- online, org/ e(lucation/ki(lnepveek/2020/program— abstract, aspx? controll(l= 3447031.</w:t>
      </w:r>
    </w:p>
    <w:p>
      <w:pPr>
        <w:pStyle w:val="Style9"/>
        <w:keepNext w:val="0"/>
        <w:keepLines w:val="0"/>
        <w:widowControl w:val="0"/>
        <w:shd w:val="clear" w:color="auto" w:fill="auto"/>
        <w:bidi w:val="0"/>
        <w:spacing w:before="0" w:after="0" w:line="240" w:lineRule="auto"/>
        <w:ind w:left="0" w:right="0" w:firstLine="0"/>
        <w:jc w:val="right"/>
        <w:rPr>
          <w:sz w:val="16"/>
          <w:szCs w:val="16"/>
        </w:rPr>
      </w:pPr>
      <w:r>
        <w:rPr>
          <w:rFonts w:ascii="Times New Roman" w:eastAsia="Times New Roman" w:hAnsi="Times New Roman" w:cs="Times New Roman"/>
          <w:spacing w:val="0"/>
          <w:w w:val="100"/>
          <w:position w:val="0"/>
          <w:sz w:val="16"/>
          <w:szCs w:val="16"/>
          <w:lang w:val="en-US" w:eastAsia="en-US" w:bidi="en-US"/>
        </w:rPr>
        <w:t xml:space="preserve">2022-08-15 </w:t>
      </w:r>
      <w:r>
        <w:rPr>
          <w:rFonts w:ascii="SimSun" w:eastAsia="SimSun" w:hAnsi="SimSun" w:cs="SimSun"/>
          <w:spacing w:val="0"/>
          <w:w w:val="100"/>
          <w:position w:val="0"/>
          <w:sz w:val="16"/>
          <w:szCs w:val="16"/>
          <w:lang w:val="zh-TW" w:eastAsia="zh-TW" w:bidi="zh-TW"/>
        </w:rPr>
        <w:t>收稿</w:t>
      </w:r>
    </w:p>
    <w:sectPr>
      <w:footnotePr>
        <w:pos w:val="pageBottom"/>
        <w:numFmt w:val="decimal"/>
        <w:numRestart w:val="continuous"/>
      </w:footnotePr>
      <w:type w:val="continuous"/>
      <w:pgSz w:w="11900" w:h="16840"/>
      <w:pgMar w:top="1290" w:right="1093" w:bottom="1396" w:left="1105" w:header="0" w:footer="3" w:gutter="0"/>
      <w:cols w:num="2" w:space="359"/>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258445</wp:posOffset>
              </wp:positionH>
              <wp:positionV relativeFrom="page">
                <wp:posOffset>10342245</wp:posOffset>
              </wp:positionV>
              <wp:extent cx="6041390" cy="128270"/>
              <wp:wrapNone/>
              <wp:docPr id="4" name="Shape 4"/>
              <a:graphic xmlns:a="http://schemas.openxmlformats.org/drawingml/2006/main">
                <a:graphicData uri="http://schemas.microsoft.com/office/word/2010/wordprocessingShape">
                  <wps:wsp>
                    <wps:cNvSpPr txBox="1"/>
                    <wps:spPr>
                      <a:xfrm>
                        <a:ext cx="6041390" cy="1282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999999"/>
                              <w:spacing w:val="0"/>
                              <w:w w:val="100"/>
                              <w:position w:val="0"/>
                              <w:lang w:val="en-US" w:eastAsia="en-US" w:bidi="en-US"/>
                            </w:rPr>
                            <w:t>(C) 1994-2022 China Academic Journal Electronic Publishing House. All rights reserved, http://www.cnki.net</w:t>
                          </w:r>
                        </w:p>
                      </w:txbxContent>
                    </wps:txbx>
                    <wps:bodyPr wrap="none" lIns="0" tIns="0" rIns="0" bIns="0">
                      <a:spAutoFit/>
                    </wps:bodyPr>
                  </wps:wsp>
                </a:graphicData>
              </a:graphic>
            </wp:anchor>
          </w:drawing>
        </mc:Choice>
        <mc:Fallback>
          <w:pict>
            <v:shape id="_x0000_s1030" type="#_x0000_t202" style="position:absolute;margin-left:20.350000000000001pt;margin-top:814.35000000000002pt;width:475.69999999999999pt;height:10.1pt;z-index:-188744061;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999999"/>
                        <w:spacing w:val="0"/>
                        <w:w w:val="100"/>
                        <w:position w:val="0"/>
                        <w:lang w:val="en-US" w:eastAsia="en-US" w:bidi="en-US"/>
                      </w:rPr>
                      <w:t>(C) 1994-2022 China Academic Journal Electronic Publishing House. All rights reserved, http://www.cnki.net</w:t>
                    </w:r>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259715</wp:posOffset>
              </wp:positionH>
              <wp:positionV relativeFrom="page">
                <wp:posOffset>10340975</wp:posOffset>
              </wp:positionV>
              <wp:extent cx="6038215" cy="128270"/>
              <wp:wrapNone/>
              <wp:docPr id="9" name="Shape 9"/>
              <a:graphic xmlns:a="http://schemas.openxmlformats.org/drawingml/2006/main">
                <a:graphicData uri="http://schemas.microsoft.com/office/word/2010/wordprocessingShape">
                  <wps:wsp>
                    <wps:cNvSpPr txBox="1"/>
                    <wps:spPr>
                      <a:xfrm>
                        <a:ext cx="6038215" cy="128270"/>
                      </a:xfrm>
                      <a:prstGeom prst="rect"/>
                      <a:noFill/>
                    </wps:spPr>
                    <wps:txbx>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999999"/>
                              <w:spacing w:val="0"/>
                              <w:w w:val="100"/>
                              <w:position w:val="0"/>
                              <w:lang w:val="en-US" w:eastAsia="en-US" w:bidi="en-US"/>
                            </w:rPr>
                            <w:t>(C) 1994-2022 China Academic Journal Electronic Publishing House. All rights reserved, http</w:t>
                          </w:r>
                          <w:r>
                            <w:rPr>
                              <w:rFonts w:ascii="Times New Roman" w:eastAsia="Times New Roman" w:hAnsi="Times New Roman" w:cs="Times New Roman"/>
                              <w:color w:val="999999"/>
                              <w:spacing w:val="0"/>
                              <w:w w:val="100"/>
                              <w:position w:val="0"/>
                              <w:lang w:val="zh-TW" w:eastAsia="zh-TW" w:bidi="zh-TW"/>
                            </w:rPr>
                            <w:t>:</w:t>
                          </w:r>
                          <w:r>
                            <w:rPr>
                              <w:rFonts w:ascii="Times New Roman" w:eastAsia="Times New Roman" w:hAnsi="Times New Roman" w:cs="Times New Roman"/>
                              <w:color w:val="999999"/>
                              <w:spacing w:val="0"/>
                              <w:w w:val="100"/>
                              <w:position w:val="0"/>
                              <w:lang w:val="en-US" w:eastAsia="en-US" w:bidi="en-US"/>
                            </w:rPr>
                            <w:t>//www.cnki.net</w:t>
                          </w:r>
                        </w:p>
                      </w:txbxContent>
                    </wps:txbx>
                    <wps:bodyPr wrap="none" lIns="0" tIns="0" rIns="0" bIns="0">
                      <a:spAutoFit/>
                    </wps:bodyPr>
                  </wps:wsp>
                </a:graphicData>
              </a:graphic>
            </wp:anchor>
          </w:drawing>
        </mc:Choice>
        <mc:Fallback>
          <w:pict>
            <v:shape id="_x0000_s1035" type="#_x0000_t202" style="position:absolute;margin-left:20.449999999999999pt;margin-top:814.25pt;width:475.44999999999999pt;height:10.1pt;z-index:-188744057;mso-wrap-style:none;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999999"/>
                        <w:spacing w:val="0"/>
                        <w:w w:val="100"/>
                        <w:position w:val="0"/>
                        <w:lang w:val="en-US" w:eastAsia="en-US" w:bidi="en-US"/>
                      </w:rPr>
                      <w:t>(C) 1994-2022 China Academic Journal Electronic Publishing House. All rights reserved, http</w:t>
                    </w:r>
                    <w:r>
                      <w:rPr>
                        <w:rFonts w:ascii="Times New Roman" w:eastAsia="Times New Roman" w:hAnsi="Times New Roman" w:cs="Times New Roman"/>
                        <w:color w:val="999999"/>
                        <w:spacing w:val="0"/>
                        <w:w w:val="100"/>
                        <w:position w:val="0"/>
                        <w:lang w:val="zh-TW" w:eastAsia="zh-TW" w:bidi="zh-TW"/>
                      </w:rPr>
                      <w:t>:</w:t>
                    </w:r>
                    <w:r>
                      <w:rPr>
                        <w:rFonts w:ascii="Times New Roman" w:eastAsia="Times New Roman" w:hAnsi="Times New Roman" w:cs="Times New Roman"/>
                        <w:color w:val="999999"/>
                        <w:spacing w:val="0"/>
                        <w:w w:val="100"/>
                        <w:position w:val="0"/>
                        <w:lang w:val="en-US" w:eastAsia="en-US" w:bidi="en-US"/>
                      </w:rPr>
                      <w:t>//www.cnki.net</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718820</wp:posOffset>
              </wp:positionH>
              <wp:positionV relativeFrom="page">
                <wp:posOffset>623570</wp:posOffset>
              </wp:positionV>
              <wp:extent cx="6104890" cy="97790"/>
              <wp:wrapNone/>
              <wp:docPr id="1" name="Shape 1"/>
              <a:graphic xmlns:a="http://schemas.openxmlformats.org/drawingml/2006/main">
                <a:graphicData uri="http://schemas.microsoft.com/office/word/2010/wordprocessingShape">
                  <wps:wsp>
                    <wps:cNvSpPr txBox="1"/>
                    <wps:spPr>
                      <a:xfrm>
                        <a:ext cx="6104890" cy="97790"/>
                      </a:xfrm>
                      <a:prstGeom prst="rect"/>
                      <a:noFill/>
                    </wps:spPr>
                    <wps:txbx>
                      <w:txbxContent>
                        <w:p>
                          <w:pPr>
                            <w:pStyle w:val="Style4"/>
                            <w:keepNext w:val="0"/>
                            <w:keepLines w:val="0"/>
                            <w:widowControl w:val="0"/>
                            <w:shd w:val="clear" w:color="auto" w:fill="auto"/>
                            <w:tabs>
                              <w:tab w:pos="5448" w:val="right"/>
                              <w:tab w:pos="9614" w:val="right"/>
                            </w:tabs>
                            <w:bidi w:val="0"/>
                            <w:spacing w:before="0" w:after="0" w:line="240" w:lineRule="auto"/>
                            <w:ind w:left="0" w:right="0" w:firstLine="0"/>
                            <w:jc w:val="left"/>
                            <w:rPr>
                              <w:sz w:val="12"/>
                              <w:szCs w:val="12"/>
                            </w:rPr>
                          </w:pPr>
                          <w:r>
                            <w:rPr>
                              <w:rFonts w:ascii="SimSun" w:eastAsia="SimSun" w:hAnsi="SimSun" w:cs="SimSun"/>
                              <w:color w:val="231E20"/>
                              <w:spacing w:val="0"/>
                              <w:w w:val="100"/>
                              <w:position w:val="0"/>
                              <w:sz w:val="12"/>
                              <w:szCs w:val="12"/>
                              <w:lang w:val="zh-CN" w:eastAsia="zh-CN" w:bidi="zh-CN"/>
                            </w:rPr>
                            <w:t>2022</w:t>
                          </w:r>
                          <w:r>
                            <w:rPr>
                              <w:rFonts w:ascii="SimSun" w:eastAsia="SimSun" w:hAnsi="SimSun" w:cs="SimSun"/>
                              <w:color w:val="231E20"/>
                              <w:spacing w:val="0"/>
                              <w:w w:val="100"/>
                              <w:position w:val="0"/>
                              <w:sz w:val="16"/>
                              <w:szCs w:val="16"/>
                              <w:lang w:val="zh-TW" w:eastAsia="zh-TW" w:bidi="zh-TW"/>
                            </w:rPr>
                            <w:t>年</w:t>
                          </w:r>
                          <w:r>
                            <w:rPr>
                              <w:rFonts w:ascii="SimSun" w:eastAsia="SimSun" w:hAnsi="SimSun" w:cs="SimSun"/>
                              <w:color w:val="231E20"/>
                              <w:spacing w:val="0"/>
                              <w:w w:val="100"/>
                              <w:position w:val="0"/>
                              <w:sz w:val="12"/>
                              <w:szCs w:val="12"/>
                              <w:lang w:val="zh-CN" w:eastAsia="zh-CN" w:bidi="zh-CN"/>
                            </w:rPr>
                            <w:t>11</w:t>
                          </w:r>
                          <w:r>
                            <w:rPr>
                              <w:rFonts w:ascii="SimSun" w:eastAsia="SimSun" w:hAnsi="SimSun" w:cs="SimSun"/>
                              <w:color w:val="231E20"/>
                              <w:spacing w:val="0"/>
                              <w:w w:val="100"/>
                              <w:position w:val="0"/>
                              <w:sz w:val="16"/>
                              <w:szCs w:val="16"/>
                              <w:lang w:val="zh-TW" w:eastAsia="zh-TW" w:bidi="zh-TW"/>
                            </w:rPr>
                            <w:t>月第</w:t>
                          </w:r>
                          <w:r>
                            <w:rPr>
                              <w:rFonts w:ascii="SimSun" w:eastAsia="SimSun" w:hAnsi="SimSun" w:cs="SimSun"/>
                              <w:color w:val="231E20"/>
                              <w:spacing w:val="0"/>
                              <w:w w:val="100"/>
                              <w:position w:val="0"/>
                              <w:sz w:val="12"/>
                              <w:szCs w:val="12"/>
                              <w:lang w:val="zh-TW" w:eastAsia="zh-TW" w:bidi="zh-TW"/>
                            </w:rPr>
                            <w:t>42</w:t>
                          </w:r>
                          <w:r>
                            <w:rPr>
                              <w:rFonts w:ascii="SimSun" w:eastAsia="SimSun" w:hAnsi="SimSun" w:cs="SimSun"/>
                              <w:color w:val="231E20"/>
                              <w:spacing w:val="0"/>
                              <w:w w:val="100"/>
                              <w:position w:val="0"/>
                              <w:sz w:val="16"/>
                              <w:szCs w:val="16"/>
                              <w:lang w:val="zh-TW" w:eastAsia="zh-TW" w:bidi="zh-TW"/>
                            </w:rPr>
                            <w:t>卷第</w:t>
                          </w:r>
                          <w:r>
                            <w:rPr>
                              <w:rFonts w:ascii="SimSun" w:eastAsia="SimSun" w:hAnsi="SimSun" w:cs="SimSun"/>
                              <w:color w:val="231E20"/>
                              <w:spacing w:val="0"/>
                              <w:w w:val="100"/>
                              <w:position w:val="0"/>
                              <w:sz w:val="12"/>
                              <w:szCs w:val="12"/>
                              <w:lang w:val="zh-TW" w:eastAsia="zh-TW" w:bidi="zh-TW"/>
                            </w:rPr>
                            <w:t>11</w:t>
                          </w:r>
                          <w:r>
                            <w:rPr>
                              <w:rFonts w:ascii="SimSun" w:eastAsia="SimSun" w:hAnsi="SimSun" w:cs="SimSun"/>
                              <w:color w:val="231E20"/>
                              <w:spacing w:val="0"/>
                              <w:w w:val="100"/>
                              <w:position w:val="0"/>
                              <w:sz w:val="16"/>
                              <w:szCs w:val="16"/>
                              <w:lang w:val="zh-TW" w:eastAsia="zh-TW" w:bidi="zh-TW"/>
                            </w:rPr>
                            <w:t>期</w:t>
                            <w:tab/>
                            <w:t>中国实用内科杂志</w:t>
                            <w:tab/>
                          </w:r>
                          <w:fldSimple w:instr=" PAGE \* MERGEFORMAT ">
                            <w:r>
                              <w:rPr>
                                <w:rFonts w:ascii="SimSun" w:eastAsia="SimSun" w:hAnsi="SimSun" w:cs="SimSun"/>
                                <w:color w:val="231E20"/>
                                <w:spacing w:val="0"/>
                                <w:w w:val="100"/>
                                <w:position w:val="0"/>
                                <w:sz w:val="12"/>
                                <w:szCs w:val="12"/>
                                <w:lang w:val="zh-TW" w:eastAsia="zh-TW" w:bidi="zh-TW"/>
                              </w:rPr>
                              <w:t>#</w:t>
                            </w:r>
                          </w:fldSimple>
                        </w:p>
                      </w:txbxContent>
                    </wps:txbx>
                    <wps:bodyPr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56.600000000000001pt;margin-top:49.100000000000001pt;width:480.69999999999999pt;height:7.7000000000000002pt;z-index:-188744063;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5448" w:val="right"/>
                        <w:tab w:pos="9614" w:val="right"/>
                      </w:tabs>
                      <w:bidi w:val="0"/>
                      <w:spacing w:before="0" w:after="0" w:line="240" w:lineRule="auto"/>
                      <w:ind w:left="0" w:right="0" w:firstLine="0"/>
                      <w:jc w:val="left"/>
                      <w:rPr>
                        <w:sz w:val="12"/>
                        <w:szCs w:val="12"/>
                      </w:rPr>
                    </w:pPr>
                    <w:r>
                      <w:rPr>
                        <w:rFonts w:ascii="SimSun" w:eastAsia="SimSun" w:hAnsi="SimSun" w:cs="SimSun"/>
                        <w:color w:val="231E20"/>
                        <w:spacing w:val="0"/>
                        <w:w w:val="100"/>
                        <w:position w:val="0"/>
                        <w:sz w:val="12"/>
                        <w:szCs w:val="12"/>
                        <w:lang w:val="zh-CN" w:eastAsia="zh-CN" w:bidi="zh-CN"/>
                      </w:rPr>
                      <w:t>2022</w:t>
                    </w:r>
                    <w:r>
                      <w:rPr>
                        <w:rFonts w:ascii="SimSun" w:eastAsia="SimSun" w:hAnsi="SimSun" w:cs="SimSun"/>
                        <w:color w:val="231E20"/>
                        <w:spacing w:val="0"/>
                        <w:w w:val="100"/>
                        <w:position w:val="0"/>
                        <w:sz w:val="16"/>
                        <w:szCs w:val="16"/>
                        <w:lang w:val="zh-TW" w:eastAsia="zh-TW" w:bidi="zh-TW"/>
                      </w:rPr>
                      <w:t>年</w:t>
                    </w:r>
                    <w:r>
                      <w:rPr>
                        <w:rFonts w:ascii="SimSun" w:eastAsia="SimSun" w:hAnsi="SimSun" w:cs="SimSun"/>
                        <w:color w:val="231E20"/>
                        <w:spacing w:val="0"/>
                        <w:w w:val="100"/>
                        <w:position w:val="0"/>
                        <w:sz w:val="12"/>
                        <w:szCs w:val="12"/>
                        <w:lang w:val="zh-CN" w:eastAsia="zh-CN" w:bidi="zh-CN"/>
                      </w:rPr>
                      <w:t>11</w:t>
                    </w:r>
                    <w:r>
                      <w:rPr>
                        <w:rFonts w:ascii="SimSun" w:eastAsia="SimSun" w:hAnsi="SimSun" w:cs="SimSun"/>
                        <w:color w:val="231E20"/>
                        <w:spacing w:val="0"/>
                        <w:w w:val="100"/>
                        <w:position w:val="0"/>
                        <w:sz w:val="16"/>
                        <w:szCs w:val="16"/>
                        <w:lang w:val="zh-TW" w:eastAsia="zh-TW" w:bidi="zh-TW"/>
                      </w:rPr>
                      <w:t>月第</w:t>
                    </w:r>
                    <w:r>
                      <w:rPr>
                        <w:rFonts w:ascii="SimSun" w:eastAsia="SimSun" w:hAnsi="SimSun" w:cs="SimSun"/>
                        <w:color w:val="231E20"/>
                        <w:spacing w:val="0"/>
                        <w:w w:val="100"/>
                        <w:position w:val="0"/>
                        <w:sz w:val="12"/>
                        <w:szCs w:val="12"/>
                        <w:lang w:val="zh-TW" w:eastAsia="zh-TW" w:bidi="zh-TW"/>
                      </w:rPr>
                      <w:t>42</w:t>
                    </w:r>
                    <w:r>
                      <w:rPr>
                        <w:rFonts w:ascii="SimSun" w:eastAsia="SimSun" w:hAnsi="SimSun" w:cs="SimSun"/>
                        <w:color w:val="231E20"/>
                        <w:spacing w:val="0"/>
                        <w:w w:val="100"/>
                        <w:position w:val="0"/>
                        <w:sz w:val="16"/>
                        <w:szCs w:val="16"/>
                        <w:lang w:val="zh-TW" w:eastAsia="zh-TW" w:bidi="zh-TW"/>
                      </w:rPr>
                      <w:t>卷第</w:t>
                    </w:r>
                    <w:r>
                      <w:rPr>
                        <w:rFonts w:ascii="SimSun" w:eastAsia="SimSun" w:hAnsi="SimSun" w:cs="SimSun"/>
                        <w:color w:val="231E20"/>
                        <w:spacing w:val="0"/>
                        <w:w w:val="100"/>
                        <w:position w:val="0"/>
                        <w:sz w:val="12"/>
                        <w:szCs w:val="12"/>
                        <w:lang w:val="zh-TW" w:eastAsia="zh-TW" w:bidi="zh-TW"/>
                      </w:rPr>
                      <w:t>11</w:t>
                    </w:r>
                    <w:r>
                      <w:rPr>
                        <w:rFonts w:ascii="SimSun" w:eastAsia="SimSun" w:hAnsi="SimSun" w:cs="SimSun"/>
                        <w:color w:val="231E20"/>
                        <w:spacing w:val="0"/>
                        <w:w w:val="100"/>
                        <w:position w:val="0"/>
                        <w:sz w:val="16"/>
                        <w:szCs w:val="16"/>
                        <w:lang w:val="zh-TW" w:eastAsia="zh-TW" w:bidi="zh-TW"/>
                      </w:rPr>
                      <w:t>期</w:t>
                      <w:tab/>
                      <w:t>中国实用内科杂志</w:t>
                      <w:tab/>
                    </w:r>
                    <w:fldSimple w:instr=" PAGE \* MERGEFORMAT ">
                      <w:r>
                        <w:rPr>
                          <w:rFonts w:ascii="SimSun" w:eastAsia="SimSun" w:hAnsi="SimSun" w:cs="SimSun"/>
                          <w:color w:val="231E20"/>
                          <w:spacing w:val="0"/>
                          <w:w w:val="100"/>
                          <w:position w:val="0"/>
                          <w:sz w:val="12"/>
                          <w:szCs w:val="12"/>
                          <w:lang w:val="zh-TW" w:eastAsia="zh-TW" w:bidi="zh-TW"/>
                        </w:rPr>
                        <w:t>#</w:t>
                      </w:r>
                    </w:fldSimple>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718820</wp:posOffset>
              </wp:positionH>
              <wp:positionV relativeFrom="page">
                <wp:posOffset>775970</wp:posOffset>
              </wp:positionV>
              <wp:extent cx="6123305" cy="0"/>
              <wp:wrapNone/>
              <wp:docPr id="3" name="Shape 3"/>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600000000000001pt;margin-top:61.100000000000001pt;width:482.15000000000003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723265</wp:posOffset>
              </wp:positionH>
              <wp:positionV relativeFrom="page">
                <wp:posOffset>638810</wp:posOffset>
              </wp:positionV>
              <wp:extent cx="6096000" cy="82550"/>
              <wp:wrapNone/>
              <wp:docPr id="6" name="Shape 6"/>
              <a:graphic xmlns:a="http://schemas.openxmlformats.org/drawingml/2006/main">
                <a:graphicData uri="http://schemas.microsoft.com/office/word/2010/wordprocessingShape">
                  <wps:wsp>
                    <wps:cNvSpPr txBox="1"/>
                    <wps:spPr>
                      <a:xfrm>
                        <a:ext cx="6096000" cy="82550"/>
                      </a:xfrm>
                      <a:prstGeom prst="rect"/>
                      <a:noFill/>
                    </wps:spPr>
                    <wps:txbx>
                      <w:txbxContent>
                        <w:p>
                          <w:pPr>
                            <w:pStyle w:val="Style4"/>
                            <w:keepNext w:val="0"/>
                            <w:keepLines w:val="0"/>
                            <w:widowControl w:val="0"/>
                            <w:shd w:val="clear" w:color="auto" w:fill="auto"/>
                            <w:tabs>
                              <w:tab w:pos="6264" w:val="right"/>
                              <w:tab w:pos="9600" w:val="right"/>
                            </w:tabs>
                            <w:bidi w:val="0"/>
                            <w:spacing w:before="0" w:after="0" w:line="240" w:lineRule="auto"/>
                            <w:ind w:left="0" w:right="0" w:firstLine="0"/>
                            <w:jc w:val="left"/>
                            <w:rPr>
                              <w:sz w:val="12"/>
                              <w:szCs w:val="12"/>
                            </w:rPr>
                          </w:pPr>
                          <w:fldSimple w:instr=" PAGE \* MERGEFORMAT ">
                            <w:r>
                              <w:rPr>
                                <w:rFonts w:ascii="SimSun" w:eastAsia="SimSun" w:hAnsi="SimSun" w:cs="SimSun"/>
                                <w:color w:val="231E20"/>
                                <w:spacing w:val="0"/>
                                <w:w w:val="100"/>
                                <w:position w:val="0"/>
                                <w:sz w:val="12"/>
                                <w:szCs w:val="12"/>
                                <w:lang w:val="zh-CN" w:eastAsia="zh-CN" w:bidi="zh-CN"/>
                              </w:rPr>
                              <w:t>#</w:t>
                            </w:r>
                          </w:fldSimple>
                          <w:r>
                            <w:rPr>
                              <w:rFonts w:ascii="SimSun" w:eastAsia="SimSun" w:hAnsi="SimSun" w:cs="SimSun"/>
                              <w:color w:val="231E20"/>
                              <w:spacing w:val="0"/>
                              <w:w w:val="100"/>
                              <w:position w:val="0"/>
                              <w:sz w:val="12"/>
                              <w:szCs w:val="12"/>
                              <w:lang w:val="zh-CN" w:eastAsia="zh-CN" w:bidi="zh-CN"/>
                            </w:rPr>
                            <w:tab/>
                          </w:r>
                          <w:r>
                            <w:rPr>
                              <w:rFonts w:ascii="SimSun" w:eastAsia="SimSun" w:hAnsi="SimSun" w:cs="SimSun"/>
                              <w:color w:val="231E20"/>
                              <w:spacing w:val="0"/>
                              <w:w w:val="100"/>
                              <w:position w:val="0"/>
                              <w:sz w:val="12"/>
                              <w:szCs w:val="12"/>
                              <w:lang w:val="en-US" w:eastAsia="en-US" w:bidi="en-US"/>
                            </w:rPr>
                            <w:t>Chinese Journal of Practical Internal Medicine</w:t>
                            <w:tab/>
                            <w:t>November 2022 VoL42 No.ll</w:t>
                          </w:r>
                        </w:p>
                      </w:txbxContent>
                    </wps:txbx>
                    <wps:bodyPr lIns="0" tIns="0" rIns="0" bIns="0">
                      <a:spAutoFit/>
                    </wps:bodyPr>
                  </wps:wsp>
                </a:graphicData>
              </a:graphic>
            </wp:anchor>
          </w:drawing>
        </mc:Choice>
        <mc:Fallback>
          <w:pict>
            <v:shape id="_x0000_s1032" type="#_x0000_t202" style="position:absolute;margin-left:56.950000000000003pt;margin-top:50.300000000000004pt;width:480.pt;height:6.5pt;z-index:-188744059;mso-wrap-distance-left:0;mso-wrap-distance-right:0;mso-position-horizontal-relative:page;mso-position-vertical-relative:page" wrapcoords="0 0" filled="f" stroked="f">
              <v:textbox style="mso-fit-shape-to-text:t" inset="0,0,0,0">
                <w:txbxContent>
                  <w:p>
                    <w:pPr>
                      <w:pStyle w:val="Style4"/>
                      <w:keepNext w:val="0"/>
                      <w:keepLines w:val="0"/>
                      <w:widowControl w:val="0"/>
                      <w:shd w:val="clear" w:color="auto" w:fill="auto"/>
                      <w:tabs>
                        <w:tab w:pos="6264" w:val="right"/>
                        <w:tab w:pos="9600" w:val="right"/>
                      </w:tabs>
                      <w:bidi w:val="0"/>
                      <w:spacing w:before="0" w:after="0" w:line="240" w:lineRule="auto"/>
                      <w:ind w:left="0" w:right="0" w:firstLine="0"/>
                      <w:jc w:val="left"/>
                      <w:rPr>
                        <w:sz w:val="12"/>
                        <w:szCs w:val="12"/>
                      </w:rPr>
                    </w:pPr>
                    <w:fldSimple w:instr=" PAGE \* MERGEFORMAT ">
                      <w:r>
                        <w:rPr>
                          <w:rFonts w:ascii="SimSun" w:eastAsia="SimSun" w:hAnsi="SimSun" w:cs="SimSun"/>
                          <w:color w:val="231E20"/>
                          <w:spacing w:val="0"/>
                          <w:w w:val="100"/>
                          <w:position w:val="0"/>
                          <w:sz w:val="12"/>
                          <w:szCs w:val="12"/>
                          <w:lang w:val="zh-CN" w:eastAsia="zh-CN" w:bidi="zh-CN"/>
                        </w:rPr>
                        <w:t>#</w:t>
                      </w:r>
                    </w:fldSimple>
                    <w:r>
                      <w:rPr>
                        <w:rFonts w:ascii="SimSun" w:eastAsia="SimSun" w:hAnsi="SimSun" w:cs="SimSun"/>
                        <w:color w:val="231E20"/>
                        <w:spacing w:val="0"/>
                        <w:w w:val="100"/>
                        <w:position w:val="0"/>
                        <w:sz w:val="12"/>
                        <w:szCs w:val="12"/>
                        <w:lang w:val="zh-CN" w:eastAsia="zh-CN" w:bidi="zh-CN"/>
                      </w:rPr>
                      <w:tab/>
                    </w:r>
                    <w:r>
                      <w:rPr>
                        <w:rFonts w:ascii="SimSun" w:eastAsia="SimSun" w:hAnsi="SimSun" w:cs="SimSun"/>
                        <w:color w:val="231E20"/>
                        <w:spacing w:val="0"/>
                        <w:w w:val="100"/>
                        <w:position w:val="0"/>
                        <w:sz w:val="12"/>
                        <w:szCs w:val="12"/>
                        <w:lang w:val="en-US" w:eastAsia="en-US" w:bidi="en-US"/>
                      </w:rPr>
                      <w:t>Chinese Journal of Practical Internal Medicine</w:t>
                      <w:tab/>
                      <w:t>November 2022 VoL42 No.ll</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720090</wp:posOffset>
              </wp:positionH>
              <wp:positionV relativeFrom="page">
                <wp:posOffset>777240</wp:posOffset>
              </wp:positionV>
              <wp:extent cx="6123305" cy="0"/>
              <wp:wrapNone/>
              <wp:docPr id="8" name="Shape 8"/>
              <a:graphic xmlns:a="http://schemas.openxmlformats.org/drawingml/2006/main">
                <a:graphicData uri="http://schemas.microsoft.com/office/word/2010/wordprocessingShape">
                  <wps:wsp>
                    <wps:cNvCnPr/>
                    <wps:spPr>
                      <a:xfrm>
                        <a:ext cx="6123305" cy="0"/>
                      </a:xfrm>
                      <a:prstGeom prst="straightConnector1"/>
                      <a:ln w="12700">
                        <a:solidFill/>
                      </a:ln>
                    </wps:spPr>
                    <wps:bodyPr/>
                  </wps:wsp>
                </a:graphicData>
              </a:graphic>
            </wp:anchor>
          </w:drawing>
        </mc:Choice>
        <mc:Fallback>
          <w:pict>
            <v:shape o:spt="32" o:oned="true" path="m,l21600,21600e" style="position:absolute;margin-left:56.700000000000003pt;margin-top:61.200000000000003pt;width:482.15000000000003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upperRoman"/>
      <w:lvlText w:val="[%1]"/>
      <w:rPr>
        <w:rFonts w:ascii="SimSun" w:eastAsia="SimSun" w:hAnsi="SimSun" w:cs="SimSun"/>
        <w:b w:val="0"/>
        <w:bCs w:val="0"/>
        <w:i w:val="0"/>
        <w:iCs w:val="0"/>
        <w:smallCaps w:val="0"/>
        <w:strike w:val="0"/>
        <w:color w:val="231E20"/>
        <w:spacing w:val="0"/>
        <w:w w:val="100"/>
        <w:position w:val="0"/>
        <w:sz w:val="12"/>
        <w:szCs w:val="12"/>
        <w:u w:val="none"/>
        <w:shd w:val="clear" w:color="auto" w:fill="auto"/>
        <w:lang w:val="en-US" w:eastAsia="en-US" w:bidi="en-US"/>
      </w:rPr>
    </w:lvl>
  </w:abstractNum>
  <w:abstractNum w:abstractNumId="2">
    <w:multiLevelType w:val="multilevel"/>
    <w:lvl w:ilvl="0">
      <w:start w:val="3"/>
      <w:numFmt w:val="decimal"/>
      <w:lvlText w:val="[%1]"/>
      <w:rPr>
        <w:rFonts w:ascii="SimSun" w:eastAsia="SimSun" w:hAnsi="SimSun" w:cs="SimSun"/>
        <w:b w:val="0"/>
        <w:bCs w:val="0"/>
        <w:i w:val="0"/>
        <w:iCs w:val="0"/>
        <w:smallCaps w:val="0"/>
        <w:strike w:val="0"/>
        <w:color w:val="231E20"/>
        <w:spacing w:val="0"/>
        <w:w w:val="100"/>
        <w:position w:val="0"/>
        <w:sz w:val="12"/>
        <w:szCs w:val="12"/>
        <w:u w:val="none"/>
        <w:shd w:val="clear" w:color="auto" w:fill="auto"/>
        <w:lang w:val="en-US" w:eastAsia="en-US" w:bidi="en-US"/>
      </w:rPr>
    </w:lvl>
  </w:abstractNum>
  <w:abstractNum w:abstractNumId="4">
    <w:multiLevelType w:val="multilevel"/>
    <w:lvl w:ilvl="0">
      <w:start w:val="8"/>
      <w:numFmt w:val="decimal"/>
      <w:lvlText w:val="[%1]"/>
      <w:rPr>
        <w:rFonts w:ascii="SimSun" w:eastAsia="SimSun" w:hAnsi="SimSun" w:cs="SimSun"/>
        <w:b w:val="0"/>
        <w:bCs w:val="0"/>
        <w:i w:val="0"/>
        <w:iCs w:val="0"/>
        <w:smallCaps w:val="0"/>
        <w:strike w:val="0"/>
        <w:color w:val="231E20"/>
        <w:spacing w:val="0"/>
        <w:w w:val="100"/>
        <w:position w:val="0"/>
        <w:sz w:val="12"/>
        <w:szCs w:val="12"/>
        <w:u w:val="none"/>
        <w:shd w:val="clear" w:color="auto" w:fill="auto"/>
        <w:lang w:val="en-US" w:eastAsia="en-US" w:bidi="en-US"/>
      </w:rPr>
    </w:lvl>
  </w:abstractNum>
  <w:abstractNum w:abstractNumId="6">
    <w:multiLevelType w:val="multilevel"/>
    <w:lvl w:ilvl="0">
      <w:start w:val="12"/>
      <w:numFmt w:val="decimal"/>
      <w:lvlText w:val="[%1]"/>
      <w:rPr>
        <w:rFonts w:ascii="SimSun" w:eastAsia="SimSun" w:hAnsi="SimSun" w:cs="SimSun"/>
        <w:b w:val="0"/>
        <w:bCs w:val="0"/>
        <w:i w:val="0"/>
        <w:iCs w:val="0"/>
        <w:smallCaps w:val="0"/>
        <w:strike w:val="0"/>
        <w:color w:val="231E20"/>
        <w:spacing w:val="0"/>
        <w:w w:val="100"/>
        <w:position w:val="0"/>
        <w:sz w:val="12"/>
        <w:szCs w:val="12"/>
        <w:u w:val="none"/>
        <w:shd w:val="clear" w:color="auto" w:fill="FFFFFF"/>
        <w:lang w:val="en-US" w:eastAsia="en-US" w:bidi="en-US"/>
      </w:rPr>
    </w:lvl>
  </w:abstractNum>
  <w:abstractNum w:abstractNumId="8">
    <w:multiLevelType w:val="multilevel"/>
    <w:lvl w:ilvl="0">
      <w:start w:val="16"/>
      <w:numFmt w:val="decimal"/>
      <w:lvlText w:val="[%1]"/>
      <w:rPr>
        <w:rFonts w:ascii="SimSun" w:eastAsia="SimSun" w:hAnsi="SimSun" w:cs="SimSun"/>
        <w:b w:val="0"/>
        <w:bCs w:val="0"/>
        <w:i w:val="0"/>
        <w:iCs w:val="0"/>
        <w:smallCaps w:val="0"/>
        <w:strike w:val="0"/>
        <w:color w:val="231E20"/>
        <w:spacing w:val="0"/>
        <w:w w:val="100"/>
        <w:position w:val="0"/>
        <w:sz w:val="12"/>
        <w:szCs w:val="12"/>
        <w:u w:val="none"/>
        <w:shd w:val="clear" w:color="auto" w:fill="auto"/>
        <w:lang w:val="en-US" w:eastAsia="en-US" w:bidi="en-US"/>
      </w:rPr>
    </w:lvl>
  </w:abstractNum>
  <w:num w:numId="1">
    <w:abstractNumId w:val="0"/>
  </w:num>
  <w:num w:numId="3">
    <w:abstractNumId w:val="2"/>
  </w:num>
  <w:num w:numId="5">
    <w:abstractNumId w:val="4"/>
  </w:num>
  <w:num w:numId="7">
    <w:abstractNumId w:val="6"/>
  </w:num>
  <w:num w:numId="9">
    <w:abstractNumId w:val="8"/>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evenAndOddHeaders/>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2_"/>
    <w:basedOn w:val="DefaultParagraphFont"/>
    <w:link w:val="Style2"/>
    <w:rPr>
      <w:rFonts w:ascii="SimSun" w:eastAsia="SimSun" w:hAnsi="SimSun" w:cs="SimSun"/>
      <w:b w:val="0"/>
      <w:bCs w:val="0"/>
      <w:i w:val="0"/>
      <w:iCs w:val="0"/>
      <w:smallCaps w:val="0"/>
      <w:strike w:val="0"/>
      <w:color w:val="231E20"/>
      <w:sz w:val="20"/>
      <w:szCs w:val="20"/>
      <w:u w:val="none"/>
      <w:shd w:val="clear" w:color="auto" w:fill="auto"/>
      <w:lang w:val="zh-TW" w:eastAsia="zh-TW" w:bidi="zh-TW"/>
    </w:rPr>
  </w:style>
  <w:style w:type="character" w:customStyle="1" w:styleId="CharStyle5">
    <w:name w:val="Header or footer|2_"/>
    <w:basedOn w:val="DefaultParagraphFont"/>
    <w:link w:val="Style4"/>
    <w:rPr>
      <w:b w:val="0"/>
      <w:bCs w:val="0"/>
      <w:i w:val="0"/>
      <w:iCs w:val="0"/>
      <w:smallCaps w:val="0"/>
      <w:strike w:val="0"/>
      <w:sz w:val="20"/>
      <w:szCs w:val="20"/>
      <w:u w:val="none"/>
      <w:shd w:val="clear" w:color="auto" w:fill="auto"/>
    </w:rPr>
  </w:style>
  <w:style w:type="character" w:customStyle="1" w:styleId="CharStyle10">
    <w:name w:val="Body text|3_"/>
    <w:basedOn w:val="DefaultParagraphFont"/>
    <w:link w:val="Style9"/>
    <w:rPr>
      <w:b w:val="0"/>
      <w:bCs w:val="0"/>
      <w:i w:val="0"/>
      <w:iCs w:val="0"/>
      <w:smallCaps w:val="0"/>
      <w:strike w:val="0"/>
      <w:color w:val="231E20"/>
      <w:sz w:val="17"/>
      <w:szCs w:val="17"/>
      <w:u w:val="none"/>
      <w:shd w:val="clear" w:color="auto" w:fill="auto"/>
    </w:rPr>
  </w:style>
  <w:style w:type="character" w:customStyle="1" w:styleId="CharStyle13">
    <w:name w:val="Heading #1|1_"/>
    <w:basedOn w:val="DefaultParagraphFont"/>
    <w:link w:val="Style12"/>
    <w:rPr>
      <w:rFonts w:ascii="SimSun" w:eastAsia="SimSun" w:hAnsi="SimSun" w:cs="SimSun"/>
      <w:b w:val="0"/>
      <w:bCs w:val="0"/>
      <w:i w:val="0"/>
      <w:iCs w:val="0"/>
      <w:smallCaps w:val="0"/>
      <w:strike w:val="0"/>
      <w:color w:val="231E20"/>
      <w:sz w:val="40"/>
      <w:szCs w:val="40"/>
      <w:u w:val="none"/>
      <w:shd w:val="clear" w:color="auto" w:fill="auto"/>
      <w:lang w:val="zh-TW" w:eastAsia="zh-TW" w:bidi="zh-TW"/>
    </w:rPr>
  </w:style>
  <w:style w:type="character" w:customStyle="1" w:styleId="CharStyle15">
    <w:name w:val="Heading #2|1_"/>
    <w:basedOn w:val="DefaultParagraphFont"/>
    <w:link w:val="Style14"/>
    <w:rPr>
      <w:rFonts w:ascii="SimSun" w:eastAsia="SimSun" w:hAnsi="SimSun" w:cs="SimSun"/>
      <w:b w:val="0"/>
      <w:bCs w:val="0"/>
      <w:i w:val="0"/>
      <w:iCs w:val="0"/>
      <w:smallCaps w:val="0"/>
      <w:strike w:val="0"/>
      <w:color w:val="231E20"/>
      <w:sz w:val="19"/>
      <w:szCs w:val="19"/>
      <w:u w:val="none"/>
      <w:shd w:val="clear" w:color="auto" w:fill="auto"/>
      <w:lang w:val="zh-TW" w:eastAsia="zh-TW" w:bidi="zh-TW"/>
    </w:rPr>
  </w:style>
  <w:style w:type="character" w:customStyle="1" w:styleId="CharStyle17">
    <w:name w:val="Body text|4_"/>
    <w:basedOn w:val="DefaultParagraphFont"/>
    <w:link w:val="Style16"/>
    <w:rPr>
      <w:rFonts w:ascii="SimSun" w:eastAsia="SimSun" w:hAnsi="SimSun" w:cs="SimSun"/>
      <w:b w:val="0"/>
      <w:bCs w:val="0"/>
      <w:i w:val="0"/>
      <w:iCs w:val="0"/>
      <w:smallCaps w:val="0"/>
      <w:strike w:val="0"/>
      <w:color w:val="231E20"/>
      <w:sz w:val="16"/>
      <w:szCs w:val="16"/>
      <w:u w:val="none"/>
      <w:shd w:val="clear" w:color="auto" w:fill="auto"/>
      <w:lang w:val="zh-TW" w:eastAsia="zh-TW" w:bidi="zh-TW"/>
    </w:rPr>
  </w:style>
  <w:style w:type="character" w:customStyle="1" w:styleId="CharStyle24">
    <w:name w:val="Body text|5_"/>
    <w:basedOn w:val="DefaultParagraphFont"/>
    <w:link w:val="Style23"/>
    <w:rPr>
      <w:rFonts w:ascii="SimSun" w:eastAsia="SimSun" w:hAnsi="SimSun" w:cs="SimSun"/>
      <w:b w:val="0"/>
      <w:bCs w:val="0"/>
      <w:i w:val="0"/>
      <w:iCs w:val="0"/>
      <w:smallCaps w:val="0"/>
      <w:strike w:val="0"/>
      <w:color w:val="231E20"/>
      <w:sz w:val="18"/>
      <w:szCs w:val="18"/>
      <w:u w:val="none"/>
      <w:shd w:val="clear" w:color="auto" w:fill="auto"/>
    </w:rPr>
  </w:style>
  <w:style w:type="character" w:customStyle="1" w:styleId="CharStyle27">
    <w:name w:val="Body text|1_"/>
    <w:basedOn w:val="DefaultParagraphFont"/>
    <w:link w:val="Style26"/>
    <w:rPr>
      <w:rFonts w:ascii="SimSun" w:eastAsia="SimSun" w:hAnsi="SimSun" w:cs="SimSun"/>
      <w:b w:val="0"/>
      <w:bCs w:val="0"/>
      <w:i w:val="0"/>
      <w:iCs w:val="0"/>
      <w:smallCaps w:val="0"/>
      <w:strike w:val="0"/>
      <w:color w:val="231E20"/>
      <w:sz w:val="12"/>
      <w:szCs w:val="12"/>
      <w:u w:val="none"/>
      <w:shd w:val="clear" w:color="auto" w:fill="auto"/>
    </w:rPr>
  </w:style>
  <w:style w:type="character" w:customStyle="1" w:styleId="CharStyle33">
    <w:name w:val="Body text|6_"/>
    <w:basedOn w:val="DefaultParagraphFont"/>
    <w:link w:val="Style32"/>
    <w:rPr>
      <w:b w:val="0"/>
      <w:bCs w:val="0"/>
      <w:i w:val="0"/>
      <w:iCs w:val="0"/>
      <w:smallCaps w:val="0"/>
      <w:strike w:val="0"/>
      <w:sz w:val="11"/>
      <w:szCs w:val="11"/>
      <w:u w:val="none"/>
      <w:shd w:val="clear" w:color="auto" w:fill="auto"/>
    </w:rPr>
  </w:style>
  <w:style w:type="paragraph" w:customStyle="1" w:styleId="Style2">
    <w:name w:val="Body text|2"/>
    <w:basedOn w:val="Normal"/>
    <w:link w:val="CharStyle3"/>
    <w:pPr>
      <w:widowControl w:val="0"/>
      <w:shd w:val="clear" w:color="auto" w:fill="auto"/>
      <w:spacing w:line="336" w:lineRule="exact"/>
    </w:pPr>
    <w:rPr>
      <w:rFonts w:ascii="SimSun" w:eastAsia="SimSun" w:hAnsi="SimSun" w:cs="SimSun"/>
      <w:b w:val="0"/>
      <w:bCs w:val="0"/>
      <w:i w:val="0"/>
      <w:iCs w:val="0"/>
      <w:smallCaps w:val="0"/>
      <w:strike w:val="0"/>
      <w:color w:val="231E20"/>
      <w:sz w:val="20"/>
      <w:szCs w:val="20"/>
      <w:u w:val="none"/>
      <w:shd w:val="clear" w:color="auto" w:fill="auto"/>
      <w:lang w:val="zh-TW" w:eastAsia="zh-TW" w:bidi="zh-TW"/>
    </w:rPr>
  </w:style>
  <w:style w:type="paragraph" w:customStyle="1" w:styleId="Style4">
    <w:name w:val="Header or footer|2"/>
    <w:basedOn w:val="Normal"/>
    <w:link w:val="CharStyle5"/>
    <w:pPr>
      <w:widowControl w:val="0"/>
      <w:shd w:val="clear" w:color="auto" w:fill="auto"/>
    </w:pPr>
    <w:rPr>
      <w:b w:val="0"/>
      <w:bCs w:val="0"/>
      <w:i w:val="0"/>
      <w:iCs w:val="0"/>
      <w:smallCaps w:val="0"/>
      <w:strike w:val="0"/>
      <w:sz w:val="20"/>
      <w:szCs w:val="20"/>
      <w:u w:val="none"/>
      <w:shd w:val="clear" w:color="auto" w:fill="auto"/>
    </w:rPr>
  </w:style>
  <w:style w:type="paragraph" w:customStyle="1" w:styleId="Style9">
    <w:name w:val="Body text|3"/>
    <w:basedOn w:val="Normal"/>
    <w:link w:val="CharStyle10"/>
    <w:pPr>
      <w:widowControl w:val="0"/>
      <w:shd w:val="clear" w:color="auto" w:fill="auto"/>
      <w:spacing w:line="379" w:lineRule="auto"/>
      <w:ind w:left="360"/>
    </w:pPr>
    <w:rPr>
      <w:b w:val="0"/>
      <w:bCs w:val="0"/>
      <w:i w:val="0"/>
      <w:iCs w:val="0"/>
      <w:smallCaps w:val="0"/>
      <w:strike w:val="0"/>
      <w:color w:val="231E20"/>
      <w:sz w:val="17"/>
      <w:szCs w:val="17"/>
      <w:u w:val="none"/>
      <w:shd w:val="clear" w:color="auto" w:fill="auto"/>
    </w:rPr>
  </w:style>
  <w:style w:type="paragraph" w:customStyle="1" w:styleId="Style12">
    <w:name w:val="Heading #1|1"/>
    <w:basedOn w:val="Normal"/>
    <w:link w:val="CharStyle13"/>
    <w:pPr>
      <w:widowControl w:val="0"/>
      <w:shd w:val="clear" w:color="auto" w:fill="auto"/>
      <w:spacing w:after="480"/>
      <w:jc w:val="center"/>
      <w:outlineLvl w:val="0"/>
    </w:pPr>
    <w:rPr>
      <w:rFonts w:ascii="SimSun" w:eastAsia="SimSun" w:hAnsi="SimSun" w:cs="SimSun"/>
      <w:b w:val="0"/>
      <w:bCs w:val="0"/>
      <w:i w:val="0"/>
      <w:iCs w:val="0"/>
      <w:smallCaps w:val="0"/>
      <w:strike w:val="0"/>
      <w:color w:val="231E20"/>
      <w:sz w:val="40"/>
      <w:szCs w:val="40"/>
      <w:u w:val="none"/>
      <w:shd w:val="clear" w:color="auto" w:fill="auto"/>
      <w:lang w:val="zh-TW" w:eastAsia="zh-TW" w:bidi="zh-TW"/>
    </w:rPr>
  </w:style>
  <w:style w:type="paragraph" w:customStyle="1" w:styleId="Style14">
    <w:name w:val="Heading #2|1"/>
    <w:basedOn w:val="Normal"/>
    <w:link w:val="CharStyle15"/>
    <w:pPr>
      <w:widowControl w:val="0"/>
      <w:shd w:val="clear" w:color="auto" w:fill="auto"/>
      <w:spacing w:after="300"/>
      <w:jc w:val="center"/>
      <w:outlineLvl w:val="1"/>
    </w:pPr>
    <w:rPr>
      <w:rFonts w:ascii="SimSun" w:eastAsia="SimSun" w:hAnsi="SimSun" w:cs="SimSun"/>
      <w:b w:val="0"/>
      <w:bCs w:val="0"/>
      <w:i w:val="0"/>
      <w:iCs w:val="0"/>
      <w:smallCaps w:val="0"/>
      <w:strike w:val="0"/>
      <w:color w:val="231E20"/>
      <w:sz w:val="19"/>
      <w:szCs w:val="19"/>
      <w:u w:val="none"/>
      <w:shd w:val="clear" w:color="auto" w:fill="auto"/>
      <w:lang w:val="zh-TW" w:eastAsia="zh-TW" w:bidi="zh-TW"/>
    </w:rPr>
  </w:style>
  <w:style w:type="paragraph" w:customStyle="1" w:styleId="Style16">
    <w:name w:val="Body text|4"/>
    <w:basedOn w:val="Normal"/>
    <w:link w:val="CharStyle17"/>
    <w:pPr>
      <w:widowControl w:val="0"/>
      <w:shd w:val="clear" w:color="auto" w:fill="auto"/>
      <w:spacing w:line="288" w:lineRule="exact"/>
      <w:ind w:left="320"/>
    </w:pPr>
    <w:rPr>
      <w:rFonts w:ascii="SimSun" w:eastAsia="SimSun" w:hAnsi="SimSun" w:cs="SimSun"/>
      <w:b w:val="0"/>
      <w:bCs w:val="0"/>
      <w:i w:val="0"/>
      <w:iCs w:val="0"/>
      <w:smallCaps w:val="0"/>
      <w:strike w:val="0"/>
      <w:color w:val="231E20"/>
      <w:sz w:val="16"/>
      <w:szCs w:val="16"/>
      <w:u w:val="none"/>
      <w:shd w:val="clear" w:color="auto" w:fill="auto"/>
      <w:lang w:val="zh-TW" w:eastAsia="zh-TW" w:bidi="zh-TW"/>
    </w:rPr>
  </w:style>
  <w:style w:type="paragraph" w:customStyle="1" w:styleId="Style23">
    <w:name w:val="Body text|5"/>
    <w:basedOn w:val="Normal"/>
    <w:link w:val="CharStyle24"/>
    <w:pPr>
      <w:widowControl w:val="0"/>
      <w:shd w:val="clear" w:color="auto" w:fill="auto"/>
      <w:spacing w:after="220" w:line="336" w:lineRule="exact"/>
      <w:ind w:firstLine="420"/>
    </w:pPr>
    <w:rPr>
      <w:rFonts w:ascii="SimSun" w:eastAsia="SimSun" w:hAnsi="SimSun" w:cs="SimSun"/>
      <w:b w:val="0"/>
      <w:bCs w:val="0"/>
      <w:i w:val="0"/>
      <w:iCs w:val="0"/>
      <w:smallCaps w:val="0"/>
      <w:strike w:val="0"/>
      <w:color w:val="231E20"/>
      <w:sz w:val="18"/>
      <w:szCs w:val="18"/>
      <w:u w:val="none"/>
      <w:shd w:val="clear" w:color="auto" w:fill="auto"/>
    </w:rPr>
  </w:style>
  <w:style w:type="paragraph" w:customStyle="1" w:styleId="Style26">
    <w:name w:val="Body text|1"/>
    <w:basedOn w:val="Normal"/>
    <w:link w:val="CharStyle27"/>
    <w:pPr>
      <w:widowControl w:val="0"/>
      <w:shd w:val="clear" w:color="auto" w:fill="auto"/>
      <w:spacing w:line="480" w:lineRule="auto"/>
    </w:pPr>
    <w:rPr>
      <w:rFonts w:ascii="SimSun" w:eastAsia="SimSun" w:hAnsi="SimSun" w:cs="SimSun"/>
      <w:b w:val="0"/>
      <w:bCs w:val="0"/>
      <w:i w:val="0"/>
      <w:iCs w:val="0"/>
      <w:smallCaps w:val="0"/>
      <w:strike w:val="0"/>
      <w:color w:val="231E20"/>
      <w:sz w:val="12"/>
      <w:szCs w:val="12"/>
      <w:u w:val="none"/>
      <w:shd w:val="clear" w:color="auto" w:fill="auto"/>
    </w:rPr>
  </w:style>
  <w:style w:type="paragraph" w:customStyle="1" w:styleId="Style32">
    <w:name w:val="Body text|6"/>
    <w:basedOn w:val="Normal"/>
    <w:link w:val="CharStyle33"/>
    <w:pPr>
      <w:widowControl w:val="0"/>
      <w:shd w:val="clear" w:color="auto" w:fill="auto"/>
      <w:spacing w:after="140" w:line="209" w:lineRule="auto"/>
      <w:ind w:firstLine="600"/>
    </w:pPr>
    <w:rPr>
      <w:b w:val="0"/>
      <w:bCs w:val="0"/>
      <w:i w:val="0"/>
      <w:iCs w:val="0"/>
      <w:smallCaps w:val="0"/>
      <w:strike w:val="0"/>
      <w:sz w:val="11"/>
      <w:szCs w:val="11"/>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s>
</file>

<file path=docProps/core.xml><?xml version="1.0" encoding="utf-8"?>
<cp:coreProperties xmlns:cp="http://schemas.openxmlformats.org/package/2006/metadata/core-properties" xmlns:dc="http://purl.org/dc/elements/1.1/">
  <dc:title/>
  <dc:subject/>
  <dc:creator>CNKI</dc:creator>
  <cp:keywords/>
</cp:coreProperties>
</file>