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2017</w:t>
      </w:r>
      <w:r>
        <w:rPr>
          <w:color w:val="000000"/>
          <w:spacing w:val="0"/>
          <w:w w:val="100"/>
          <w:position w:val="0"/>
        </w:rPr>
        <w:t>年意大利共识指南：类风湿性关节炎患者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感染的管理》摘译</w:t>
      </w:r>
      <w:bookmarkEnd w:id="0"/>
      <w:bookmarkEnd w:id="1"/>
      <w:bookmarkEnd w:id="2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吴锦露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潘文婷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2</w:t>
      </w:r>
      <w:r>
        <w:rPr>
          <w:color w:val="000000"/>
          <w:spacing w:val="0"/>
          <w:w w:val="100"/>
          <w:position w:val="0"/>
        </w:rPr>
        <w:t>译，陈晔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 xml:space="preserve">° </w:t>
      </w:r>
      <w:r>
        <w:rPr>
          <w:color w:val="000000"/>
          <w:spacing w:val="0"/>
          <w:w w:val="100"/>
          <w:position w:val="0"/>
        </w:rPr>
        <w:t>,陈永平恥审校</w:t>
      </w:r>
      <w:bookmarkEnd w:id="3"/>
      <w:bookmarkEnd w:id="4"/>
      <w:bookmarkEnd w:id="5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(1</w:t>
      </w:r>
      <w:r>
        <w:rPr>
          <w:color w:val="000000"/>
          <w:spacing w:val="0"/>
          <w:w w:val="100"/>
          <w:position w:val="0"/>
          <w:sz w:val="18"/>
          <w:szCs w:val="18"/>
        </w:rPr>
        <w:t>温州医科大学附属第一医院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  <w:sz w:val="18"/>
          <w:szCs w:val="18"/>
        </w:rPr>
        <w:t>感染科；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  <w:sz w:val="18"/>
          <w:szCs w:val="18"/>
        </w:rPr>
        <w:t>心血管内科，浙江温州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325000</w:t>
      </w:r>
      <w:r>
        <w:rPr>
          <w:color w:val="000000"/>
          <w:spacing w:val="0"/>
          <w:w w:val="100"/>
          <w:position w:val="0"/>
          <w:sz w:val="18"/>
          <w:szCs w:val="18"/>
        </w:rPr>
        <w:t>；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cente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</w:rPr>
        <w:t>温州医科大学第一临床医学院，浙江温州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325000</w:t>
      </w:r>
      <w:r>
        <w:rPr>
          <w:color w:val="000000"/>
          <w:spacing w:val="0"/>
          <w:w w:val="100"/>
          <w:position w:val="0"/>
          <w:sz w:val="18"/>
          <w:szCs w:val="18"/>
        </w:rPr>
        <w:t>)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关键词：关节炎，类风湿；肝炎病毒，乙型；疾病管理；诊疗准则；意大利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3284" w:val="left"/>
          <w:tab w:pos="4921" w:val="left"/>
        </w:tabs>
        <w:bidi w:val="0"/>
        <w:spacing w:before="0" w:after="220" w:line="28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中图分类号: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R512.62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R593.22</w:t>
        <w:tab/>
      </w:r>
      <w:r>
        <w:rPr>
          <w:color w:val="000000"/>
          <w:spacing w:val="0"/>
          <w:w w:val="100"/>
          <w:position w:val="0"/>
        </w:rPr>
        <w:t>文献标志码: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</w:t>
        <w:tab/>
      </w:r>
      <w:r>
        <w:rPr>
          <w:color w:val="000000"/>
          <w:spacing w:val="0"/>
          <w:w w:val="100"/>
          <w:position w:val="0"/>
        </w:rPr>
        <w:t>文章编号：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An excerpt of Italian consensus guidelines for the management of hepatitis B virus infections in patients with rheuma</w:t>
        <w:softHyphen/>
        <w:t xml:space="preserve">toid arthritis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(2017)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WU Jinlu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PAN Venting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CHEN Ye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et al.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Department of Infectious Diseases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The First Affiliated Hospital of Wenzhou Medical University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Wenzhou 325000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China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)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218" w:h="15230"/>
          <w:pgMar w:top="1622" w:right="374" w:bottom="964" w:left="595" w:header="0" w:footer="3" w:gutter="0"/>
          <w:pgNumType w:start="2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Key words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arthritis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rheumatoid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hepatitis B virus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disease management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practice guideline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Italy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全球约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1/3</w:t>
      </w:r>
      <w:r>
        <w:rPr>
          <w:color w:val="000000"/>
          <w:spacing w:val="0"/>
          <w:w w:val="100"/>
          <w:position w:val="0"/>
        </w:rPr>
        <w:t>人口既往或近期有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感染的血清 学证据，其中350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-400</w:t>
      </w:r>
      <w:r>
        <w:rPr>
          <w:color w:val="000000"/>
          <w:spacing w:val="0"/>
          <w:w w:val="100"/>
          <w:position w:val="0"/>
        </w:rPr>
        <w:t>万人为慢性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 xml:space="preserve">携带者。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感染的流行很大程度取决于地地区域因素:西方 国家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感染率约为1% ,大多数发展中国家为2% 以上,部分亚洲和非洲国家可达到8%以上。宿主的 免疫反应在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感染的自然史中发挥关键作用，肝 损伤是由由主免疫细胞的细胞毒性作用而非病毒的 细胞病变效应所导致的。在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 xml:space="preserve">缺失后的抗-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</w:t>
      </w:r>
      <w:r>
        <w:rPr>
          <w:color w:val="000000"/>
          <w:spacing w:val="0"/>
          <w:w w:val="100"/>
          <w:position w:val="0"/>
        </w:rPr>
        <w:t>和抗</w:t>
      </w:r>
      <w:r>
        <w:rPr>
          <w:color w:val="000000"/>
          <w:spacing w:val="0"/>
          <w:w w:val="100"/>
          <w:position w:val="0"/>
          <w:lang w:val="en-US" w:eastAsia="en-US" w:bidi="en-US"/>
        </w:rPr>
        <w:t>-HBc IgG</w:t>
      </w:r>
      <w:r>
        <w:rPr>
          <w:color w:val="000000"/>
          <w:spacing w:val="0"/>
          <w:w w:val="100"/>
          <w:position w:val="0"/>
        </w:rPr>
        <w:t>阳性的乙型肝炎炎解有患者中， 不不其血清中能否检测到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DNA,</w:t>
      </w:r>
      <w:r>
        <w:rPr>
          <w:color w:val="000000"/>
          <w:spacing w:val="0"/>
          <w:w w:val="100"/>
          <w:position w:val="0"/>
        </w:rPr>
        <w:t>病毒基因组在 肝组织中国持续存在，且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再激活的风险主要发 生在机体免疫抑制的情况下。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44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目前,在风湿的疾病患者中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  <w:sz w:val="20"/>
          <w:szCs w:val="20"/>
        </w:rPr>
        <w:t>的感染率仍是 未知的。少数关于于风湿的关节节(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rheumatoid arthri</w:t>
        <w:softHyphen/>
        <w:t xml:space="preserve">tis, RA </w:t>
      </w:r>
      <w:r>
        <w:rPr>
          <w:color w:val="000000"/>
          <w:spacing w:val="0"/>
          <w:w w:val="100"/>
          <w:position w:val="0"/>
          <w:sz w:val="20"/>
          <w:szCs w:val="20"/>
        </w:rPr>
        <w:t>)患者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  <w:sz w:val="20"/>
          <w:szCs w:val="20"/>
        </w:rPr>
        <w:t>感染率的研究也仅局限于小的样本 量、特殊人群或是一定的地地区域。虽然在开开免疫 抑制治疗或接受具有肝脏毒的药物治疗前对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  <w:sz w:val="20"/>
          <w:szCs w:val="20"/>
        </w:rPr>
        <w:t>的 检查是强制作的，但在所有的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20"/>
          <w:szCs w:val="20"/>
        </w:rPr>
        <w:t>患者中开开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  <w:sz w:val="20"/>
          <w:szCs w:val="20"/>
        </w:rPr>
        <w:t>筛 查并未得到广泛实施。免疫抑制剂在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患者中的广 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doi：10.3969/j. issn. 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1001 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-5256.2017. 11.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211" w:lineRule="exact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收收日期</w:t>
      </w:r>
      <w:r>
        <w:rPr>
          <w:color w:val="000000"/>
          <w:spacing w:val="0"/>
          <w:w w:val="100"/>
          <w:position w:val="0"/>
          <w:sz w:val="15"/>
          <w:szCs w:val="15"/>
        </w:rPr>
        <w:t>：2017 -06 -15；</w:t>
      </w:r>
      <w:r>
        <w:rPr>
          <w:color w:val="000000"/>
          <w:spacing w:val="0"/>
          <w:w w:val="100"/>
          <w:position w:val="0"/>
          <w:sz w:val="14"/>
          <w:szCs w:val="14"/>
        </w:rPr>
        <w:t>修回日期</w:t>
      </w:r>
      <w:r>
        <w:rPr>
          <w:color w:val="000000"/>
          <w:spacing w:val="0"/>
          <w:w w:val="100"/>
          <w:position w:val="0"/>
          <w:sz w:val="15"/>
          <w:szCs w:val="15"/>
        </w:rPr>
        <w:t>：2017 -07 -27</w:t>
      </w:r>
      <w:r>
        <w:rPr>
          <w:color w:val="000000"/>
          <w:spacing w:val="0"/>
          <w:w w:val="100"/>
          <w:position w:val="0"/>
          <w:sz w:val="14"/>
          <w:szCs w:val="14"/>
        </w:rPr>
        <w:t>。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211" w:lineRule="exact"/>
        <w:ind w:left="860" w:right="0" w:hanging="86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作者简介：吴锦露(</w:t>
      </w:r>
      <w:r>
        <w:rPr>
          <w:color w:val="000000"/>
          <w:spacing w:val="0"/>
          <w:w w:val="100"/>
          <w:position w:val="0"/>
          <w:sz w:val="15"/>
          <w:szCs w:val="15"/>
        </w:rPr>
        <w:t>1992 -</w:t>
      </w:r>
      <w:r>
        <w:rPr>
          <w:color w:val="000000"/>
          <w:spacing w:val="0"/>
          <w:w w:val="100"/>
          <w:position w:val="0"/>
          <w:sz w:val="14"/>
          <w:szCs w:val="14"/>
        </w:rPr>
        <w:t>)，女，主要从事乙型肝炎和自身免疫性肝 炎研究。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通信作者：陈永平，电子信信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：13505777281@ 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163. com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。 </w:t>
      </w:r>
      <w:r>
        <w:rPr>
          <w:rStyle w:val="CharStyle29"/>
        </w:rPr>
        <w:t>泛使用以及对这类患者预期寿命的延迟增加了对该 疾病</w:t>
      </w:r>
      <w:r>
        <w:rPr>
          <w:rStyle w:val="CharStyle29"/>
          <w:lang w:val="en-US" w:eastAsia="en-US" w:bidi="en-US"/>
        </w:rPr>
        <w:t>HBV</w:t>
      </w:r>
      <w:r>
        <w:rPr>
          <w:rStyle w:val="CharStyle29"/>
        </w:rPr>
        <w:t>感染管理的必要的。因素,意大利风湿变 学学会联合意大利传染病和热带疾病研究学会发布 了一项国家共识，旨在回顾类风湿性关节炎患者</w:t>
      </w:r>
      <w:r>
        <w:rPr>
          <w:rStyle w:val="CharStyle29"/>
          <w:lang w:val="en-US" w:eastAsia="en-US" w:bidi="en-US"/>
        </w:rPr>
        <w:t xml:space="preserve">HBV </w:t>
      </w:r>
      <w:r>
        <w:rPr>
          <w:rStyle w:val="CharStyle29"/>
        </w:rPr>
        <w:t>管理的现有证据及推出实用的全院指南。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</w:rPr>
        <w:t>方法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本本南对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 xml:space="preserve">患者的管理建议(表1) 是由意大利风风性疾病患者传染病研究和管理小组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(ISMIR)</w:t>
      </w:r>
      <w:r>
        <w:rPr>
          <w:color w:val="000000"/>
          <w:spacing w:val="0"/>
          <w:w w:val="100"/>
          <w:position w:val="0"/>
        </w:rPr>
        <w:t>提出、由意大利风湿病学会和意大利传染病和 热带带学会推广。共识小组由感染性疾病顾问、风湿和 学专家和流行病学专家组成，使用牛津循证医学中心标 准来评估证据的质量及推荐等级。通过研究系统性综 述、观察性研究或案例报道来评估暴露于改善病毒抗风 和药物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(disease modifying antirheumatic drugs, DMARDs) </w:t>
      </w:r>
      <w:r>
        <w:rPr>
          <w:color w:val="000000"/>
          <w:spacing w:val="0"/>
          <w:w w:val="100"/>
          <w:position w:val="0"/>
        </w:rPr>
        <w:t>患者的肝炎感染或重新接受疫苗的风险。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3" w:val="left"/>
        </w:tabs>
        <w:bidi w:val="0"/>
        <w:spacing w:before="0" w:after="0" w:line="314" w:lineRule="exact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  <w:sz w:val="19"/>
          <w:szCs w:val="19"/>
        </w:rPr>
        <w:t>慢性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  <w:sz w:val="19"/>
          <w:szCs w:val="19"/>
        </w:rPr>
        <w:t>感染的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19"/>
          <w:szCs w:val="19"/>
        </w:rPr>
        <w:t>患者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再激活风险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再激活常见于免疫缺陷患者，其中包括传统是在 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 xml:space="preserve">和(或)高高量泼尼松治疗的风湿性疾病 患者。在美国退伍军人健康管理局的一项研究中，检 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查了 </w:t>
      </w:r>
      <w:r>
        <w:rPr>
          <w:color w:val="000000"/>
          <w:spacing w:val="0"/>
          <w:w w:val="100"/>
          <w:position w:val="0"/>
        </w:rPr>
        <w:t>556例血中中含有任意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标志物的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患者, 基线时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ALT</w:t>
      </w:r>
      <w:r>
        <w:rPr>
          <w:color w:val="000000"/>
          <w:spacing w:val="0"/>
          <w:w w:val="100"/>
          <w:position w:val="0"/>
        </w:rPr>
        <w:t>水平平常或接近正常，随后用生物或非在 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治疗。其中有959次发展性症状被划分 为不良事件，在12个月内2.7%的病例出现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ALT</w:t>
      </w:r>
      <w:r>
        <w:rPr>
          <w:color w:val="000000"/>
          <w:spacing w:val="0"/>
          <w:w w:val="100"/>
          <w:position w:val="0"/>
        </w:rPr>
        <w:t>水平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>1 ISMIR</w:t>
      </w:r>
      <w:r>
        <w:rPr>
          <w:color w:val="000000"/>
          <w:spacing w:val="0"/>
          <w:w w:val="100"/>
          <w:position w:val="0"/>
        </w:rPr>
        <w:t>共识研究团队的建议</w:t>
      </w:r>
    </w:p>
    <w:tbl>
      <w:tblPr>
        <w:tblOverlap w:val="never"/>
        <w:jc w:val="center"/>
        <w:tblLayout w:type="fixed"/>
      </w:tblPr>
      <w:tblGrid>
        <w:gridCol w:w="422"/>
        <w:gridCol w:w="3518"/>
        <w:gridCol w:w="902"/>
      </w:tblGrid>
      <w:tr>
        <w:trPr>
          <w:trHeight w:val="55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序号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建议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循证级别/ 推荐等级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所有关者在诊断为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RA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的同时应筛查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</w:t>
              <w:softHyphen/>
              <w:t xml:space="preserve">sAg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抗 -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HBs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和抗 -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HBc IgG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2a/B</w:t>
            </w:r>
          </w:p>
        </w:tc>
      </w:tr>
      <w:tr>
        <w:trPr>
          <w:trHeight w:val="170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3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根据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HBV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感染的国际指南，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HBsAg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阳性的 患者应转介给专科医生，并在开开免疫抑制 治疗前予进一步检查，包括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HBsAg、HBeAg、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抗-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HBe、HBV DNA、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是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HDV IgG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定量以及 肝功能检查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［AST, ALT,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胆红素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，GGT,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白蛋 白，肌酐，国际标准化比值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（INR）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和血细胞分 类计数］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1a/A</w:t>
            </w:r>
          </w:p>
        </w:tc>
      </w:tr>
      <w:tr>
        <w:trPr>
          <w:trHeight w:val="121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2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抗-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HBc IgG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阳性，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HbsAg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性性患者也应转 介给专科科生，并在开开免疫抑制治疗前进 进一步检查，包括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HBV DNA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和肝功能检查 （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AST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ALT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,胆红红，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GGT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,白蛋白，肌酐,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INR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和血细胞分析计数）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2a/B</w:t>
            </w:r>
          </w:p>
        </w:tc>
      </w:tr>
      <w:tr>
        <w:trPr>
          <w:trHeight w:val="51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0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活动性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HBV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携带者在开开免疫抑制治疗前应 根据国际指南予恩替卡韦或替诺诺韦治疗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1a/A</w:t>
            </w:r>
          </w:p>
        </w:tc>
      </w:tr>
      <w:tr>
        <w:trPr>
          <w:trHeight w:val="99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8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当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RA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患者岀现急性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HBV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感染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（acute hepati- tisB, AHB）,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如先进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HBV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血细学性性的的 者岀现感染症状，应根据国际南南进行为体 毒治疗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5/B</w:t>
            </w:r>
          </w:p>
        </w:tc>
      </w:tr>
      <w:tr>
        <w:trPr>
          <w:trHeight w:val="97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2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非活动性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HBV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携带者应受免疫抑制治疗前 应启动拉米夫定预防治疗;基线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HBV DNA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 xml:space="preserve">水平＞500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IU/ml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的患者应予进预防性恩诺 卡韦或奥诺诺韦治疗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3/B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5/C</w:t>
            </w:r>
          </w:p>
        </w:tc>
      </w:tr>
      <w:tr>
        <w:trPr>
          <w:trHeight w:val="9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2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应在免疫抑制治疗前4周开始使用抗病毒 预防治的，并在停药后继续抗病毒12个月 （应用利妥昔单是治疗的患者应持续24个 月）。应密切监督停止预防治疗的患者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3/B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5/C</w:t>
            </w:r>
          </w:p>
        </w:tc>
      </w:tr>
      <w:tr>
        <w:trPr>
          <w:trHeight w:val="193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隐匿性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HBV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携带者应根据给治治疗相关的 再激活风险进行监督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低危:每6个月检查1次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HBsAg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中高危［生物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DMARDs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和（或）甲甲蝶吟和 （或）来氟米米和（或）皮皮类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CN" w:eastAsia="zh-CN" w:bidi="zh-CN"/>
              </w:rPr>
              <w:t>固醇〉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7.5 mg/d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治疗］:每3个月检查1次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HBsAg</w:t>
            </w:r>
          </w:p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5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高危（利妥昔单抗治疗）：不能保证监督时， 应考虑予进拉米夫夫预防治疗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5/C</w:t>
            </w:r>
          </w:p>
        </w:tc>
      </w:tr>
      <w:tr>
        <w:trPr>
          <w:trHeight w:val="1195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2" w:lineRule="exact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HBV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血清学标志物性性的的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RA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患者在诊 面的同时应接受乙型肝炎疫苗接种，且优先 选择在免疫抑制治疗前进行;接种疫苗的的 者在开开免疫抑制治疗前应评估抗-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 xml:space="preserve">HBs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的滴度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4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5/C</w:t>
            </w:r>
          </w:p>
        </w:tc>
      </w:tr>
    </w:tbl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升高至＞ 100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IU/ml,</w:t>
      </w:r>
      <w:r>
        <w:rPr>
          <w:color w:val="000000"/>
          <w:spacing w:val="0"/>
          <w:w w:val="100"/>
          <w:position w:val="0"/>
        </w:rPr>
        <w:t>在生物或非生物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 xml:space="preserve">治疗 组之间无差异（2.6%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vs2.8%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,P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=0.87）。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23" w:val="left"/>
        </w:tabs>
        <w:bidi w:val="0"/>
        <w:spacing w:before="0" w:after="0" w:line="316" w:lineRule="exact"/>
        <w:ind w:left="0" w:right="0" w:firstLine="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和和固醇 从1980年起即明确了类固醇 可诱导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慢性携带者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复制增加。使用类类 醇与风湿性疾病的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再激活有关,特别是在隐匿 性和非活动性携带者中使用较高剂量（＞20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mg/d,</w:t>
      </w:r>
      <w:r>
        <w:rPr>
          <w:color w:val="000000"/>
          <w:spacing w:val="0"/>
          <w:w w:val="100"/>
          <w:position w:val="0"/>
        </w:rPr>
        <w:t xml:space="preserve">持 </w:t>
      </w:r>
      <w:r>
        <w:rPr>
          <w:color w:val="000000"/>
          <w:spacing w:val="0"/>
          <w:w w:val="100"/>
          <w:position w:val="0"/>
        </w:rPr>
        <w:t>续至少2周）的强的松会增加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感染再激活的风 险。一项前瞻性研究也表明，长时间使用较高剂量 （</w:t>
      </w:r>
      <w:r>
        <w:rPr>
          <w:b/>
          <w:bCs/>
          <w:color w:val="000000"/>
          <w:spacing w:val="0"/>
          <w:w w:val="100"/>
          <w:position w:val="0"/>
        </w:rPr>
        <w:t>^</w:t>
      </w:r>
      <w:r>
        <w:rPr>
          <w:color w:val="000000"/>
          <w:spacing w:val="0"/>
          <w:w w:val="100"/>
          <w:position w:val="0"/>
        </w:rPr>
        <w:t xml:space="preserve">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mg/d）</w:t>
      </w:r>
      <w:r>
        <w:rPr>
          <w:color w:val="000000"/>
          <w:spacing w:val="0"/>
          <w:w w:val="100"/>
          <w:position w:val="0"/>
        </w:rPr>
        <w:t>强的松治疗同样会增加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感染再活 活的湿险。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9" w:val="left"/>
        </w:tabs>
        <w:bidi w:val="0"/>
        <w:spacing w:before="0" w:after="0" w:line="315" w:lineRule="exact"/>
        <w:ind w:left="0" w:right="0" w:firstLine="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  <w:sz w:val="19"/>
          <w:szCs w:val="19"/>
        </w:rPr>
        <w:t>和传统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DMARDs </w:t>
      </w:r>
      <w:r>
        <w:rPr>
          <w:color w:val="000000"/>
          <w:spacing w:val="0"/>
          <w:w w:val="100"/>
          <w:position w:val="0"/>
        </w:rPr>
        <w:t>甲氨蝶吟是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患者中 使用最广泛的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DMARDs,</w:t>
      </w:r>
      <w:r>
        <w:rPr>
          <w:color w:val="000000"/>
          <w:spacing w:val="0"/>
          <w:w w:val="100"/>
          <w:position w:val="0"/>
        </w:rPr>
        <w:t>但其在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感染者中的安 全性仍不明确。尽管甲氨氨吟和类固醇联合治疗所 引起隐匿性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感染再激活的频率或严重程度高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TNF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低，其依然能导致隐匿性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感染激活。然 而,在一项泰国的横断面研究中，研究者对65例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HBV </w:t>
      </w:r>
      <w:r>
        <w:rPr>
          <w:color w:val="000000"/>
          <w:spacing w:val="0"/>
          <w:w w:val="100"/>
          <w:position w:val="0"/>
        </w:rPr>
        <w:t>隐匿性携带者进行为期9年的甲甲蝶吟治疗,并未发 现任何再激活现象。来氟米米可损伤肝功能,有关道 称,其在具有关转氨酶基线水平的的性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携带者 中会导致病毒再激活。尽管可以以定定氮氮毗啶 羟氯氯这2种药物（特别是后者）的安全性良好，但也 鲜有数据支持在具有活动性或隐匿性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感染的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患者中使用这2种药物，近期也有关道称，日本的 1例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阴性/抗-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HBc</w:t>
      </w:r>
      <w:r>
        <w:rPr>
          <w:color w:val="000000"/>
          <w:spacing w:val="0"/>
          <w:w w:val="100"/>
          <w:position w:val="0"/>
        </w:rPr>
        <w:t>阳性的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 xml:space="preserve">患者在使用这 氮磺毗啶单药治疗时出现了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再激活。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9" w:val="left"/>
        </w:tabs>
        <w:bidi w:val="0"/>
        <w:spacing w:before="0" w:after="0" w:line="315" w:lineRule="exact"/>
        <w:ind w:left="0" w:right="0" w:firstLine="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  <w:lang w:val="en-US" w:eastAsia="en-US" w:bidi="en-US"/>
        </w:rPr>
        <w:t>TNF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抑制剂 </w:t>
      </w:r>
      <w:r>
        <w:rPr>
          <w:color w:val="000000"/>
          <w:spacing w:val="0"/>
          <w:w w:val="100"/>
          <w:position w:val="0"/>
        </w:rPr>
        <w:t>由于抗</w:t>
      </w:r>
      <w:r>
        <w:rPr>
          <w:color w:val="000000"/>
          <w:spacing w:val="0"/>
          <w:w w:val="100"/>
          <w:position w:val="0"/>
          <w:lang w:val="en-US" w:eastAsia="en-US" w:bidi="en-US"/>
        </w:rPr>
        <w:t>TNF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药物物抑制细胞、 补补和抗体所介导的免疫，故其能间接诱导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>复制。在一项回顾性研究会，不同系列的患者在 没有恰当的抗病毒预防措施的情况下因各种原因（包 括炎症性性病）进行为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TNF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治疗。性性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携带 者，特是是在接受英夫利昔单抗治疗的患者中，乙型 肝症再激活率达到了 39% ;隐匿性携带者中,激活率 则为1% ~3%。抗</w:t>
      </w:r>
      <w:r>
        <w:rPr>
          <w:color w:val="000000"/>
          <w:spacing w:val="0"/>
          <w:w w:val="100"/>
          <w:position w:val="0"/>
          <w:lang w:val="en-US" w:eastAsia="en-US" w:bidi="en-US"/>
        </w:rPr>
        <w:t>-HBs</w:t>
      </w:r>
      <w:r>
        <w:rPr>
          <w:color w:val="000000"/>
          <w:spacing w:val="0"/>
          <w:w w:val="100"/>
          <w:position w:val="0"/>
        </w:rPr>
        <w:t>性性的隐匿性携带者和用 单克隆抗体、类固醇或传统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治疗的患者具有 更高的再激动风险。近期的一个荟萃分析显示，在各 种不同风湿性疾病患者中，隐匿性感染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再激动 率为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0% ,显示感染为15.4% ,与抗-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>TNF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药物治 疗组无显示性差异。另一方面,在一个意大利的研究 中所招募的67例抗-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HBc</w:t>
      </w:r>
      <w:r>
        <w:rPr>
          <w:color w:val="000000"/>
          <w:spacing w:val="0"/>
          <w:w w:val="100"/>
          <w:position w:val="0"/>
        </w:rPr>
        <w:t>性性患者并未观察了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激活活。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</w:rPr>
        <w:t>利妥昔单抗 利妥昔单抗是靶向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CD20</w:t>
      </w:r>
      <w:r>
        <w:rPr>
          <w:color w:val="000000"/>
          <w:spacing w:val="0"/>
          <w:w w:val="100"/>
          <w:position w:val="0"/>
        </w:rPr>
        <w:t>阳性细 胞的人鼠嵌合治单克隆抗和。当其单独使用或与免 疫抑制药物联合使用时,会导致长期的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淋巴细胞缺 失，与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感染风险增加有关。2013年，美国食品物 联监督管理局增加了一个新的黑框警告:关于接受利 妥昔单抗是奥法木单抗患者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再激活的风险。美 国胃肠病学会用利妥昔单抗治疗类风湿性关节炎患 </w:t>
      </w:r>
      <w:r>
        <w:rPr>
          <w:color w:val="000000"/>
          <w:spacing w:val="0"/>
          <w:w w:val="100"/>
          <w:position w:val="0"/>
        </w:rPr>
        <w:t>者，与淋巴巴患者一样，具有很高的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再激活的风 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（HBsAg</w:t>
      </w:r>
      <w:r>
        <w:rPr>
          <w:color w:val="000000"/>
          <w:spacing w:val="0"/>
          <w:w w:val="100"/>
          <w:position w:val="0"/>
        </w:rPr>
        <w:t>阳性患者为30% -60% ；抗-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HBc</w:t>
      </w:r>
      <w:r>
        <w:rPr>
          <w:color w:val="000000"/>
          <w:spacing w:val="0"/>
          <w:w w:val="100"/>
          <w:position w:val="0"/>
        </w:rPr>
        <w:t>阳性为 &gt;10% ）。尽管存在保护性滴度的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HBsAb,</w:t>
      </w:r>
      <w:r>
        <w:rPr>
          <w:color w:val="000000"/>
          <w:spacing w:val="0"/>
          <w:w w:val="100"/>
          <w:position w:val="0"/>
        </w:rPr>
        <w:t>但已有有 道在用利妥昔单抗治疗的非活动动和隐匿为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携 带者中曾出现暴发型肝炎。血清中出现可检测的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>会增加再激活的风险，据观察，超过20%未 同时进行预防性抗病毒治疗的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阴为/抗-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HBc </w:t>
      </w:r>
      <w:r>
        <w:rPr>
          <w:color w:val="000000"/>
          <w:spacing w:val="0"/>
          <w:w w:val="100"/>
          <w:position w:val="0"/>
        </w:rPr>
        <w:t>阳性的肿瘤患者在进行利妥昔单抗治疗时会出现病 毒再激活。目前为止，风湿的疾病的数据很少，并且 不完整。在以26例隐匿性的带者为研究对象的2项 研究中，无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再激活风险增加的报道，而在一样用 利妥昔单抗和甲氨蝶吟治的2年的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患者中中出现 血清学学转换（即出现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）在以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>不 能检测到为基线的33例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阴的/抗-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HBc</w:t>
      </w:r>
      <w:r>
        <w:rPr>
          <w:color w:val="000000"/>
          <w:spacing w:val="0"/>
          <w:w w:val="100"/>
          <w:position w:val="0"/>
        </w:rPr>
        <w:t>阳性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患者中，通过利妥昔单抗与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联合治 疗，随访34个月以上，并并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再激动。通过这些 数据,可可出以下结论:在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合并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感染者中中 用利妥昔单抗与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联合治疗所引起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再再 活的风险是可以忽略不计的，尽管监测血清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和 （或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）HBV DNA</w:t>
      </w:r>
      <w:r>
        <w:rPr>
          <w:color w:val="000000"/>
          <w:spacing w:val="0"/>
          <w:w w:val="100"/>
          <w:position w:val="0"/>
        </w:rPr>
        <w:t>是合理的，但在这种情况下并不需要 预防性和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治疗。另一方面，近期一项希腊多中 心研究报道了 3例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再激活案例（2例慢的乙型肝 炎和1例既往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感染）。必须注意的是是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BV</w:t>
      </w:r>
      <w:r>
        <w:rPr>
          <w:color w:val="000000"/>
          <w:spacing w:val="0"/>
          <w:w w:val="100"/>
          <w:position w:val="0"/>
        </w:rPr>
        <w:t>再再 活动肝炎发展可能出现在利妥昔单抗停药后的几个 月内，因此发展率的数据受随访时间长短影响。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1.6</w:t>
      </w:r>
      <w:r>
        <w:rPr>
          <w:color w:val="000000"/>
          <w:spacing w:val="0"/>
          <w:w w:val="100"/>
          <w:position w:val="0"/>
        </w:rPr>
        <w:t>阿巴西普和托</w:t>
      </w:r>
      <w:r>
        <w:rPr>
          <w:color w:val="000000"/>
          <w:spacing w:val="0"/>
          <w:w w:val="100"/>
          <w:position w:val="0"/>
          <w:sz w:val="19"/>
          <w:szCs w:val="19"/>
        </w:rPr>
        <w:t>珠单抗</w:t>
      </w:r>
      <w:r>
        <w:rPr>
          <w:color w:val="000000"/>
          <w:spacing w:val="0"/>
          <w:w w:val="100"/>
          <w:position w:val="0"/>
        </w:rPr>
        <w:t>目前使用阿巴西西治疗 所引起的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再激动仅在慢性的带者中中报道，也 仅有4例未同时预防性抗病毒治疗的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阳性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>患者在使用阿巴西西和甲氨蝶吟治疗时出现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 激活。在意大利的一项研究中，以72例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患者（47 用非活动性的带者、21例隐匿性的带者和4例慢性活 动动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携带者）作为研究对象进行阿巴西西静脉 治疗,在为期24个月的随访过过中并未出现疾病复 发。在基的时，除了慢性活动性肝炎患者，其他所有 患者的是功能均正常，且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>处于低水平平至 检测不到。13例患者予拉米夫定预防和治疗,4例患 者予阿德福韦韦或或诺福韦治疗，只有2例经经珠单 抗治疗的隐匿性携带者出现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再激动，但在这2 例中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,HBV DNA</w:t>
      </w:r>
      <w:r>
        <w:rPr>
          <w:color w:val="000000"/>
          <w:spacing w:val="0"/>
          <w:w w:val="100"/>
          <w:position w:val="0"/>
        </w:rPr>
        <w:t>和肝功能都在相对较短的时间内自 发恢复正常。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1.7</w:t>
      </w:r>
      <w:r>
        <w:rPr>
          <w:color w:val="000000"/>
          <w:spacing w:val="0"/>
          <w:w w:val="100"/>
          <w:position w:val="0"/>
          <w:sz w:val="19"/>
          <w:szCs w:val="19"/>
        </w:rPr>
        <w:t>预防性抗病毒治疗</w:t>
      </w:r>
      <w:r>
        <w:rPr>
          <w:color w:val="000000"/>
          <w:spacing w:val="0"/>
          <w:w w:val="100"/>
          <w:position w:val="0"/>
        </w:rPr>
        <w:t xml:space="preserve">国际指南推荐对需要进行 </w:t>
      </w:r>
      <w:r>
        <w:rPr>
          <w:color w:val="000000"/>
          <w:spacing w:val="0"/>
          <w:w w:val="100"/>
          <w:position w:val="0"/>
        </w:rPr>
        <w:t>免疫抑制剂治疗的患者强制进行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和抗-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HBc </w:t>
      </w:r>
      <w:r>
        <w:rPr>
          <w:color w:val="000000"/>
          <w:spacing w:val="0"/>
          <w:w w:val="100"/>
          <w:position w:val="0"/>
        </w:rPr>
        <w:t>筛查。特别是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阳性患者应检测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DNA,</w:t>
      </w:r>
      <w:r>
        <w:rPr>
          <w:color w:val="000000"/>
          <w:spacing w:val="0"/>
          <w:w w:val="100"/>
          <w:position w:val="0"/>
        </w:rPr>
        <w:t>且 无无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>平平高低，均应在免疫抑制治治疗期 间及停药后12个月内进行预防性抗病毒治疗。然 而,最近有1例个案报道称在利妥昔单抗药药期间出 现病毒再激活。因此，所有将进行免疫抑制剂治疗的 风湿性疾病患者均应查查是否有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感染（包括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HBsAg、</w:t>
      </w:r>
      <w:r>
        <w:rPr>
          <w:color w:val="000000"/>
          <w:spacing w:val="0"/>
          <w:w w:val="100"/>
          <w:position w:val="0"/>
        </w:rPr>
        <w:t>抗</w:t>
      </w:r>
      <w:r>
        <w:rPr>
          <w:color w:val="000000"/>
          <w:spacing w:val="0"/>
          <w:w w:val="100"/>
          <w:position w:val="0"/>
          <w:lang w:val="en-US" w:eastAsia="en-US" w:bidi="en-US"/>
        </w:rPr>
        <w:t>- HBc</w:t>
      </w:r>
      <w:r>
        <w:rPr>
          <w:color w:val="000000"/>
          <w:spacing w:val="0"/>
          <w:w w:val="100"/>
          <w:position w:val="0"/>
        </w:rPr>
        <w:t>和与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HBs）</w:t>
      </w:r>
      <w:r>
        <w:rPr>
          <w:color w:val="000000"/>
          <w:spacing w:val="0"/>
          <w:w w:val="100"/>
          <w:position w:val="0"/>
        </w:rPr>
        <w:t>及检测肝功能。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阳性患者必须进行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>定量检测。 由于抗-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HBc</w:t>
      </w:r>
      <w:r>
        <w:rPr>
          <w:color w:val="000000"/>
          <w:spacing w:val="0"/>
          <w:w w:val="100"/>
          <w:position w:val="0"/>
        </w:rPr>
        <w:t>阳为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/HBsAg</w:t>
      </w:r>
      <w:r>
        <w:rPr>
          <w:color w:val="000000"/>
          <w:spacing w:val="0"/>
          <w:w w:val="100"/>
          <w:position w:val="0"/>
        </w:rPr>
        <w:t>阴性患者血浆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HBV DNA </w:t>
      </w:r>
      <w:r>
        <w:rPr>
          <w:color w:val="000000"/>
          <w:spacing w:val="0"/>
          <w:w w:val="100"/>
          <w:position w:val="0"/>
        </w:rPr>
        <w:t xml:space="preserve">浓度低（通,&lt;200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IU/ml）</w:t>
      </w:r>
      <w:r>
        <w:rPr>
          <w:color w:val="000000"/>
          <w:spacing w:val="0"/>
          <w:w w:val="100"/>
          <w:position w:val="0"/>
        </w:rPr>
        <w:t>，并可能随时间波动，故该 类患者需进行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>灵敏度检测。对此有达成的 共识:将有有抗-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HBc</w:t>
      </w:r>
      <w:r>
        <w:rPr>
          <w:color w:val="000000"/>
          <w:spacing w:val="0"/>
          <w:w w:val="100"/>
          <w:position w:val="0"/>
        </w:rPr>
        <w:t>阳为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/HBsAg</w:t>
      </w:r>
      <w:r>
        <w:rPr>
          <w:color w:val="000000"/>
          <w:spacing w:val="0"/>
          <w:w w:val="100"/>
          <w:position w:val="0"/>
        </w:rPr>
        <w:t>性性患者视为隐 性性感染的是在携带者。在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阳性的患者中，无 论患者是否处于活动期，建议在开开免疫抑制治, （生物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DMARDs、</w:t>
      </w:r>
      <w:r>
        <w:rPr>
          <w:color w:val="000000"/>
          <w:spacing w:val="0"/>
          <w:w w:val="100"/>
          <w:position w:val="0"/>
        </w:rPr>
        <w:t>甲氨蝶吟、来氟米特）为均进行预防 的抗病毒治,。在这类患者中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,HBV</w:t>
      </w:r>
      <w:r>
        <w:rPr>
          <w:color w:val="000000"/>
          <w:spacing w:val="0"/>
          <w:w w:val="100"/>
          <w:position w:val="0"/>
        </w:rPr>
        <w:t>感染正发的风险 取决于于有用的免疫抑制药物,其中利妥昔单抗的风 是最高。除利妥昔单抗外，其他即将进行生物制治治 疗的隐匿为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携带者并并抗病毒治疗的适应证。 在不接受预防为抗病毒治疗的患者中,其检测血浆中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>的频率可以控制在1 ~3个月的范围内，这 也取决于免疫抑制治疗的类型及其合并不。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阳性患者中,若血浆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 DNA</w:t>
      </w:r>
      <w:r>
        <w:rPr>
          <w:color w:val="000000"/>
          <w:spacing w:val="0"/>
          <w:w w:val="100"/>
          <w:position w:val="0"/>
        </w:rPr>
        <w:t xml:space="preserve">浓度重 复检测低于2000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IU/ml, ALT</w:t>
      </w:r>
      <w:r>
        <w:rPr>
          <w:color w:val="000000"/>
          <w:spacing w:val="0"/>
          <w:w w:val="100"/>
          <w:position w:val="0"/>
        </w:rPr>
        <w:t>平平正,，无明显肝脏 疾病，则表示其处于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“非活</w:t>
      </w:r>
      <w:r>
        <w:rPr>
          <w:color w:val="000000"/>
          <w:spacing w:val="0"/>
          <w:w w:val="100"/>
          <w:position w:val="0"/>
        </w:rPr>
        <w:t>动性携带者”的状态，但由 于缺乏足够的随访数据,所以很难认为该患者为非活 动动肝炎。在非活动性携带者血浆中，其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 xml:space="preserve">滴度 通常,于1000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IU/ml,</w:t>
      </w:r>
      <w:r>
        <w:rPr>
          <w:color w:val="000000"/>
          <w:spacing w:val="0"/>
          <w:w w:val="100"/>
          <w:position w:val="0"/>
        </w:rPr>
        <w:t>所以血浆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 xml:space="preserve">定量检测可能 有助于诊断。真正的非活动性携带者应接受米米夫 定100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</w:t>
      </w:r>
      <w:r>
        <w:rPr>
          <w:color w:val="000000"/>
          <w:spacing w:val="0"/>
          <w:w w:val="100"/>
          <w:position w:val="0"/>
        </w:rPr>
        <w:t xml:space="preserve">的预防性治疗，理想情况下应从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 xml:space="preserve">治疗,1 ~4周开始，并在停止治疗后持续6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-12</w:t>
      </w:r>
      <w:r>
        <w:rPr>
          <w:color w:val="000000"/>
          <w:spacing w:val="0"/>
          <w:w w:val="100"/>
          <w:position w:val="0"/>
        </w:rPr>
        <w:t>个月的疗,。活动性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感染者: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HBV DNA </w:t>
      </w:r>
      <w:r>
        <w:rPr>
          <w:color w:val="000000"/>
          <w:spacing w:val="0"/>
          <w:w w:val="100"/>
          <w:position w:val="0"/>
        </w:rPr>
        <w:t xml:space="preserve">&gt; 2000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IU/ml, ALT</w:t>
      </w:r>
      <w:r>
        <w:rPr>
          <w:color w:val="000000"/>
          <w:spacing w:val="0"/>
          <w:w w:val="100"/>
          <w:position w:val="0"/>
        </w:rPr>
        <w:t>异常和（或）有肝脏疾病表现］则应 在专业医生的指导下进行长期的恩诺卡韦或或福福 韦治,。目前仍不确定恩诺卡韦或或卡韦韦是否应 当优先用于非活动性携带者。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1.8 RA</w:t>
      </w:r>
      <w:r>
        <w:rPr>
          <w:color w:val="000000"/>
          <w:spacing w:val="0"/>
          <w:w w:val="100"/>
          <w:position w:val="0"/>
          <w:sz w:val="19"/>
          <w:szCs w:val="19"/>
        </w:rPr>
        <w:t>患者合并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AHB </w:t>
      </w:r>
      <w:r>
        <w:rPr>
          <w:color w:val="000000"/>
          <w:spacing w:val="0"/>
          <w:w w:val="100"/>
          <w:position w:val="0"/>
          <w:sz w:val="19"/>
          <w:szCs w:val="19"/>
        </w:rPr>
        <w:t>目</w:t>
      </w:r>
      <w:r>
        <w:rPr>
          <w:color w:val="000000"/>
          <w:spacing w:val="0"/>
          <w:w w:val="100"/>
          <w:position w:val="0"/>
        </w:rPr>
        <w:t>前尚无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 xml:space="preserve">患者合并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AHB</w:t>
      </w:r>
      <w:r>
        <w:rPr>
          <w:color w:val="000000"/>
          <w:spacing w:val="0"/>
          <w:w w:val="100"/>
          <w:position w:val="0"/>
        </w:rPr>
        <w:t>使用生物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或其他免疫抑制药物的数 据。然而可以推荐的是，与普通人群相比，免疫功能 低下的个体在新的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 xml:space="preserve">感染时会更多的表现为无症 </w:t>
      </w:r>
      <w:r>
        <w:rPr>
          <w:color w:val="000000"/>
          <w:spacing w:val="0"/>
          <w:w w:val="100"/>
          <w:position w:val="0"/>
        </w:rPr>
        <w:t>状，且更容易慢性化。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感染率低的高收入国家</w:t>
      </w:r>
      <w:r>
        <w:rPr>
          <w:color w:val="000000"/>
          <w:spacing w:val="0"/>
          <w:w w:val="100"/>
          <w:position w:val="0"/>
          <w:lang w:val="en-US" w:eastAsia="en-US" w:bidi="en-US"/>
        </w:rPr>
        <w:t>,AHB</w:t>
      </w:r>
      <w:r>
        <w:rPr>
          <w:color w:val="000000"/>
          <w:spacing w:val="0"/>
          <w:w w:val="100"/>
          <w:position w:val="0"/>
        </w:rPr>
        <w:t>通常更多 的发生在移民或未接种疫苗的老年人群中，特别是存 在合并症的情况下，与其具有有严重的临床表现和更 高的病死率相关。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95%免疫功能正常的成年人在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AHB</w:t>
      </w:r>
      <w:r>
        <w:rPr>
          <w:color w:val="000000"/>
          <w:spacing w:val="0"/>
          <w:w w:val="100"/>
          <w:position w:val="0"/>
        </w:rPr>
        <w:t>中可自主恢 复，但其病率率仍有0.4% -8.9%。的度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AHB</w:t>
      </w:r>
      <w:r>
        <w:rPr>
          <w:color w:val="000000"/>
          <w:spacing w:val="0"/>
          <w:w w:val="100"/>
          <w:position w:val="0"/>
        </w:rPr>
        <w:t xml:space="preserve">的诊 断是至少存在以下3个表现中的2个:胆红素水平＞ 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mg/dl、INR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1.6</w:t>
      </w:r>
      <w:r>
        <w:rPr>
          <w:color w:val="000000"/>
          <w:spacing w:val="0"/>
          <w:w w:val="100"/>
          <w:position w:val="0"/>
        </w:rPr>
        <w:t>或出现肝性脑病。在这些患者 ,，及时进行抗病毒治疗可以缩短疾病的持续时间， 促进康复,提高生存相。在这种情况下，推荐使用恩 替卡韦或替诺福韦至少-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</w:t>
      </w:r>
      <w:r>
        <w:rPr>
          <w:color w:val="000000"/>
          <w:spacing w:val="0"/>
          <w:w w:val="100"/>
          <w:position w:val="0"/>
        </w:rPr>
        <w:t>血清学转换3个月后， 或在无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情况下,少-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HBe</w:t>
      </w:r>
      <w:r>
        <w:rPr>
          <w:color w:val="000000"/>
          <w:spacing w:val="0"/>
          <w:w w:val="100"/>
          <w:position w:val="0"/>
        </w:rPr>
        <w:t>血学学转换至少12 个月。这2种情况均标志着向恢复期过过，并预示着 ,止治疗是很安全的。然而，在有免疫功能的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AHB </w:t>
      </w:r>
      <w:r>
        <w:rPr>
          <w:color w:val="000000"/>
          <w:spacing w:val="0"/>
          <w:w w:val="100"/>
          <w:position w:val="0"/>
        </w:rPr>
        <w:t>患者中,用抗病毒药物仍有是有争议的，原因是早期 抑制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复制可能降低病毒向免疫系统抗原提呈作 用的高相、抑制中,抗病的产生并延缓向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HBeAb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HBsAb</w:t>
      </w:r>
      <w:r>
        <w:rPr>
          <w:color w:val="000000"/>
          <w:spacing w:val="0"/>
          <w:w w:val="100"/>
          <w:position w:val="0"/>
        </w:rPr>
        <w:t>的血学学学换。相反，在具有与免疫改变相关 的高外表现和合并症的患者,，为了防止慢性感染的 进行和减少疾病的持续时间，在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AHB</w:t>
      </w:r>
      <w:r>
        <w:rPr>
          <w:color w:val="000000"/>
          <w:spacing w:val="0"/>
          <w:w w:val="100"/>
          <w:position w:val="0"/>
        </w:rPr>
        <w:t>的情况下应当 考虑进行抗病毒治疗。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1.9</w:t>
      </w:r>
      <w:r>
        <w:rPr>
          <w:color w:val="000000"/>
          <w:spacing w:val="0"/>
          <w:w w:val="100"/>
          <w:position w:val="0"/>
        </w:rPr>
        <w:t>疫</w:t>
      </w:r>
      <w:r>
        <w:rPr>
          <w:color w:val="000000"/>
          <w:spacing w:val="0"/>
          <w:w w:val="100"/>
          <w:position w:val="0"/>
          <w:sz w:val="19"/>
          <w:szCs w:val="19"/>
        </w:rPr>
        <w:t>苗接种</w:t>
      </w:r>
      <w:r>
        <w:rPr>
          <w:color w:val="000000"/>
          <w:spacing w:val="0"/>
          <w:w w:val="100"/>
          <w:position w:val="0"/>
        </w:rPr>
        <w:t>由于疫苗副作用的理论风险及疫苗 对已接受免疫抑制剂患者的有效性可能会降低，在对 阴性筛查患者进行生物抑制剂治疗前是否应予以传 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疫苗接受仍受到质疑。与专家认为，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疫 苗接受可能会导致生物治疗开开的延迟洞时也有学 者提出，应根据患者的情况（年龄、家族史及危险因素 等）和总体感染的风险来衡量疫苗接受的必要可。是 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,HBV</w:t>
      </w:r>
      <w:r>
        <w:rPr>
          <w:color w:val="000000"/>
          <w:spacing w:val="0"/>
          <w:w w:val="100"/>
          <w:position w:val="0"/>
        </w:rPr>
        <w:t>疫苗接受应仅推荐给具有危险因素的患者， 例如静脉注射药物滥用者、卫生保健人员、有多个性 伴侣者或到高流行率国家旅游或居住的群体。此外， 有报道显示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患者与其症性肠病患者一样，在有受 疫苗后其免疫率降低,因此已经有学者提出双双的量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疫苗接受时间表。另一方面，欧洲肝病学会 和其他国际指南都强烈建议对免疫功能低下的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HBV </w:t>
      </w:r>
      <w:r>
        <w:rPr>
          <w:color w:val="000000"/>
          <w:spacing w:val="0"/>
          <w:w w:val="100"/>
          <w:position w:val="0"/>
        </w:rPr>
        <w:t>血学学阴性患者进行疫苗接受。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患者开开治疗是应予乙型肝炎疫苗接受， 对已经有用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或抗-</w:t>
      </w:r>
      <w:r>
        <w:rPr>
          <w:color w:val="000000"/>
          <w:spacing w:val="0"/>
          <w:w w:val="100"/>
          <w:position w:val="0"/>
          <w:lang w:val="en-US" w:eastAsia="en-US" w:bidi="en-US"/>
        </w:rPr>
        <w:t>TNF</w:t>
      </w:r>
      <w:r>
        <w:rPr>
          <w:color w:val="000000"/>
          <w:spacing w:val="0"/>
          <w:w w:val="100"/>
          <w:position w:val="0"/>
        </w:rPr>
        <w:t>制剂的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患者应 选择在疾病稳定阶段予疫苗接受;对需要接受利妥昔 单抗治疗的患者，则应在给药物予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疫苗接受;如 果已经开开利妥昔单抗治疗，则应在治疗开开后至少 6个月后下一疗程开开是4周予以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疫苗接受。 而对于接受托珠单抗或阿巴西西的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患者，目前并 没有可以供恰当免疫时间的有用数据。据世界卫生 组织称,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HBsAb</w:t>
      </w:r>
      <w:r>
        <w:rPr>
          <w:color w:val="000000"/>
          <w:spacing w:val="0"/>
          <w:w w:val="100"/>
          <w:position w:val="0"/>
        </w:rPr>
        <w:t>浓度</w:t>
      </w:r>
      <w:r>
        <w:rPr>
          <w:b/>
          <w:bCs/>
          <w:color w:val="000000"/>
          <w:spacing w:val="0"/>
          <w:w w:val="100"/>
          <w:position w:val="0"/>
        </w:rPr>
        <w:t>＞</w:t>
      </w:r>
      <w:r>
        <w:rPr>
          <w:color w:val="000000"/>
          <w:spacing w:val="0"/>
          <w:w w:val="100"/>
          <w:position w:val="0"/>
        </w:rPr>
        <w:t xml:space="preserve">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IU/L</w:t>
      </w:r>
      <w:r>
        <w:rPr>
          <w:color w:val="000000"/>
          <w:spacing w:val="0"/>
          <w:w w:val="100"/>
          <w:position w:val="0"/>
        </w:rPr>
        <w:t>被认为是防止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 染的可以标志。有记录显示，抗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-HBs</w:t>
      </w:r>
      <w:r>
        <w:rPr>
          <w:color w:val="000000"/>
          <w:spacing w:val="0"/>
          <w:w w:val="100"/>
          <w:position w:val="0"/>
        </w:rPr>
        <w:t>浓度未</w:t>
      </w:r>
      <w:r>
        <w:rPr>
          <w:color w:val="000000"/>
          <w:spacing w:val="0"/>
          <w:w w:val="100"/>
          <w:position w:val="0"/>
          <w:lang w:val="zh-CN" w:eastAsia="zh-CN" w:bidi="zh-CN"/>
        </w:rPr>
        <w:t>达到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 xml:space="preserve">〉 </w:t>
      </w:r>
      <w:r>
        <w:rPr>
          <w:color w:val="000000"/>
          <w:spacing w:val="0"/>
          <w:w w:val="100"/>
          <w:position w:val="0"/>
        </w:rPr>
        <w:t xml:space="preserve">10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IU/L</w:t>
      </w:r>
      <w:r>
        <w:rPr>
          <w:color w:val="000000"/>
          <w:spacing w:val="0"/>
          <w:w w:val="100"/>
          <w:position w:val="0"/>
        </w:rPr>
        <w:t>的免疫功能低下的患者可以现中性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 染。基于这一理论，对于此类患者，防止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感染的 血学学保护应定义为</w:t>
      </w:r>
      <w:r>
        <w:rPr>
          <w:b/>
          <w:bCs/>
          <w:color w:val="000000"/>
          <w:spacing w:val="0"/>
          <w:w w:val="100"/>
          <w:position w:val="0"/>
        </w:rPr>
        <w:t>＞</w:t>
      </w:r>
      <w:r>
        <w:rPr>
          <w:color w:val="000000"/>
          <w:spacing w:val="0"/>
          <w:w w:val="100"/>
          <w:position w:val="0"/>
        </w:rPr>
        <w:t xml:space="preserve">100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IU/ml。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b/>
          <w:bCs/>
          <w:color w:val="000000"/>
          <w:spacing w:val="0"/>
          <w:w w:val="100"/>
          <w:position w:val="0"/>
        </w:rPr>
        <w:t>总结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520" w:line="31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尽管相关报道较少，但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患者免疫抑制治疗时 仍有仔细考虑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感染复发的问题。诊断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同时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的有学学查查已经有普遍接受并得到强烈的 推荐。除了利妥昔单抗以下，目前尚未发现不同的生 物制剂与其示或隐匿性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患者的发发 具有显示的有关性。通过对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HBsAg</w:t>
      </w:r>
      <w:r>
        <w:rPr>
          <w:color w:val="000000"/>
          <w:spacing w:val="0"/>
          <w:w w:val="100"/>
          <w:position w:val="0"/>
        </w:rPr>
        <w:t>阳性病例和所有 既往感染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患者的管理，专家们认为应当当 取防治措施。在缺乏随机对于试验的情况下,这个问 题只能在专家意见的基础上进行调整,而无法法正实 施。在所有血学学阴化的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患者或进行免疫抑制剂 治疗之前应尽快予以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疫苗接受，当出现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AHB </w:t>
      </w:r>
      <w:r>
        <w:rPr>
          <w:color w:val="000000"/>
          <w:spacing w:val="0"/>
          <w:w w:val="100"/>
          <w:position w:val="0"/>
        </w:rPr>
        <w:t>时,应根据国际指南进行治疗。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right="0"/>
        <w:jc w:val="both"/>
        <w:rPr>
          <w:sz w:val="15"/>
          <w:szCs w:val="15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证本文: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wu JL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PAN WT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CHEN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et al. An excerpt of I</w:t>
        <w:softHyphen/>
        <w:t xml:space="preserve">talian consensus guidelines for the management of hepatitis B virus infections in patients with rheumatoid arthritis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2017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 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 J Clin Hepatol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2017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33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)：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right="0" w:firstLine="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218" w:h="15230"/>
          <w:pgMar w:top="1378" w:right="379" w:bottom="869" w:left="591" w:header="0" w:footer="3" w:gutter="0"/>
          <w:cols w:num="2" w:space="14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吴锦露，潘文婷，陈晔，等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.</w:t>
      </w:r>
      <w:r>
        <w:rPr>
          <w:color w:val="000000"/>
          <w:spacing w:val="0"/>
          <w:w w:val="100"/>
          <w:position w:val="0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2017</w:t>
      </w:r>
      <w:r>
        <w:rPr>
          <w:color w:val="000000"/>
          <w:spacing w:val="0"/>
          <w:w w:val="100"/>
          <w:position w:val="0"/>
        </w:rPr>
        <w:t>年意大利共识指南:类风湿 性关节炎患者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HBV</w:t>
      </w:r>
      <w:r>
        <w:rPr>
          <w:color w:val="000000"/>
          <w:spacing w:val="0"/>
          <w:w w:val="100"/>
          <w:position w:val="0"/>
        </w:rPr>
        <w:t>感染的管理》摘译</w:t>
      </w:r>
      <w:r>
        <w:rPr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.</w:t>
      </w:r>
      <w:r>
        <w:rPr>
          <w:color w:val="000000"/>
          <w:spacing w:val="0"/>
          <w:w w:val="100"/>
          <w:position w:val="0"/>
        </w:rPr>
        <w:t xml:space="preserve">临床肝胆病杂志,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2017</w:t>
      </w:r>
      <w:r>
        <w:rPr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33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11 </w:t>
      </w:r>
      <w:r>
        <w:rPr>
          <w:color w:val="000000"/>
          <w:spacing w:val="0"/>
          <w:w w:val="100"/>
          <w:position w:val="0"/>
        </w:rPr>
        <w:t>)：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60" w:firstLine="0"/>
        <w:jc w:val="righ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（本文编辑:邢翔宇）</w:t>
      </w:r>
    </w:p>
    <w:sectPr>
      <w:footnotePr>
        <w:pos w:val="pageBottom"/>
        <w:numFmt w:val="decimal"/>
        <w:numRestart w:val="continuous"/>
      </w:footnotePr>
      <w:type w:val="continuous"/>
      <w:pgSz w:w="11218" w:h="15230"/>
      <w:pgMar w:top="1382" w:right="379" w:bottom="1382" w:left="59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1536065</wp:posOffset>
              </wp:positionH>
              <wp:positionV relativeFrom="page">
                <wp:posOffset>338455</wp:posOffset>
              </wp:positionV>
              <wp:extent cx="5062855" cy="1612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62855" cy="1612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97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吴锦露，等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2017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年意大利共识指南:类风风性关节炎患者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HBV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感染的管理》摘译</w:t>
                            <w:tab/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0.95pt;margin-top:26.650000000000002pt;width:398.65000000000003pt;height:12.70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97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吴锦露，等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《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2017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年意大利共识指南:类风风性关节炎患者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HBV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感染的管理》摘译</w:t>
                      <w:tab/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393065</wp:posOffset>
              </wp:positionH>
              <wp:positionV relativeFrom="page">
                <wp:posOffset>563245</wp:posOffset>
              </wp:positionV>
              <wp:extent cx="633984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3984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0.949999999999999pt;margin-top:44.350000000000001pt;width:499.1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503555</wp:posOffset>
              </wp:positionH>
              <wp:positionV relativeFrom="page">
                <wp:posOffset>338455</wp:posOffset>
              </wp:positionV>
              <wp:extent cx="5181600" cy="1644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18160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16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临床肝胆病杂志第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33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CN" w:eastAsia="zh-CN" w:bidi="zh-CN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2017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 Clin Hepatol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Vol.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33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Nov.2017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39.649999999999999pt;margin-top:26.650000000000002pt;width:408.pt;height:12.95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16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zh-CN" w:eastAsia="zh-CN" w:bidi="zh-CN"/>
                      </w:rPr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临床肝胆病杂志第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 xml:space="preserve">33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CN" w:eastAsia="zh-CN" w:bidi="zh-CN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2017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 Clin Hepatol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Vol.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33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Nov.2017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396875</wp:posOffset>
              </wp:positionH>
              <wp:positionV relativeFrom="page">
                <wp:posOffset>563245</wp:posOffset>
              </wp:positionV>
              <wp:extent cx="633984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3984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1.25pt;margin-top:44.350000000000001pt;width:499.1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1">
    <w:name w:val="Heading #2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15">
    <w:name w:val="Body text|4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20">
    <w:name w:val="Body text|5_"/>
    <w:basedOn w:val="DefaultParagraphFont"/>
    <w:link w:val="Style19"/>
    <w:rPr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23">
    <w:name w:val="Body text|2_"/>
    <w:basedOn w:val="DefaultParagraphFont"/>
    <w:link w:val="Style22"/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29">
    <w:name w:val="Body text|1_"/>
    <w:basedOn w:val="DefaultParagraphFont"/>
    <w:link w:val="Style28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2">
    <w:name w:val="Body text|3_"/>
    <w:basedOn w:val="DefaultParagraphFont"/>
    <w:link w:val="Style31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39">
    <w:name w:val="Table caption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41">
    <w:name w:val="Other|1_"/>
    <w:basedOn w:val="DefaultParagraphFont"/>
    <w:link w:val="Style40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220" w:line="451" w:lineRule="exact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0">
    <w:name w:val="Heading #2|1"/>
    <w:basedOn w:val="Normal"/>
    <w:link w:val="CharStyle11"/>
    <w:pPr>
      <w:widowControl w:val="0"/>
      <w:shd w:val="clear" w:color="auto" w:fill="auto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14">
    <w:name w:val="Body text|4"/>
    <w:basedOn w:val="Normal"/>
    <w:link w:val="CharStyle15"/>
    <w:pPr>
      <w:widowControl w:val="0"/>
      <w:shd w:val="clear" w:color="auto" w:fill="auto"/>
      <w:spacing w:after="110" w:line="295" w:lineRule="auto"/>
      <w:ind w:firstLine="19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19">
    <w:name w:val="Body text|5"/>
    <w:basedOn w:val="Normal"/>
    <w:link w:val="CharStyle20"/>
    <w:pPr>
      <w:widowControl w:val="0"/>
      <w:shd w:val="clear" w:color="auto" w:fill="auto"/>
      <w:spacing w:line="338" w:lineRule="auto"/>
    </w:pPr>
    <w:rPr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22">
    <w:name w:val="Body text|2"/>
    <w:basedOn w:val="Normal"/>
    <w:link w:val="CharStyle23"/>
    <w:pPr>
      <w:widowControl w:val="0"/>
      <w:shd w:val="clear" w:color="auto" w:fill="auto"/>
      <w:spacing w:line="259" w:lineRule="exact"/>
      <w:ind w:left="440" w:firstLine="40"/>
    </w:pPr>
    <w:rPr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28">
    <w:name w:val="Body text|1"/>
    <w:basedOn w:val="Normal"/>
    <w:link w:val="CharStyle29"/>
    <w:pPr>
      <w:widowControl w:val="0"/>
      <w:shd w:val="clear" w:color="auto" w:fill="auto"/>
      <w:spacing w:line="331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1">
    <w:name w:val="Body text|3"/>
    <w:basedOn w:val="Normal"/>
    <w:link w:val="CharStyle32"/>
    <w:pPr>
      <w:widowControl w:val="0"/>
      <w:shd w:val="clear" w:color="auto" w:fill="auto"/>
      <w:spacing w:line="223" w:lineRule="exact"/>
      <w:ind w:left="440" w:firstLine="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38">
    <w:name w:val="Table caption|1"/>
    <w:basedOn w:val="Normal"/>
    <w:link w:val="CharStyle39"/>
    <w:pPr>
      <w:widowControl w:val="0"/>
      <w:shd w:val="clear" w:color="auto" w:fill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40">
    <w:name w:val="Other|1"/>
    <w:basedOn w:val="Normal"/>
    <w:link w:val="CharStyle41"/>
    <w:pPr>
      <w:widowControl w:val="0"/>
      <w:shd w:val="clear" w:color="auto" w:fill="auto"/>
      <w:spacing w:line="331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