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6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《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2021</w:t>
      </w:r>
      <w:r>
        <w:rPr>
          <w:spacing w:val="0"/>
          <w:w w:val="100"/>
          <w:position w:val="0"/>
        </w:rPr>
        <w:t>年欧洲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眼病临床实践管理指南》解读</w:t>
      </w:r>
      <w:bookmarkEnd w:id="0"/>
      <w:bookmarkEnd w:id="1"/>
      <w:bookmarkEnd w:id="2"/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宋璐璐，陈晓平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lang w:val="en-US" w:eastAsia="en-US" w:bidi="en-US"/>
        </w:rPr>
        <w:footnoteReference w:id="2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lang w:val="en-US" w:eastAsia="en-US" w:bidi="en-US"/>
        </w:rPr>
        <w:footnoteReference w:id="3"/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spacing w:val="0"/>
          <w:w w:val="100"/>
          <w:position w:val="0"/>
        </w:rPr>
        <w:t>中日友好医院内分泌科，北京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100029</w:t>
      </w:r>
      <w:r>
        <w:rPr>
          <w:spacing w:val="0"/>
          <w:w w:val="100"/>
          <w:position w:val="0"/>
        </w:rPr>
        <w:t>）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786" w:val="left"/>
          <w:tab w:pos="3355" w:val="left"/>
        </w:tabs>
        <w:bidi w:val="0"/>
        <w:spacing w:before="0" w:after="8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8"/>
          <w:szCs w:val="18"/>
        </w:rPr>
        <w:t>中图分类号</w:t>
      </w:r>
      <w:r>
        <w:rPr>
          <w:spacing w:val="0"/>
          <w:w w:val="100"/>
          <w:position w:val="0"/>
        </w:rPr>
        <w:t>：</w:t>
      </w:r>
      <w:r>
        <w:rPr>
          <w:spacing w:val="0"/>
          <w:w w:val="100"/>
          <w:position w:val="0"/>
          <w:lang w:val="en-US" w:eastAsia="en-US" w:bidi="en-US"/>
        </w:rPr>
        <w:t>R581</w:t>
        <w:tab/>
      </w:r>
      <w:r>
        <w:rPr>
          <w:spacing w:val="0"/>
          <w:w w:val="100"/>
          <w:position w:val="0"/>
          <w:sz w:val="18"/>
          <w:szCs w:val="18"/>
        </w:rPr>
        <w:t>文献标识码：</w:t>
      </w:r>
      <w:r>
        <w:rPr>
          <w:spacing w:val="0"/>
          <w:w w:val="100"/>
          <w:position w:val="0"/>
          <w:lang w:val="en-US" w:eastAsia="en-US" w:bidi="en-US"/>
        </w:rPr>
        <w:t>A</w:t>
        <w:tab/>
      </w:r>
      <w:r>
        <w:rPr>
          <w:spacing w:val="0"/>
          <w:w w:val="100"/>
          <w:position w:val="0"/>
          <w:sz w:val="18"/>
          <w:szCs w:val="18"/>
        </w:rPr>
        <w:t>文章编号：</w:t>
      </w:r>
      <w:r>
        <w:rPr>
          <w:spacing w:val="0"/>
          <w:w w:val="100"/>
          <w:position w:val="0"/>
          <w:lang w:val="en-US" w:eastAsia="en-US" w:bidi="en-US"/>
        </w:rPr>
        <w:t>1008-1070（2022）08-0828-05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 w:val="0"/>
          <w:bCs w:val="0"/>
          <w:spacing w:val="0"/>
          <w:w w:val="100"/>
          <w:position w:val="0"/>
          <w:sz w:val="20"/>
          <w:szCs w:val="20"/>
        </w:rPr>
        <w:t>关键词：</w:t>
      </w:r>
      <w:r>
        <w:rPr>
          <w:rFonts w:ascii="Times New Roman" w:eastAsia="Times New Roman" w:hAnsi="Times New Roman" w:cs="Times New Roman"/>
          <w:b w:val="0"/>
          <w:bCs w:val="0"/>
          <w:spacing w:val="0"/>
          <w:w w:val="100"/>
          <w:position w:val="0"/>
          <w:lang w:val="en-US" w:eastAsia="en-US" w:bidi="en-US"/>
        </w:rPr>
        <w:t>Graves</w:t>
      </w:r>
      <w:r>
        <w:rPr>
          <w:b w:val="0"/>
          <w:bCs w:val="0"/>
          <w:spacing w:val="0"/>
          <w:w w:val="100"/>
          <w:position w:val="0"/>
        </w:rPr>
        <w:t>眼病；诊治；指南</w:t>
      </w:r>
    </w:p>
    <w:p>
      <w:pPr>
        <w:pStyle w:val="Style2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1289" w:right="950" w:bottom="1006" w:left="1051" w:header="0" w:footer="3" w:gutter="0"/>
          <w:pgNumType w:start="82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doi:10.3969/j.issn.1008-1070.2022.08.005</w:t>
      </w:r>
    </w:p>
    <w:p>
      <w:pPr>
        <w:widowControl w:val="0"/>
        <w:spacing w:before="104" w:after="10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996" w:right="0" w:bottom="1001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Graves </w:t>
      </w:r>
      <w:r>
        <w:rPr>
          <w:spacing w:val="0"/>
          <w:w w:val="100"/>
          <w:position w:val="0"/>
        </w:rPr>
        <w:t>眼病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Graves' orbitopathy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又称甲 亢相关性眼病，是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病的主要甲状腺外表现, 临床相对罕见，轻度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和非进展性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居多，中重 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仅占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5%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6%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［1-2］</w:t>
      </w:r>
      <w:r>
        <w:rPr>
          <w:spacing w:val="0"/>
          <w:w w:val="100"/>
          <w:position w:val="0"/>
        </w:rPr>
        <w:t>，但即使是轻度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对患者 生活质量亦有较大影响，其诊断和治疗一直是甲状 腺功能亢进（甲亢）相关疾病管理的难点。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治疗 的直接和间接费用造成了巨大的公共卫生负担，因 此其治疗对于临床是一项挑战。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2021</w:t>
      </w:r>
      <w:r>
        <w:rPr>
          <w:spacing w:val="0"/>
          <w:w w:val="100"/>
          <w:position w:val="0"/>
        </w:rPr>
        <w:t>年欧洲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Graves </w:t>
      </w:r>
      <w:r>
        <w:rPr>
          <w:spacing w:val="0"/>
          <w:w w:val="100"/>
          <w:position w:val="0"/>
        </w:rPr>
        <w:t>眼病专家组 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European Group on Graves' orbitopathy</w:t>
      </w:r>
      <w:r>
        <w:rPr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EUGOGO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发布了</w:t>
      </w:r>
      <w:r>
        <w:rPr>
          <w:spacing w:val="0"/>
          <w:w w:val="100"/>
          <w:position w:val="0"/>
          <w:lang w:val="zh-CN" w:eastAsia="zh-CN" w:bidi="zh-CN"/>
        </w:rPr>
        <w:t>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>2021</w:t>
      </w:r>
      <w:r>
        <w:rPr>
          <w:spacing w:val="0"/>
          <w:w w:val="100"/>
          <w:position w:val="0"/>
        </w:rPr>
        <w:t>年欧洲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眼病临床实 践管理指南》（以下简称指南）国，在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2016</w:t>
      </w:r>
      <w:r>
        <w:rPr>
          <w:spacing w:val="0"/>
          <w:w w:val="100"/>
          <w:position w:val="0"/>
        </w:rPr>
        <w:t>版指南的 基础上进行了更新，对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的诊断、分级和治疗方案 进行了详细的阐述，特别推荐了近年来用于中重度 和活动性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治疗的新型生物制剂以及相关的临床随 机试验。指南共包含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32</w:t>
      </w:r>
      <w:r>
        <w:rPr>
          <w:spacing w:val="0"/>
          <w:w w:val="100"/>
          <w:position w:val="0"/>
        </w:rPr>
        <w:t>条推荐意见与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幅疾病管理 路径图。本文对该指南的要点进行解读，为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的规 范化、多学科诊疗提供指导。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Grave s</w:t>
      </w:r>
      <w:r>
        <w:rPr>
          <w:b/>
          <w:bCs/>
          <w:spacing w:val="0"/>
          <w:w w:val="100"/>
          <w:position w:val="0"/>
        </w:rPr>
        <w:t>眼病的临床活动性及严重程度评估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的治疗方案应基于其临床活动性、严重程 度和持续时间，当疾病持续时间超过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18</w:t>
      </w:r>
      <w:r>
        <w:rPr>
          <w:spacing w:val="0"/>
          <w:w w:val="100"/>
          <w:position w:val="0"/>
        </w:rPr>
        <w:t>个月时，抗 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免疫抑制治疗的效果会显著降低。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的临床活 动性及严重程度应根据标准化的评估标准进行评估, 评估内容包括活动度、严重程度和持续时间，评估 的目的是以此制定个体化的治疗方案。另外，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 评估还应当包括通过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EUGOGO</w:t>
      </w:r>
      <w:r>
        <w:rPr>
          <w:spacing w:val="0"/>
          <w:w w:val="100"/>
          <w:position w:val="0"/>
        </w:rPr>
        <w:t>疾病特异性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生活 质量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QoL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问卷评估患者生活质量。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1.1 GO</w:t>
      </w:r>
      <w:r>
        <w:rPr>
          <w:b/>
          <w:bCs/>
          <w:spacing w:val="0"/>
          <w:w w:val="100"/>
          <w:position w:val="0"/>
        </w:rPr>
        <w:t xml:space="preserve">的临床活动度 </w:t>
      </w:r>
      <w:r>
        <w:rPr>
          <w:spacing w:val="0"/>
          <w:w w:val="100"/>
          <w:position w:val="0"/>
        </w:rPr>
        <w:t>临床活动评分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clinical activity score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CAS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系统目前仍然是经过验证的最佳评分 系统，其评分标准共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7</w:t>
      </w:r>
      <w:r>
        <w:rPr>
          <w:spacing w:val="0"/>
          <w:w w:val="100"/>
          <w:position w:val="0"/>
        </w:rPr>
        <w:t>项，分别为：①自发性球后 疼痛；②试图向上或向下凝视时的疼痛；③眼睑充 血；④结膜充血；⑤泪阜肿胀；⑥眼睑水肿；⑦球 结膜水肿。每项评分为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分。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CAS </w:t>
      </w:r>
      <w:r>
        <w:rPr>
          <w:spacing w:val="0"/>
          <w:w w:val="100"/>
          <w:position w:val="0"/>
        </w:rPr>
        <w:t xml:space="preserve">&lt;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 xml:space="preserve">分为非活动 </w:t>
      </w:r>
      <w:r>
        <w:rPr>
          <w:spacing w:val="0"/>
          <w:w w:val="100"/>
          <w:position w:val="0"/>
        </w:rPr>
        <w:t>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CAS 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分为活动性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10</w:t>
      </w:r>
      <w:r>
        <w:rPr>
          <w:spacing w:val="0"/>
          <w:w w:val="100"/>
          <w:position w:val="0"/>
        </w:rPr>
        <w:t>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CAS</w:t>
      </w:r>
      <w:r>
        <w:rPr>
          <w:spacing w:val="0"/>
          <w:w w:val="100"/>
          <w:position w:val="0"/>
        </w:rPr>
        <w:t>评 分是在前者基础上加上以下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项：眼球突出增加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2mm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任意方向眼球运动极限降低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8</w:t>
      </w:r>
      <w:r>
        <w:rPr>
          <w:spacing w:val="0"/>
          <w:w w:val="100"/>
          <w:position w:val="0"/>
        </w:rPr>
        <w:t>°，过去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 xml:space="preserve">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个月内出现视力下降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条线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Snellen</w:t>
      </w:r>
      <w:r>
        <w:rPr>
          <w:spacing w:val="0"/>
          <w:w w:val="100"/>
          <w:position w:val="0"/>
        </w:rPr>
        <w:t>视力表）, 该评分方法有助于评估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的近期进展情况。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280" w:line="315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1.2 GO</w:t>
      </w:r>
      <w:r>
        <w:rPr>
          <w:b/>
          <w:bCs/>
          <w:spacing w:val="0"/>
          <w:w w:val="100"/>
          <w:position w:val="0"/>
        </w:rPr>
        <w:t xml:space="preserve">严重程度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按照严重程度可分为轻度、 中度至重度（无视力威胁）、威胁视力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级。具体标 准见表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。</w:t>
      </w:r>
    </w:p>
    <w:p>
      <w:pPr>
        <w:pStyle w:val="Style2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严重程度分级</w:t>
      </w:r>
    </w:p>
    <w:p>
      <w:pPr>
        <w:pStyle w:val="Style3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2740" w:val="left"/>
        </w:tabs>
        <w:bidi w:val="0"/>
        <w:spacing w:before="0" w:after="160" w:line="240" w:lineRule="auto"/>
        <w:ind w:left="0" w:right="0" w:firstLine="340"/>
        <w:jc w:val="left"/>
      </w:pPr>
      <w:r>
        <w:rPr>
          <w:spacing w:val="0"/>
          <w:w w:val="100"/>
          <w:position w:val="0"/>
        </w:rPr>
        <w:t>分级</w:t>
        <w:tab/>
        <w:t>特征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886" w:val="left"/>
        </w:tabs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轻度</w:t>
        <w:tab/>
        <w:t>对日常生活仅有轻微影响，不需要免疫抑制剂或手术治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spacing w:val="0"/>
          <w:w w:val="100"/>
          <w:position w:val="0"/>
        </w:rPr>
        <w:t>疗。通常具有以下</w:t>
      </w:r>
      <w:r>
        <w:rPr>
          <w:b/>
          <w:bCs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项及以上临床表现: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</w:rPr>
        <w:t>•</w:t>
      </w:r>
      <w:r>
        <w:rPr>
          <w:spacing w:val="0"/>
          <w:w w:val="100"/>
          <w:position w:val="0"/>
        </w:rPr>
        <w:t xml:space="preserve">眼睑挛缩&lt; </w:t>
      </w:r>
      <w:r>
        <w:rPr>
          <w:b/>
          <w:bCs/>
          <w:spacing w:val="0"/>
          <w:w w:val="100"/>
          <w:position w:val="0"/>
          <w:lang w:val="en-US" w:eastAsia="en-US" w:bidi="en-US"/>
        </w:rPr>
        <w:t>2mm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  <w:lang w:val="zh-CN" w:eastAsia="zh-CN" w:bidi="zh-CN"/>
        </w:rPr>
        <w:t>-</w:t>
      </w:r>
      <w:r>
        <w:rPr>
          <w:spacing w:val="0"/>
          <w:w w:val="100"/>
          <w:position w:val="0"/>
        </w:rPr>
        <w:t>轻度软组织受累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</w:rPr>
        <w:t>•</w:t>
      </w:r>
      <w:r>
        <w:rPr>
          <w:spacing w:val="0"/>
          <w:w w:val="100"/>
          <w:position w:val="0"/>
        </w:rPr>
        <w:t>眼球突出度</w:t>
      </w:r>
      <w:r>
        <w:rPr>
          <w:spacing w:val="0"/>
          <w:w w:val="100"/>
          <w:position w:val="0"/>
          <w:lang w:val="zh-CN" w:eastAsia="zh-CN" w:bidi="zh-CN"/>
        </w:rPr>
        <w:t>〈相</w:t>
      </w:r>
      <w:r>
        <w:rPr>
          <w:spacing w:val="0"/>
          <w:w w:val="100"/>
          <w:position w:val="0"/>
        </w:rPr>
        <w:t>同种群和性别正常值</w:t>
      </w:r>
      <w:r>
        <w:rPr>
          <w:b/>
          <w:bCs/>
          <w:spacing w:val="0"/>
          <w:w w:val="100"/>
          <w:position w:val="0"/>
          <w:lang w:val="en-US" w:eastAsia="en-US" w:bidi="en-US"/>
        </w:rPr>
        <w:t>3mm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  <w:lang w:val="en-US" w:eastAsia="en-US" w:bidi="en-US"/>
        </w:rPr>
        <w:t>•</w:t>
      </w:r>
      <w:r>
        <w:rPr>
          <w:spacing w:val="0"/>
          <w:w w:val="100"/>
          <w:position w:val="0"/>
        </w:rPr>
        <w:t>没有或仅有间歇性复视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28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  <w:lang w:val="en-US" w:eastAsia="en-US" w:bidi="en-US"/>
        </w:rPr>
        <w:t>•</w:t>
      </w:r>
      <w:r>
        <w:rPr>
          <w:spacing w:val="0"/>
          <w:w w:val="100"/>
          <w:position w:val="0"/>
        </w:rPr>
        <w:t>角膜暴露润滑剂有效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88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中度至</w:t>
        <w:tab/>
        <w:t>眼部病变对日常生活仅有影响，但是不会威胁视力，需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886" w:val="left"/>
        </w:tabs>
        <w:bidi w:val="0"/>
        <w:spacing w:before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重度</w:t>
        <w:tab/>
        <w:t>要免疫抑制剂（活动性）或手术治疗（非活动性）。通常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spacing w:val="0"/>
          <w:w w:val="100"/>
          <w:position w:val="0"/>
        </w:rPr>
        <w:t>具有以下</w:t>
      </w:r>
      <w:r>
        <w:rPr>
          <w:b/>
          <w:bCs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项及以上临床表现: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</w:rPr>
        <w:t>•</w:t>
      </w:r>
      <w:r>
        <w:rPr>
          <w:spacing w:val="0"/>
          <w:w w:val="100"/>
          <w:position w:val="0"/>
        </w:rPr>
        <w:t>眼睑挛缩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b/>
          <w:bCs/>
          <w:spacing w:val="0"/>
          <w:w w:val="100"/>
          <w:position w:val="0"/>
          <w:lang w:val="en-US" w:eastAsia="en-US" w:bidi="en-US"/>
        </w:rPr>
        <w:t>2mm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  <w:lang w:val="en-US" w:eastAsia="en-US" w:bidi="en-US"/>
        </w:rPr>
        <w:t>•</w:t>
      </w:r>
      <w:r>
        <w:rPr>
          <w:spacing w:val="0"/>
          <w:w w:val="100"/>
          <w:position w:val="0"/>
        </w:rPr>
        <w:t>中度或重度软组织受累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</w:rPr>
        <w:t>•</w:t>
      </w:r>
      <w:r>
        <w:rPr>
          <w:spacing w:val="0"/>
          <w:w w:val="100"/>
          <w:position w:val="0"/>
        </w:rPr>
        <w:t>眼球突出超出相同种群和性别人群正常值</w:t>
      </w:r>
      <w:r>
        <w:rPr>
          <w:b/>
          <w:bCs/>
          <w:spacing w:val="0"/>
          <w:w w:val="100"/>
          <w:position w:val="0"/>
          <w:lang w:val="en-US" w:eastAsia="en-US" w:bidi="en-US"/>
        </w:rPr>
        <w:t>3mm</w:t>
      </w: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after="18" w:line="240" w:lineRule="auto"/>
        <w:ind w:right="0" w:firstLine="0"/>
        <w:jc w:val="left"/>
      </w:pPr>
      <w:r>
        <w:rPr>
          <w:b/>
          <w:bCs/>
          <w:spacing w:val="0"/>
          <w:w w:val="100"/>
          <w:position w:val="0"/>
          <w:lang w:val="en-US" w:eastAsia="en-US" w:bidi="en-US"/>
        </w:rPr>
        <w:t>•</w:t>
      </w:r>
      <w:r>
        <w:rPr>
          <w:spacing w:val="0"/>
          <w:w w:val="100"/>
          <w:position w:val="0"/>
        </w:rPr>
        <w:t>不稳定或持续性复视</w:t>
      </w:r>
    </w:p>
    <w:p>
      <w:pPr>
        <w:pStyle w:val="Style31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pos="886" w:val="left"/>
        </w:tabs>
        <w:bidi w:val="0"/>
        <w:spacing w:before="0" w:after="38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威胁视力</w:t>
        <w:tab/>
        <w:t>甲状腺功能紊乱相关的视神经病变和</w:t>
      </w:r>
      <w:r>
        <w:rPr>
          <w:b/>
          <w:bCs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或角膜脱落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Grave s</w:t>
      </w:r>
      <w:r>
        <w:rPr>
          <w:b/>
          <w:bCs/>
          <w:spacing w:val="0"/>
          <w:w w:val="100"/>
          <w:position w:val="0"/>
        </w:rPr>
        <w:t>眼病的危险因素防控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4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的危险因素包括吸烟、甲状腺功能紊乱、血清 高促甲状腺激素受体抗体水平、放射性碘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radioactive iodine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治疗、高胆固醇血症。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2.1</w:t>
      </w:r>
      <w:r>
        <w:rPr>
          <w:b/>
          <w:bCs/>
          <w:spacing w:val="0"/>
          <w:w w:val="100"/>
          <w:position w:val="0"/>
        </w:rPr>
        <w:t xml:space="preserve">吸烟 </w:t>
      </w:r>
      <w:r>
        <w:rPr>
          <w:spacing w:val="0"/>
          <w:w w:val="100"/>
          <w:position w:val="0"/>
        </w:rPr>
        <w:t>吸烟可增加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病患者发生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的风 险，吸烟者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程度更严重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［2］</w:t>
      </w:r>
      <w:r>
        <w:rPr>
          <w:spacing w:val="0"/>
          <w:w w:val="100"/>
          <w:position w:val="0"/>
        </w:rPr>
        <w:t>,且吸烟者经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治 疗后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更容易发生或进展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［4-5］</w:t>
      </w:r>
      <w:r>
        <w:rPr>
          <w:spacing w:val="0"/>
          <w:w w:val="100"/>
          <w:position w:val="0"/>
        </w:rPr>
        <w:t>。另外，吸烟者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免疫抑制治疗结果往往延迟或不佳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［6-7］</w:t>
      </w:r>
      <w:r>
        <w:rPr>
          <w:spacing w:val="0"/>
          <w:w w:val="100"/>
          <w:position w:val="0"/>
        </w:rPr>
        <w:t xml:space="preserve">；反之戒烟可 </w:t>
      </w:r>
      <w:r>
        <w:rPr>
          <w:spacing w:val="0"/>
          <w:w w:val="100"/>
          <w:position w:val="0"/>
        </w:rPr>
        <w:t>能与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的治疗效果更佳相关凶。因此，相比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2016 </w:t>
      </w:r>
      <w:r>
        <w:rPr>
          <w:spacing w:val="0"/>
          <w:w w:val="100"/>
          <w:position w:val="0"/>
        </w:rPr>
        <w:t>年指南，新版指南更强调医生应敦促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甲亢患 者（无论是否伴有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避免吸烟或戒烟。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2.2</w:t>
      </w:r>
      <w:r>
        <w:rPr>
          <w:b/>
          <w:bCs/>
          <w:spacing w:val="0"/>
          <w:w w:val="100"/>
          <w:position w:val="0"/>
        </w:rPr>
        <w:t xml:space="preserve">甲状腺功能异常 </w:t>
      </w:r>
      <w:r>
        <w:rPr>
          <w:spacing w:val="0"/>
          <w:w w:val="100"/>
          <w:position w:val="0"/>
        </w:rPr>
        <w:t>甲状腺功能正常对于控制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至关重要，甲状腺功能亢进和甲状腺功能减退均会 促进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的病情进展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［9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</w:rPr>
        <w:t>-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11］</w:t>
      </w:r>
      <w:r>
        <w:rPr>
          <w:spacing w:val="0"/>
          <w:w w:val="100"/>
          <w:position w:val="0"/>
        </w:rPr>
        <w:t>,因此指南推荐所有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 者均应迅速恢复并稳定维持正常的甲状腺功能。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2.3 RAI</w:t>
      </w:r>
      <w:r>
        <w:rPr>
          <w:b/>
          <w:bCs/>
          <w:spacing w:val="0"/>
          <w:w w:val="100"/>
          <w:position w:val="0"/>
        </w:rPr>
        <w:t xml:space="preserve">治疗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治疗存在导致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进展和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或 复发的风险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［12-15］</w:t>
      </w:r>
      <w:r>
        <w:rPr>
          <w:spacing w:val="0"/>
          <w:w w:val="100"/>
          <w:position w:val="0"/>
        </w:rPr>
        <w:t>。在一项大型随机对照试验中，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150 </w:t>
      </w:r>
      <w:r>
        <w:rPr>
          <w:spacing w:val="0"/>
          <w:w w:val="100"/>
          <w:position w:val="0"/>
        </w:rPr>
        <w:t>例接受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治疗的患者中有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23</w:t>
      </w:r>
      <w:r>
        <w:rPr>
          <w:spacing w:val="0"/>
          <w:w w:val="100"/>
          <w:position w:val="0"/>
        </w:rPr>
        <w:t>例（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15%</w:t>
      </w:r>
      <w:r>
        <w:rPr>
          <w:spacing w:val="0"/>
          <w:w w:val="100"/>
          <w:position w:val="0"/>
        </w:rPr>
        <w:t>）出现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进展，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8</w:t>
      </w:r>
      <w:r>
        <w:rPr>
          <w:spacing w:val="0"/>
          <w:w w:val="100"/>
          <w:position w:val="0"/>
        </w:rPr>
        <w:t>例（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5%</w:t>
      </w:r>
      <w:r>
        <w:rPr>
          <w:spacing w:val="0"/>
          <w:w w:val="100"/>
          <w:position w:val="0"/>
        </w:rPr>
        <w:t>）患者持续出现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［14］</w:t>
      </w:r>
      <w:r>
        <w:rPr>
          <w:spacing w:val="0"/>
          <w:w w:val="100"/>
          <w:position w:val="0"/>
        </w:rPr>
        <w:t>；短期 口服泼尼松可预防与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相关的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［12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</w:rPr>
        <w:t>,</w:t>
      </w:r>
      <w:r>
        <w:rPr>
          <w:spacing w:val="0"/>
          <w:w w:val="100"/>
          <w:position w:val="0"/>
        </w:rPr>
        <w:t>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16-17］</w:t>
      </w:r>
      <w:r>
        <w:rPr>
          <w:spacing w:val="0"/>
          <w:w w:val="100"/>
          <w:position w:val="0"/>
        </w:rPr>
        <w:t>。 对于接受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治疗的患者，如有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发生或进展的 风险（吸烟、严重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不稳定甲亢、高血清促甲状腺 激素受体抗体），指南推荐口服泼尼松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泼尼松龙预 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不仅有效而且安全性高。用药方案：①高风 险患者起始剂量每日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0.3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0.5mg/kg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个月后逐渐 减量直至停药；②低风险患者起始剂量每日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0.1</w:t>
      </w:r>
      <w:r>
        <w:rPr>
          <w:spacing w:val="0"/>
          <w:w w:val="100"/>
          <w:position w:val="0"/>
        </w:rPr>
        <w:t xml:space="preserve">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0.2mg/kg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个月后逐渐减量直至停药。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2.4</w:t>
      </w:r>
      <w:r>
        <w:rPr>
          <w:b/>
          <w:bCs/>
          <w:spacing w:val="0"/>
          <w:w w:val="100"/>
          <w:position w:val="0"/>
        </w:rPr>
        <w:t xml:space="preserve">促甲状腺激素受体抗体水平 </w:t>
      </w:r>
      <w:r>
        <w:rPr>
          <w:spacing w:val="0"/>
          <w:w w:val="100"/>
          <w:position w:val="0"/>
        </w:rPr>
        <w:t>在患有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病 和桥本甲状腺炎的儿童和成人中，血清促甲状腺激 素受体抗体水平</w:t>
      </w:r>
      <w:r>
        <w:rPr>
          <w:spacing w:val="0"/>
          <w:w w:val="100"/>
          <w:position w:val="0"/>
          <w:lang w:val="zh-CN" w:eastAsia="zh-CN" w:bidi="zh-CN"/>
        </w:rPr>
        <w:t>升高〉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</w:t>
      </w:r>
      <w:r>
        <w:rPr>
          <w:spacing w:val="0"/>
          <w:w w:val="100"/>
          <w:position w:val="0"/>
        </w:rPr>
        <w:t>倍与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具有相关性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［18-21］</w:t>
      </w:r>
      <w:r>
        <w:rPr>
          <w:spacing w:val="0"/>
          <w:w w:val="100"/>
          <w:position w:val="0"/>
        </w:rPr>
        <w:t>， 且可预测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的发生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［22］</w:t>
      </w:r>
      <w:r>
        <w:rPr>
          <w:spacing w:val="0"/>
          <w:w w:val="100"/>
          <w:position w:val="0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2.5</w:t>
      </w:r>
      <w:r>
        <w:rPr>
          <w:b/>
          <w:bCs/>
          <w:spacing w:val="0"/>
          <w:w w:val="100"/>
          <w:position w:val="0"/>
        </w:rPr>
        <w:t>胆固醇水平</w:t>
      </w:r>
      <w:r>
        <w:rPr>
          <w:spacing w:val="0"/>
          <w:w w:val="100"/>
          <w:position w:val="0"/>
        </w:rPr>
        <w:t>本指南新增高胆固醇水平为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潜在的风险因素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［23-25］</w:t>
      </w:r>
      <w:r>
        <w:rPr>
          <w:spacing w:val="0"/>
          <w:w w:val="100"/>
          <w:position w:val="0"/>
        </w:rPr>
        <w:t>。总胆固醇和低密度脂蛋白胆固 醇水平升高与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相关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［24-25］</w:t>
      </w:r>
      <w:r>
        <w:rPr>
          <w:spacing w:val="0"/>
          <w:w w:val="100"/>
          <w:position w:val="0"/>
        </w:rPr>
        <w:t>，与低密度脂蛋白胆固醇 水平正常的患者相比，低密度脂蛋白胆固醇水平增 高者静脉注射糖皮质激素治疗的效果更差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［26］</w:t>
      </w:r>
      <w:r>
        <w:rPr>
          <w:spacing w:val="0"/>
          <w:w w:val="100"/>
          <w:position w:val="0"/>
        </w:rPr>
        <w:t>，而使 用他汀类药物则与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的发生风险降低有关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［27］</w:t>
      </w:r>
      <w:r>
        <w:rPr>
          <w:spacing w:val="0"/>
          <w:w w:val="100"/>
          <w:position w:val="0"/>
        </w:rPr>
        <w:t>，因 此在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患者中可以考虑使用他汀类药物控制高胆固 醇血症。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3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 s</w:t>
      </w:r>
      <w:r>
        <w:rPr>
          <w:rFonts w:ascii="SimSun" w:eastAsia="SimSun" w:hAnsi="SimSun" w:cs="SimSun"/>
          <w:spacing w:val="0"/>
          <w:w w:val="100"/>
          <w:position w:val="0"/>
        </w:rPr>
        <w:t>眼病的分级治疗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3.1</w:t>
      </w:r>
      <w:r>
        <w:rPr>
          <w:b/>
          <w:bCs/>
          <w:spacing w:val="0"/>
          <w:w w:val="100"/>
          <w:position w:val="0"/>
        </w:rPr>
        <w:t xml:space="preserve">局部治疗 </w:t>
      </w:r>
      <w:r>
        <w:rPr>
          <w:spacing w:val="0"/>
          <w:w w:val="100"/>
          <w:position w:val="0"/>
        </w:rPr>
        <w:t>所有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患者在发病过程中均应坚 持使用人工泪液进行局部治疗，眼睑闭合不全致角 膜暴露者夜间可使用眼用凝胶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软膏治疗，严重眼睑 闭合不全可以使用胶带封住眼睑，或在夜间佩戴湿 房镜防止角膜干燥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［28］</w:t>
      </w:r>
      <w:r>
        <w:rPr>
          <w:spacing w:val="0"/>
          <w:w w:val="100"/>
          <w:position w:val="0"/>
        </w:rPr>
        <w:t>。另外在提睑肌内注射肉毒杆 菌毒素可能有助于缩小眼睑裂孔</w:t>
      </w:r>
      <w:r>
        <w:rPr>
          <w:spacing w:val="0"/>
          <w:w w:val="100"/>
          <w:position w:val="0"/>
          <w:lang w:val="zh-CN" w:eastAsia="zh-CN" w:bidi="zh-CN"/>
        </w:rPr>
        <w:t>四。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3.2</w:t>
      </w:r>
      <w:r>
        <w:rPr>
          <w:b/>
          <w:bCs/>
          <w:spacing w:val="0"/>
          <w:w w:val="100"/>
          <w:position w:val="0"/>
        </w:rPr>
        <w:t>轻度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GO</w:t>
      </w:r>
      <w:r>
        <w:rPr>
          <w:b/>
          <w:bCs/>
          <w:spacing w:val="0"/>
          <w:w w:val="100"/>
          <w:position w:val="0"/>
        </w:rPr>
        <w:t xml:space="preserve">的治疗 </w:t>
      </w:r>
      <w:r>
        <w:rPr>
          <w:spacing w:val="0"/>
          <w:w w:val="100"/>
          <w:position w:val="0"/>
        </w:rPr>
        <w:t>大多数轻度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患者的眼部 表现会自发消失，因此通常只需要密切观察和局部 治疗。对于近期发作的轻度活动性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患者，应给予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个月补硒治疗。有证据表明在缺硒地区，与安慰剂 组相比，每天服用亚硒酸钠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200</w:t>
      </w:r>
      <w:r>
        <w:rPr>
          <w:spacing w:val="0"/>
          <w:w w:val="100"/>
          <w:position w:val="0"/>
        </w:rPr>
        <w:t>曲（含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91.2</w:t>
      </w:r>
      <w:r>
        <w:rPr>
          <w:spacing w:val="0"/>
          <w:w w:val="100"/>
          <w:position w:val="0"/>
        </w:rPr>
        <w:t xml:space="preserve">曲硒）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个月的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患者生活质量及整体眼科预后改善率更 </w:t>
      </w:r>
      <w:r>
        <w:rPr>
          <w:spacing w:val="0"/>
          <w:w w:val="100"/>
          <w:position w:val="0"/>
        </w:rPr>
        <w:t>高，向更严重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进展的发生率更低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［3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</w:rPr>
        <w:t>°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］</w:t>
      </w:r>
      <w:r>
        <w:rPr>
          <w:spacing w:val="0"/>
          <w:w w:val="100"/>
          <w:position w:val="0"/>
        </w:rPr>
        <w:t>。停药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个 月后，补硒的获益依然存在。指南建议服用硒甲硫 氨酸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100</w:t>
      </w:r>
      <w:r>
        <w:rPr>
          <w:spacing w:val="0"/>
          <w:w w:val="100"/>
          <w:position w:val="0"/>
        </w:rPr>
        <w:t>曲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/d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另外轻度活动性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可以进行低剂量 免疫调节治疗，非活动性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则可进行康复手术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［31］</w:t>
      </w:r>
      <w:r>
        <w:rPr>
          <w:spacing w:val="0"/>
          <w:w w:val="100"/>
          <w:position w:val="0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3.3</w:t>
      </w:r>
      <w:r>
        <w:rPr>
          <w:b/>
          <w:bCs/>
          <w:spacing w:val="0"/>
          <w:w w:val="100"/>
          <w:position w:val="0"/>
        </w:rPr>
        <w:t>中度至重度活动性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GO</w:t>
      </w:r>
      <w:r>
        <w:rPr>
          <w:b/>
          <w:bCs/>
          <w:spacing w:val="0"/>
          <w:w w:val="100"/>
          <w:position w:val="0"/>
        </w:rPr>
        <w:t xml:space="preserve">的治疗 </w:t>
      </w:r>
      <w:r>
        <w:rPr>
          <w:spacing w:val="0"/>
          <w:w w:val="100"/>
          <w:position w:val="0"/>
        </w:rPr>
        <w:t>应就治疗的目 的、预期以及不同疗法的益处和潜在风险与患者进 行详细沟通。治疗方案的确定应综合考虑循证证据、 安全性、费用、是否可报销、药物供应、专业化治 疗设备以及患者个人的选择。治疗原则：建议尽早 治疗，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年内治疗效果通常会更优；对第一疗程免疫 抑制治疗反应不佳者可能需要单独或联合使用不同 的药物以及治疗手段进行第二疗程免疫抑制治疗； 残存的非活动性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可选择行康复手术。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3.3.1 </w:t>
      </w:r>
      <w:r>
        <w:rPr>
          <w:spacing w:val="0"/>
          <w:w w:val="100"/>
          <w:position w:val="0"/>
        </w:rPr>
        <w:t>一线治疗 静脉注射中等累积剂量的糖皮质 激素联合口服吗替麦考酚醋被认为是中度至重度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和活动性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的一线治疗方法。具体方案为静脉输 注甲泼尼龙，累积剂量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4.5g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每周输注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次，连续 输注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12</w:t>
      </w:r>
      <w:r>
        <w:rPr>
          <w:spacing w:val="0"/>
          <w:w w:val="100"/>
          <w:position w:val="0"/>
        </w:rPr>
        <w:t>周（前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周每次输注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0.5g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 xml:space="preserve">周每次输注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0.25g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；同时每天口服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0.72g</w:t>
      </w:r>
      <w:r>
        <w:rPr>
          <w:spacing w:val="0"/>
          <w:w w:val="100"/>
          <w:position w:val="0"/>
        </w:rPr>
        <w:t>吗替麦考酚醋钠（相 当于吗替麦考酚醋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1g/d</w:t>
      </w:r>
      <w:r>
        <w:rPr>
          <w:spacing w:val="0"/>
          <w:w w:val="100"/>
          <w:position w:val="0"/>
          <w:lang w:val="en-US" w:eastAsia="en-US" w:bidi="en-US"/>
        </w:rPr>
        <w:t>），</w:t>
      </w:r>
      <w:r>
        <w:rPr>
          <w:spacing w:val="0"/>
          <w:w w:val="100"/>
          <w:position w:val="0"/>
        </w:rPr>
        <w:t>持续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18</w:t>
      </w:r>
      <w:r>
        <w:rPr>
          <w:spacing w:val="0"/>
          <w:w w:val="100"/>
          <w:position w:val="0"/>
        </w:rPr>
        <w:t>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［32］</w:t>
      </w:r>
      <w:r>
        <w:rPr>
          <w:spacing w:val="0"/>
          <w:w w:val="100"/>
          <w:position w:val="0"/>
        </w:rPr>
        <w:t>。无论是作 为单药治疗还是与静脉注射糖皮质激素联合使用， 吗替麦考酚醋在中重度和活动性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患者中均具有积 极的疗效和良好的安全性。研究表明，低剂量吗替 麦考酚醋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1g/d</w:t>
      </w:r>
      <w:r>
        <w:rPr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吗替麦考酚酯钠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0.72g/d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与静 脉注射甲泼尼龙联合应用既安全又经济，对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CAS</w:t>
      </w:r>
      <w:r>
        <w:rPr>
          <w:spacing w:val="0"/>
          <w:w w:val="100"/>
          <w:position w:val="0"/>
        </w:rPr>
        <w:t>以 及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Graves</w:t>
      </w:r>
      <w:r>
        <w:rPr>
          <w:spacing w:val="0"/>
          <w:w w:val="100"/>
          <w:position w:val="0"/>
        </w:rPr>
        <w:t>眼病生存质量量表视觉功能评分具有更为 显著的改善作用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［33-34］</w:t>
      </w:r>
      <w:r>
        <w:rPr>
          <w:spacing w:val="0"/>
          <w:w w:val="100"/>
          <w:position w:val="0"/>
        </w:rPr>
        <w:t>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对于更为严重的中重度活动性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患者（包括持 续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不稳定复视、严重软组织受损、</w:t>
      </w:r>
      <w:r>
        <w:rPr>
          <w:spacing w:val="0"/>
          <w:w w:val="100"/>
          <w:position w:val="0"/>
          <w:lang w:val="zh-CN" w:eastAsia="zh-CN" w:bidi="zh-CN"/>
        </w:rPr>
        <w:t>突眼〉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25mm</w:t>
      </w:r>
      <w:r>
        <w:rPr>
          <w:spacing w:val="0"/>
          <w:w w:val="100"/>
          <w:position w:val="0"/>
          <w:lang w:val="en-US" w:eastAsia="en-US" w:bidi="en-US"/>
        </w:rPr>
        <w:t xml:space="preserve">）, </w:t>
      </w:r>
      <w:r>
        <w:rPr>
          <w:spacing w:val="0"/>
          <w:w w:val="100"/>
          <w:position w:val="0"/>
        </w:rPr>
        <w:t>单药静脉注射甲泼尼龙是另外一种有效的一线治疗 方案，前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周起始剂量为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0.75g/</w:t>
      </w:r>
      <w:r>
        <w:rPr>
          <w:spacing w:val="0"/>
          <w:w w:val="100"/>
          <w:position w:val="0"/>
        </w:rPr>
        <w:t>周，随后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 xml:space="preserve">周改为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0.5g/</w:t>
      </w:r>
      <w:r>
        <w:rPr>
          <w:spacing w:val="0"/>
          <w:w w:val="100"/>
          <w:position w:val="0"/>
        </w:rPr>
        <w:t>周（最高累积剂量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7.5g/</w:t>
      </w:r>
      <w:r>
        <w:rPr>
          <w:spacing w:val="0"/>
          <w:w w:val="100"/>
          <w:position w:val="0"/>
        </w:rPr>
        <w:t>治疗周期）。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对于接受糖皮质激素治疗的患者，静脉滴注糖 皮质激素的总剂量在每个治疗周期不应超过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8.0g</w:t>
      </w:r>
      <w:r>
        <w:rPr>
          <w:spacing w:val="0"/>
          <w:w w:val="100"/>
          <w:position w:val="0"/>
        </w:rPr>
        <w:t>，临 床上需监测治疗效果和不良反应，当不良反应大于 受益时，应考虑终止糖皮质激素治疗，采用其他治 疗方法或密切观察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［35-39］</w:t>
      </w:r>
      <w:r>
        <w:rPr>
          <w:spacing w:val="0"/>
          <w:w w:val="100"/>
          <w:position w:val="0"/>
        </w:rPr>
        <w:t>。具有近期病毒性肝炎、严 重肝功能不全、严重心血管疾病或未控制的高血压 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患者禁用糖皮质激素。合并糖尿病的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 应在治疗前将血糖控制达标。当存在糖皮质激素绝 对禁忌证时，可考虑采用局部结膜下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眼眶醋酸曲安 奈德注射治疗。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3.3.2</w:t>
      </w:r>
      <w:r>
        <w:rPr>
          <w:spacing w:val="0"/>
          <w:w w:val="100"/>
          <w:position w:val="0"/>
        </w:rPr>
        <w:t>二线治疗二线治疗可用于对一线治疗无反 应甚至恶化的持续性中重度伴活动性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患者。目前 </w:t>
      </w:r>
      <w:r>
        <w:rPr>
          <w:spacing w:val="0"/>
          <w:w w:val="100"/>
          <w:position w:val="0"/>
        </w:rPr>
        <w:t>有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种可供选择的二线治疗方案。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3.3.2.1</w:t>
      </w:r>
      <w:r>
        <w:rPr>
          <w:spacing w:val="0"/>
          <w:w w:val="100"/>
          <w:position w:val="0"/>
        </w:rPr>
        <w:t>甲泼尼龙单药静脉注射第二治疗周期可以 给予静脉注射甲泼尼龙单药治疗，甲泼尼龙由单次 高剂量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0.75g/</w:t>
      </w:r>
      <w:r>
        <w:rPr>
          <w:spacing w:val="0"/>
          <w:w w:val="100"/>
          <w:position w:val="0"/>
        </w:rPr>
        <w:t xml:space="preserve">每周）开始，每个周期最大累积剂量 为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8.0g</w:t>
      </w:r>
      <w:r>
        <w:rPr>
          <w:spacing w:val="0"/>
          <w:w w:val="100"/>
          <w:position w:val="0"/>
          <w:lang w:val="en-US" w:eastAsia="en-US" w:bidi="en-US"/>
        </w:rPr>
        <w:t>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3.3.2.2 </w:t>
      </w:r>
      <w:r>
        <w:rPr>
          <w:spacing w:val="0"/>
          <w:w w:val="100"/>
          <w:position w:val="0"/>
        </w:rPr>
        <w:t>口服泼尼松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泼尼松龙联合环孢素或硫唑嘌 吟环孢素联合口服糖皮质激素是中重度活动性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有效的二线治疗</w:t>
      </w:r>
      <w:r>
        <w:rPr>
          <w:spacing w:val="0"/>
          <w:w w:val="100"/>
          <w:position w:val="0"/>
          <w:lang w:val="zh-CN" w:eastAsia="zh-CN" w:bidi="zh-CN"/>
        </w:rPr>
        <w:t>方法。</w:t>
      </w:r>
      <w:r>
        <w:rPr>
          <w:spacing w:val="0"/>
          <w:w w:val="100"/>
          <w:position w:val="0"/>
        </w:rPr>
        <w:t>研究显示，环孢素［初始剂 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7.5mg/（kg・d</w:t>
      </w:r>
      <w:r>
        <w:rPr>
          <w:spacing w:val="0"/>
          <w:w w:val="100"/>
          <w:position w:val="0"/>
          <w:lang w:val="en-US" w:eastAsia="en-US" w:bidi="en-US"/>
        </w:rPr>
        <w:t>）］</w:t>
      </w:r>
      <w:r>
        <w:rPr>
          <w:spacing w:val="0"/>
          <w:w w:val="100"/>
          <w:position w:val="0"/>
        </w:rPr>
        <w:t xml:space="preserve">和口服泼尼松龙（初始剂量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50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100mg/d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联合治疗比口服泼尼松龙单药治疗 具有更好的眼科疗效及更低的复发率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［40］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硫唑嘌吟 作为单一药物对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无效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［41］</w:t>
      </w:r>
      <w:r>
        <w:rPr>
          <w:spacing w:val="0"/>
          <w:w w:val="100"/>
          <w:position w:val="0"/>
        </w:rPr>
        <w:t>,可考虑将其作为二线 药物与口服低剂量糖皮质激素联合使用，能降低停 用糖皮质激素后的复发率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［42］</w:t>
      </w:r>
      <w:r>
        <w:rPr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spacing w:val="0"/>
          <w:w w:val="100"/>
          <w:position w:val="0"/>
        </w:rPr>
        <w:t>口服糖皮质激素推荐 使用每日固定剂量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100mg</w:t>
      </w:r>
      <w:r>
        <w:rPr>
          <w:spacing w:val="0"/>
          <w:w w:val="100"/>
          <w:position w:val="0"/>
        </w:rPr>
        <w:t>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lmg/kg</w:t>
      </w:r>
      <w:r>
        <w:rPr>
          <w:spacing w:val="0"/>
          <w:w w:val="100"/>
          <w:position w:val="0"/>
        </w:rPr>
        <w:t>的醋酸泼尼松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/ </w:t>
      </w:r>
      <w:r>
        <w:rPr>
          <w:spacing w:val="0"/>
          <w:w w:val="100"/>
          <w:position w:val="0"/>
        </w:rPr>
        <w:t>泼尼松龙起始，之后每周逐渐减少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5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10mg</w:t>
      </w:r>
      <w:r>
        <w:rPr>
          <w:spacing w:val="0"/>
          <w:w w:val="100"/>
          <w:position w:val="0"/>
        </w:rPr>
        <w:t>直至停 药（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个月</w:t>
      </w:r>
      <w:r>
        <w:rPr>
          <w:spacing w:val="0"/>
          <w:w w:val="100"/>
          <w:position w:val="0"/>
          <w:lang w:val="en-US" w:eastAsia="en-US" w:bidi="en-US"/>
        </w:rPr>
        <w:t>）o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3.3.2.3</w:t>
      </w:r>
      <w:r>
        <w:rPr>
          <w:spacing w:val="0"/>
          <w:w w:val="100"/>
          <w:position w:val="0"/>
        </w:rPr>
        <w:t>眼眶放射治疗联合口服或静脉注射糖皮质激 素眶内注射醋酸曲安奈德到下外侧象限（每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周注 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40mg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可减少复视及减轻眼外肌水肿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［43］</w:t>
      </w:r>
      <w:r>
        <w:rPr>
          <w:spacing w:val="0"/>
          <w:w w:val="100"/>
          <w:position w:val="0"/>
        </w:rPr>
        <w:t>，经结膜 下上眼睑注射曲安奈德</w:t>
      </w:r>
      <w:r>
        <w:rPr>
          <w:spacing w:val="0"/>
          <w:w w:val="100"/>
          <w:position w:val="0"/>
          <w:lang w:val="zh-CN" w:eastAsia="zh-CN" w:bidi="zh-CN"/>
        </w:rPr>
        <w:t>/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>1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次，每次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20mg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对 短期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患者的上眼睑退缩有效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［44］</w:t>
      </w:r>
      <w:r>
        <w:rPr>
          <w:spacing w:val="0"/>
          <w:w w:val="100"/>
          <w:position w:val="0"/>
        </w:rPr>
        <w:t>，但研究认为其 疗效劣于全身糖皮质激素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［45］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此外，局部糖皮质激 素治疗存在较高的眼压升高和球后出血风险，因此 仅适用于有全身应用糖皮质激素禁忌证的</w:t>
      </w:r>
      <w:r>
        <w:rPr>
          <w:spacing w:val="0"/>
          <w:w w:val="100"/>
          <w:position w:val="0"/>
          <w:lang w:val="zh-CN" w:eastAsia="zh-CN" w:bidi="zh-CN"/>
        </w:rPr>
        <w:t>患者。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3.3.2.4</w:t>
      </w:r>
      <w:r>
        <w:rPr>
          <w:spacing w:val="0"/>
          <w:w w:val="100"/>
          <w:position w:val="0"/>
        </w:rPr>
        <w:t>替妥木单抗胰岛素样生长因子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-1</w:t>
      </w:r>
      <w:r>
        <w:rPr>
          <w:spacing w:val="0"/>
          <w:w w:val="100"/>
          <w:position w:val="0"/>
        </w:rPr>
        <w:t xml:space="preserve">受体在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患者眼眶成纤维细胞和淋巴细胞中过度表达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［46-47］</w:t>
      </w:r>
      <w:r>
        <w:rPr>
          <w:spacing w:val="0"/>
          <w:w w:val="100"/>
          <w:position w:val="0"/>
        </w:rPr>
        <w:t>， 可与促甲状腺激素受体形成功能复合物，介导促甲 状腺激素受体下游信号的转导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［48］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替妥木单抗是一 种完全人源化的免疫球蛋白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Ig</w:t>
      </w:r>
      <w:r>
        <w:rPr>
          <w:spacing w:val="0"/>
          <w:w w:val="100"/>
          <w:position w:val="0"/>
          <w:lang w:val="en-US" w:eastAsia="en-US" w:bidi="en-US"/>
        </w:rPr>
        <w:t xml:space="preserve">）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2"/>
          <w:szCs w:val="12"/>
          <w:lang w:val="en-US" w:eastAsia="en-US" w:bidi="en-US"/>
        </w:rPr>
        <w:t>1</w:t>
      </w:r>
      <w:r>
        <w:rPr>
          <w:spacing w:val="0"/>
          <w:w w:val="100"/>
          <w:position w:val="0"/>
        </w:rPr>
        <w:t>单克隆抑制抗 体，可与胰岛素样生长因子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-1</w:t>
      </w:r>
      <w:r>
        <w:rPr>
          <w:spacing w:val="0"/>
          <w:w w:val="100"/>
          <w:position w:val="0"/>
        </w:rPr>
        <w:t>受体的细胞外部分结 合，并通过内源性配体阻断其激活和信号转导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与 替妥木单抗结合还会导致胰岛素样生长因子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-1</w:t>
      </w:r>
      <w:r>
        <w:rPr>
          <w:spacing w:val="0"/>
          <w:w w:val="100"/>
          <w:position w:val="0"/>
        </w:rPr>
        <w:t>受体 的内化和降解，可使细胞表面胰岛素样生长因子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-1 </w:t>
      </w:r>
      <w:r>
        <w:rPr>
          <w:spacing w:val="0"/>
          <w:w w:val="100"/>
          <w:position w:val="0"/>
        </w:rPr>
        <w:t>受体减少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 xml:space="preserve">95%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  <w:lang w:val="en-US" w:eastAsia="en-US" w:bidi="en-US"/>
        </w:rPr>
        <w:t>［48］</w:t>
      </w:r>
      <w:r>
        <w:rPr>
          <w:spacing w:val="0"/>
          <w:w w:val="100"/>
          <w:position w:val="0"/>
          <w:lang w:val="en-US" w:eastAsia="en-US" w:bidi="en-US"/>
        </w:rPr>
        <w:t>o</w:t>
      </w:r>
      <w:r>
        <w:rPr>
          <w:spacing w:val="0"/>
          <w:w w:val="100"/>
          <w:position w:val="0"/>
        </w:rPr>
        <w:t>替妥木单抗是非常有应用前景的 药物，可显著减少眼球突出、复视的发生并改善患 者的生活质量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［49］</w:t>
      </w:r>
      <w:r>
        <w:rPr>
          <w:spacing w:val="0"/>
          <w:w w:val="100"/>
          <w:position w:val="0"/>
        </w:rPr>
        <w:t>，已成为美国食品药品监督管理局 批准的第一种成人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治疗药物，其常见的不良反应 包括肌肉痉挛、听力损伤和高血糖。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3.3.2.5</w:t>
      </w:r>
      <w:r>
        <w:rPr>
          <w:spacing w:val="0"/>
          <w:w w:val="100"/>
          <w:position w:val="0"/>
        </w:rPr>
        <w:t>利妥昔单抗利妥昔单抗是一种针对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</w:t>
      </w:r>
      <w:r>
        <w:rPr>
          <w:spacing w:val="0"/>
          <w:w w:val="100"/>
          <w:position w:val="0"/>
        </w:rPr>
        <w:t>细胞 表达的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CD20</w:t>
      </w:r>
      <w:r>
        <w:rPr>
          <w:spacing w:val="0"/>
          <w:w w:val="100"/>
          <w:position w:val="0"/>
        </w:rPr>
        <w:t>表面抗原的人和小鼠嵌合单克隆抗体， 通过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</w:t>
      </w:r>
      <w:r>
        <w:rPr>
          <w:spacing w:val="0"/>
          <w:w w:val="100"/>
          <w:position w:val="0"/>
        </w:rPr>
        <w:t xml:space="preserve">细胞耗竭引起免疫抑制。利妥昔单抗可作为 近期发病（＜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12</w:t>
      </w:r>
      <w:r>
        <w:rPr>
          <w:spacing w:val="0"/>
          <w:w w:val="100"/>
          <w:position w:val="0"/>
        </w:rPr>
        <w:t>个月）的中重度伴活动性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患者 的二线治疗方案，需要注意的是其不适用于有甲状 </w:t>
      </w:r>
      <w:r>
        <w:rPr>
          <w:spacing w:val="0"/>
          <w:w w:val="100"/>
          <w:position w:val="0"/>
        </w:rPr>
        <w:t>腺功能障碍性视神经病变的患者。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3.3.2.6</w:t>
      </w:r>
      <w:r>
        <w:rPr>
          <w:spacing w:val="0"/>
          <w:w w:val="100"/>
          <w:position w:val="0"/>
        </w:rPr>
        <w:t>托珠单抗托珠单抗是一种针对白细胞介 素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-6</w:t>
      </w:r>
      <w:r>
        <w:rPr>
          <w:spacing w:val="0"/>
          <w:w w:val="100"/>
          <w:position w:val="0"/>
        </w:rPr>
        <w:t>受体的人源化单克隆抗体，可用于糖皮质激素 治疗抵抗的中重度伴活动性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的二线治疗。在一项 随机对照试验中，纳入初始糖皮质激素治疗失败的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32</w:t>
      </w:r>
      <w:r>
        <w:rPr>
          <w:spacing w:val="0"/>
          <w:w w:val="100"/>
          <w:position w:val="0"/>
        </w:rPr>
        <w:t>例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患者，第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4</w:t>
      </w:r>
      <w:r>
        <w:rPr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8</w:t>
      </w:r>
      <w:r>
        <w:rPr>
          <w:spacing w:val="0"/>
          <w:w w:val="100"/>
          <w:position w:val="0"/>
        </w:rPr>
        <w:t>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12</w:t>
      </w:r>
      <w:r>
        <w:rPr>
          <w:spacing w:val="0"/>
          <w:w w:val="100"/>
          <w:position w:val="0"/>
        </w:rPr>
        <w:t>周接受静脉注射托 珠单抗治疗，第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16</w:t>
      </w:r>
      <w:r>
        <w:rPr>
          <w:spacing w:val="0"/>
          <w:w w:val="100"/>
          <w:position w:val="0"/>
        </w:rPr>
        <w:t>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86%</w:t>
      </w:r>
      <w:r>
        <w:rPr>
          <w:spacing w:val="0"/>
          <w:w w:val="100"/>
          <w:position w:val="0"/>
        </w:rPr>
        <w:t>的患者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CAS </w:t>
      </w:r>
      <w:r>
        <w:rPr>
          <w:spacing w:val="0"/>
          <w:w w:val="100"/>
          <w:position w:val="0"/>
        </w:rPr>
        <w:t xml:space="preserve">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分，该 比例显著高于安慰剂组（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35%</w:t>
      </w:r>
      <w:r>
        <w:rPr>
          <w:spacing w:val="0"/>
          <w:w w:val="100"/>
          <w:position w:val="0"/>
        </w:rPr>
        <w:t>）</w:t>
      </w:r>
      <w:r>
        <w:rPr>
          <w:spacing w:val="0"/>
          <w:w w:val="100"/>
          <w:position w:val="0"/>
          <w:lang w:val="zh-CN" w:eastAsia="zh-CN" w:bidi="zh-CN"/>
        </w:rPr>
        <w:t>网。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3.4</w:t>
      </w:r>
      <w:r>
        <w:rPr>
          <w:b/>
          <w:bCs/>
          <w:spacing w:val="0"/>
          <w:w w:val="100"/>
          <w:position w:val="0"/>
        </w:rPr>
        <w:t>威胁视力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GO</w:t>
      </w:r>
      <w:r>
        <w:rPr>
          <w:b/>
          <w:bCs/>
          <w:spacing w:val="0"/>
          <w:w w:val="100"/>
          <w:position w:val="0"/>
        </w:rPr>
        <w:t xml:space="preserve">的治疗 </w:t>
      </w:r>
      <w:r>
        <w:rPr>
          <w:spacing w:val="0"/>
          <w:w w:val="100"/>
          <w:position w:val="0"/>
        </w:rPr>
        <w:t>威胁视力的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包括甲状 腺功能障碍性视神经病变</w:t>
      </w:r>
      <w:r>
        <w:rPr>
          <w:spacing w:val="0"/>
          <w:w w:val="100"/>
          <w:position w:val="0"/>
          <w:lang w:val="zh-CN" w:eastAsia="zh-CN" w:bidi="zh-CN"/>
        </w:rPr>
        <w:t xml:space="preserve">（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dysthyroid optic neuropathy</w:t>
      </w:r>
      <w:r>
        <w:rPr>
          <w:spacing w:val="0"/>
          <w:w w:val="100"/>
          <w:position w:val="0"/>
          <w:lang w:val="en-US" w:eastAsia="en-US" w:bidi="en-US"/>
        </w:rPr>
        <w:t xml:space="preserve">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DON</w:t>
      </w:r>
      <w:r>
        <w:rPr>
          <w:spacing w:val="0"/>
          <w:w w:val="100"/>
          <w:position w:val="0"/>
          <w:lang w:val="en-US" w:eastAsia="en-US" w:bidi="en-US"/>
        </w:rPr>
        <w:t>）、</w:t>
      </w:r>
      <w:r>
        <w:rPr>
          <w:spacing w:val="0"/>
          <w:w w:val="100"/>
          <w:position w:val="0"/>
        </w:rPr>
        <w:t>角膜严重暴露或角膜破裂。角膜严重暴露 患者推荐尽快接受药物或手术治疗，以免发展为角 膜破裂；角膜破裂应立即进行急诊手术。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DON</w:t>
      </w:r>
      <w:r>
        <w:rPr>
          <w:spacing w:val="0"/>
          <w:w w:val="100"/>
          <w:position w:val="0"/>
        </w:rPr>
        <w:t>的 一线治疗是单次大剂量静脉注射甲泼尼龙</w:t>
      </w:r>
      <w:r>
        <w:rPr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0.5</w:t>
      </w:r>
      <w:r>
        <w:rPr>
          <w:spacing w:val="0"/>
          <w:w w:val="100"/>
          <w:position w:val="0"/>
        </w:rPr>
        <w:t xml:space="preserve">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1g/</w:t>
      </w:r>
      <w:r>
        <w:rPr>
          <w:spacing w:val="0"/>
          <w:w w:val="100"/>
          <w:position w:val="0"/>
        </w:rPr>
        <w:t>次，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/d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连续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3d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或隔日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次）治疗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［35, 39］</w:t>
      </w:r>
      <w:r>
        <w:rPr>
          <w:spacing w:val="0"/>
          <w:w w:val="100"/>
          <w:position w:val="0"/>
        </w:rPr>
        <w:t>， 治疗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周后评估效果，有反应者继续甲泼尼龙静脉 注射，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0.5g/</w:t>
      </w:r>
      <w:r>
        <w:rPr>
          <w:spacing w:val="0"/>
          <w:w w:val="100"/>
          <w:position w:val="0"/>
        </w:rPr>
        <w:t>次，每周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 xml:space="preserve">次，累计剂量＜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8.0g/</w:t>
      </w:r>
      <w:r>
        <w:rPr>
          <w:spacing w:val="0"/>
          <w:w w:val="100"/>
          <w:position w:val="0"/>
        </w:rPr>
        <w:t>全治疗 周期；如果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〜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周内无反应或治疗反应较差，应 进行紧急眼眶减压术。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周后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DON</w:t>
      </w:r>
      <w:r>
        <w:rPr>
          <w:spacing w:val="0"/>
          <w:w w:val="100"/>
          <w:position w:val="0"/>
        </w:rPr>
        <w:t>缓解或明显改善, 应启动中重度活动性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的一线治疗。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3.5</w:t>
      </w:r>
      <w:r>
        <w:rPr>
          <w:b/>
          <w:bCs/>
          <w:spacing w:val="0"/>
          <w:w w:val="100"/>
          <w:position w:val="0"/>
        </w:rPr>
        <w:t>新型冠状病毒肺炎流行期</w:t>
      </w: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GO</w:t>
      </w:r>
      <w:r>
        <w:rPr>
          <w:b/>
          <w:bCs/>
          <w:spacing w:val="0"/>
          <w:w w:val="100"/>
          <w:position w:val="0"/>
        </w:rPr>
        <w:t>的治疗</w:t>
      </w:r>
      <w:r>
        <w:rPr>
          <w:spacing w:val="0"/>
          <w:w w:val="100"/>
          <w:position w:val="0"/>
        </w:rPr>
        <w:t>新版指 南特别提出了新型冠状病毒肺炎流行期间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 建议。轻度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患者应接受常规的局部治疗，可在 家中进行，严格遵守社交距离、防护和卫生规则； 同时强调应敦促患者戒烟以防病情进展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vertAlign w:val="superscript"/>
        </w:rPr>
        <w:t>［51］</w:t>
      </w:r>
      <w:r>
        <w:rPr>
          <w:spacing w:val="0"/>
          <w:w w:val="100"/>
          <w:position w:val="0"/>
        </w:rPr>
        <w:t>。对于中 重度活动期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指南认为没有足够证据表明免疫 抑制治疗会增加病毒感染的风险。研究显示在新型 冠状病毒肺炎感染治疗中使用大剂量糖皮质激素并 不会引起肾上腺功能抑制，因此可认为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患者停 止静脉注射糖皮质激素治疗也不会导致肾上腺功能 衰竭。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3.6 GO</w:t>
      </w:r>
      <w:r>
        <w:rPr>
          <w:b/>
          <w:bCs/>
          <w:spacing w:val="0"/>
          <w:w w:val="100"/>
          <w:position w:val="0"/>
        </w:rPr>
        <w:t xml:space="preserve">患者甲状腺的处理 </w:t>
      </w:r>
      <w:r>
        <w:rPr>
          <w:spacing w:val="0"/>
          <w:w w:val="100"/>
          <w:position w:val="0"/>
        </w:rPr>
        <w:t>①轻度非活动性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GO </w:t>
      </w:r>
      <w:r>
        <w:rPr>
          <w:spacing w:val="0"/>
          <w:w w:val="100"/>
          <w:position w:val="0"/>
        </w:rPr>
        <w:t>患者甲状腺的处理：依照诊疗标准和患者意愿，可 以选择任何甲亢治疗方案。②轻度活动性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 甲状腺的处理：首选抗甲状腺药物或甲状腺切除术, 若选择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治疗，应使用泼尼松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泼尼松龙预防。 ③中重度长期非活动性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患者甲状腺的处理：同轻 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非活动性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但如果选择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RAI</w:t>
      </w:r>
      <w:r>
        <w:rPr>
          <w:spacing w:val="0"/>
          <w:w w:val="100"/>
          <w:position w:val="0"/>
        </w:rPr>
        <w:t>治疗且存在风险 因素（吸烟、高促甲状腺激素受体抗体），则应考虑 泼尼松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/</w:t>
      </w:r>
      <w:r>
        <w:rPr>
          <w:spacing w:val="0"/>
          <w:w w:val="100"/>
          <w:position w:val="0"/>
        </w:rPr>
        <w:t>泼尼松龙预防。④中重度活动性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患者： 甲状腺功能亢进应使用抗甲状腺药物治疗，直至完 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的治疗。⑤威胁视力的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：</w:t>
      </w:r>
      <w:r>
        <w:rPr>
          <w:spacing w:val="0"/>
          <w:w w:val="100"/>
          <w:position w:val="0"/>
        </w:rPr>
        <w:t xml:space="preserve">在紧急情况下，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的治疗应绝对优先；对于甲状腺功能亢进者，应 使用抗甲状腺药物治疗，直至完成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spacing w:val="0"/>
          <w:w w:val="100"/>
          <w:position w:val="0"/>
          <w:lang w:val="en-US" w:eastAsia="en-US" w:bidi="en-US"/>
        </w:rPr>
        <w:t>3.7</w:t>
      </w:r>
      <w:r>
        <w:rPr>
          <w:b/>
          <w:bCs/>
          <w:spacing w:val="0"/>
          <w:w w:val="100"/>
          <w:position w:val="0"/>
        </w:rPr>
        <w:t>治疗结局评估</w:t>
      </w:r>
      <w:r>
        <w:rPr>
          <w:spacing w:val="0"/>
          <w:w w:val="100"/>
          <w:position w:val="0"/>
        </w:rPr>
        <w:t>指南强调应在干预结束后通过 固定时间间隔对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的治疗结局进行评估。评估内 容包括主观主要结局和客观主要结局。对于中度至 重度和活动性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建议采用综合指数进行评估，包 括：①眼球突出(表现为眼部干燥、沙砾感、畏光、 流泪、视物模糊)；②眶周软组织炎症和充血(结 膜充血、眼睑肿胀)；③眼外肌受累(眼球运动疼 痛、眼球运动受限和复视)。客观评估标准包括： ①眼睑孔径缩小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2mm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</w:rPr>
        <w:t>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CAS</w:t>
      </w:r>
      <w:r>
        <w:rPr>
          <w:spacing w:val="0"/>
          <w:w w:val="100"/>
          <w:position w:val="0"/>
        </w:rPr>
        <w:t>评分降低</w:t>
      </w:r>
      <w:r>
        <w:rPr>
          <w:spacing w:val="0"/>
          <w:w w:val="100"/>
          <w:position w:val="0"/>
          <w:lang w:val="en-US" w:eastAsia="en-US" w:bidi="en-US"/>
        </w:rPr>
        <w:t>N1</w:t>
      </w:r>
      <w:r>
        <w:rPr>
          <w:spacing w:val="0"/>
          <w:w w:val="100"/>
          <w:position w:val="0"/>
        </w:rPr>
        <w:t>分 (不包括患者主观报告的自发或凝视引起的疼痛)； ③眼球突出缩小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2mm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</w:rPr>
        <w:t>④任意方向眼球运动极限 增加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8</w:t>
      </w:r>
      <w:r>
        <w:rPr>
          <w:spacing w:val="0"/>
          <w:w w:val="100"/>
          <w:position w:val="0"/>
        </w:rPr>
        <w:t>。。单眼特征改善</w:t>
      </w:r>
      <w:r>
        <w:rPr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2</w:t>
      </w:r>
      <w:r>
        <w:rPr>
          <w:spacing w:val="0"/>
          <w:w w:val="100"/>
          <w:position w:val="0"/>
        </w:rPr>
        <w:t>项且另一眼没有恶化 可视为治疗有效。眼压、眼眶容积评估、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MRI</w:t>
      </w:r>
      <w:r>
        <w:rPr>
          <w:spacing w:val="0"/>
          <w:w w:val="100"/>
          <w:position w:val="0"/>
        </w:rPr>
        <w:t>和促 甲状腺激素受体抗体等可作为次要参考指标。推荐 的评估时间点为最后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次治疗干预后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3</w:t>
      </w:r>
      <w:r>
        <w:rPr>
          <w:spacing w:val="0"/>
          <w:w w:val="100"/>
          <w:position w:val="0"/>
        </w:rPr>
        <w:t>个月，也可 考虑在治疗结束</w:t>
      </w:r>
      <w:r>
        <w:rPr>
          <w:rFonts w:ascii="Times New Roman" w:eastAsia="Times New Roman" w:hAnsi="Times New Roman" w:cs="Times New Roman"/>
          <w:spacing w:val="0"/>
          <w:w w:val="100"/>
          <w:position w:val="0"/>
        </w:rPr>
        <w:t>6</w:t>
      </w:r>
      <w:r>
        <w:rPr>
          <w:spacing w:val="0"/>
          <w:w w:val="100"/>
          <w:position w:val="0"/>
        </w:rPr>
        <w:t>个月后进行评估。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40" w:line="314" w:lineRule="exact"/>
        <w:ind w:left="0" w:right="0" w:firstLine="440"/>
        <w:jc w:val="both"/>
      </w:pPr>
      <w:r>
        <w:rPr>
          <w:spacing w:val="0"/>
          <w:w w:val="100"/>
          <w:position w:val="0"/>
        </w:rPr>
        <w:t xml:space="preserve">总之，目前的研究证据表明静脉注射甲泼尼龙 和吗替麦考酚醋(或霉酚酸钠)是最合理的中重度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治疗方案。生物制剂尤其是替妥木单抗在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未 来的治疗中具有良好的前景，且在患者对一线治疗 不耐受或耐药时仍可能有效。此外，由于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涉及多 种致病途径，靶向疗法值得在临床试验中探索。本 指南汇总了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 xml:space="preserve">诊疗的最新证据，提出了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GO</w:t>
      </w:r>
      <w:r>
        <w:rPr>
          <w:spacing w:val="0"/>
          <w:w w:val="100"/>
          <w:position w:val="0"/>
        </w:rPr>
        <w:t>的临床 管理建议，在临床实际工作中，需要以患者为中心， 综合评估患者情况以采取个体化的诊疗措施。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232" w:lineRule="exact"/>
        <w:ind w:left="0" w:right="0" w:firstLine="0"/>
        <w:jc w:val="left"/>
      </w:pPr>
      <w:r>
        <w:rPr>
          <w:spacing w:val="0"/>
          <w:w w:val="100"/>
          <w:position w:val="0"/>
        </w:rPr>
        <w:t>参考文献：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0" w:line="302" w:lineRule="auto"/>
        <w:ind w:right="0"/>
        <w:jc w:val="both"/>
      </w:pPr>
      <w:bookmarkStart w:id="3" w:name="bookmark3"/>
      <w:bookmarkEnd w:id="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PERROS P, ZARKOVIC M, AZZOLINI C, et al. PREGO (presentation of Graves' orbitopathy) study: changes in referral patterns to European Group on Graves' orbitopathy (EUGOGO) centres over the period from 2000 to 2012[J]. Br J Ophthalmol, 2015, 99(11): 1531-1535.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0" w:line="302" w:lineRule="auto"/>
        <w:ind w:right="0"/>
        <w:jc w:val="both"/>
      </w:pPr>
      <w:bookmarkStart w:id="4" w:name="bookmark4"/>
      <w:bookmarkEnd w:id="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BARTALENA L, PIANTANIDA E, GALLO D, et al. Epidemiology, natural history, risk factors, and prevention of Graves' orbitopathy[J]. Front Endocrinol (Lausanne), 2020, 11: 615993.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0" w:line="302" w:lineRule="auto"/>
        <w:ind w:right="0"/>
        <w:jc w:val="both"/>
      </w:pPr>
      <w:bookmarkStart w:id="5" w:name="bookmark5"/>
      <w:bookmarkEnd w:id="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BARTALENA L, KAHALY G J, BALDESCHI L, et al. The 2021 European Group on Graves' orbitopathy (EUGOGO) clinical practice guidelines for the medical management of Graves' orbitopathy[J]. Eur J Endocrinol, 2021, 185: G43-G67.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0" w:line="302" w:lineRule="auto"/>
        <w:ind w:right="0"/>
        <w:jc w:val="both"/>
      </w:pPr>
      <w:bookmarkStart w:id="6" w:name="bookmark6"/>
      <w:bookmarkEnd w:id="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BARTALENA L, MARCOCCI C, TANDA M L, et al. Cigarette smoking and treatment outcomes in Graves ophthalmopathy[J]. Ann Intern Med, 1998, 129(8): 632-635.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0" w:line="302" w:lineRule="auto"/>
        <w:ind w:right="0"/>
        <w:jc w:val="both"/>
      </w:pPr>
      <w:bookmarkStart w:id="7" w:name="bookmark7"/>
      <w:bookmarkEnd w:id="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TRAISK F, TALLSTEDT L, ABRAHAM-NORDLING M, et al. Thyroid-associated ophthalmopathy after treatment for Graves' hyperthyroidism with antithyroid drugs or iodine-131[J]. J Clin Endocrinol Metab, 2009, 94(10): 3700-3707.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0" w:line="302" w:lineRule="auto"/>
        <w:ind w:right="0"/>
        <w:jc w:val="both"/>
      </w:pPr>
      <w:bookmarkStart w:id="8" w:name="bookmark8"/>
      <w:bookmarkEnd w:id="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ECKSTEIN A, QUADBECK B, MUELLER G, et al. Impact of smoking on the response to treatment of thyroid associated ophthalmopathy[J]. Br J Ophthalmol, 2003, 87(6): 773-776.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99" w:val="left"/>
        </w:tabs>
        <w:bidi w:val="0"/>
        <w:spacing w:before="0" w:after="40" w:line="302" w:lineRule="auto"/>
        <w:ind w:right="0"/>
        <w:jc w:val="both"/>
      </w:pPr>
      <w:bookmarkStart w:id="9" w:name="bookmark9"/>
      <w:bookmarkEnd w:id="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MATHEIS N, LANTZ M, GRUS F H, et al. Proteomics of orbital tissue in thyroid-associated orbitopathy[J]. J Clin Endocrinol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2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Metab, 2015, 100(12): E1523-E1530.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0" w:name="bookmark10"/>
      <w:bookmarkEnd w:id="1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PFEILSCHIFTER J, ZIEGLER R. Smoking and endocrine ophthalmopathy: impact of smoking severity and current vs lifetime cigarette consumption[J]. Clin Endocrinol (Oxf), 1996, 45(4): 477-481.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1" w:name="bookmark11"/>
      <w:bookmarkEnd w:id="1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PRUMMEL M F, WIERSINGA W, MOURITS M, et al. Amelioration of eye changes of Graves' ophthalmopathy by achieving euthyroidism[J]. Acta Endocrinol, 1989, 121: 185-190.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2" w:name="bookmark12"/>
      <w:bookmarkEnd w:id="1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PRUMMEL M F, WIERSINGA W M, MOURITS M P, et al. Effect of abnormal thyroid function on the severity of Graves' ophthalmopathy[J]. Arch Intern Med, 1990, 150(5): 1098-1101.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3" w:name="bookmark13"/>
      <w:bookmarkEnd w:id="1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PERROS P, KENDALL-TAYLOR P, NEOH C, et al. A prospective study of the effects of radioiodine therapy for hyperthyroidism in patients with minimally active Graves' ophthalmopathy[J]. J Clin Endocrinol Metab, 2005, 90(9): 5321-5323.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4" w:name="bookmark14"/>
      <w:bookmarkEnd w:id="1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BARTALENA L, MARCOCCI C, BOGAZZI F, et al. Use of corticosteroids to prevent progression of Graves' ophthalmopathy after radioiodine therapy for hyperthyroidism[J]. N Engl J Med, 1989, 321(20): 1349-1352.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5" w:name="bookmark15"/>
      <w:bookmarkEnd w:id="1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TALLSTEDT L, LUNDELL G, T0RRING O, et al. Occurrence of ophthalmopathy after treatment for Graves' hyperthyroidism. The Thyroid Study Group[J]. N Engl J Med, 1992, 326(26): 1733</w:t>
        <w:softHyphen/>
        <w:t>1738.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6" w:name="bookmark16"/>
      <w:bookmarkEnd w:id="1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BARTALENA L, MARCOCCI C, BOGAZZI F, et al. Relation between therapy for hyperthyroidism and the course of Graves' ophthalmopathy[J]. N Engl J Med, 1998, 338(2): 73-78.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7" w:name="bookmark17"/>
      <w:bookmarkEnd w:id="1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PONTO K A, ZANG S, KAHALY G J. The tale of radioiodine and Graves' orbitopathy[J]. Thyroid, 2010, 20(7): 785-793.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8" w:name="bookmark18"/>
      <w:bookmarkEnd w:id="1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VANNUCCHI G, COVELLI D, CAMPI I, et al. Prevention of orbitopathy by oral or intravenous steroid prophylaxis in short duration Graves' disease patients undergoing radioiodine ablation: a prospective randomized control trial study[J]. Thyroid, 2019, 29(12): 1828-1833.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19" w:name="bookmark19"/>
      <w:bookmarkEnd w:id="1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SHIBER S, STIEBEL-KALISH H, SHIMON I, et al. Glucocorticoid regimens for prevention of Graves' ophthalmopathy progression following radioiodine treatment: systematic review and meta-analysis[J]. Thyroid, 2014, 24(10): 1515-1523.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20" w:name="bookmark20"/>
      <w:bookmarkEnd w:id="2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DIANA T, BROWN R S, BOSSOWSKI A, et al. Clinical relevance of thyroid-stimulating autoantibodies in pediatric Graves' disease-a multicenter study[J]. J Clin Endocrinol Metab, 2014, 99(5): 1648</w:t>
        <w:softHyphen/>
        <w:t>1655.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21" w:name="bookmark21"/>
      <w:bookmarkEnd w:id="2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KAHALY G J, DIANA T, GLANG J, et al. Thyroid stimulating antibodies are highly prevalent in hashimoto's thyroiditis and associated orbitopathy[J]. J Clin Endocrinol Metab, 2016, 101(5): 1998-2004.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22" w:name="bookmark22"/>
      <w:bookmarkEnd w:id="2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KAHALY G J, DIANA T, KANITZ M, et al. Prospective trial of functional thyrotropin receptor antibodies in Graves disease[J]. J Clin Endocrinol Metab, 2020, 105(4): e1006-e1014.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23" w:name="bookmark23"/>
      <w:bookmarkEnd w:id="2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GEORGE A, DIANA T, LANGERICHT J, et al. Stimulatory thyrotropin receptor antibodies are a biomarker for Graves' orbitopathy[J]. Front Endocrinol (Lausanne), 2020, 11: 629925.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</w:pPr>
      <w:bookmarkStart w:id="24" w:name="bookmark24"/>
      <w:bookmarkEnd w:id="2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SIDEROVA M, HRISTOZOV K, TSUKEVA A. TSH-receptor antibodies may prevent bone loss in pre- and postmenopausal women with Graves' disease and Graves' orbitopathy[J]. Arch Endocrinol Metab, 2018, 62(2): 221-226.</w:t>
      </w:r>
    </w:p>
    <w:p>
      <w:pPr>
        <w:pStyle w:val="Style3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5" w:val="left"/>
        </w:tabs>
        <w:bidi w:val="0"/>
        <w:spacing w:before="0" w:after="0"/>
        <w:ind w:right="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996" w:right="963" w:bottom="1001" w:left="1031" w:header="0" w:footer="3" w:gutter="0"/>
          <w:cols w:num="2" w:space="300"/>
          <w:noEndnote/>
          <w:rtlGutter w:val="0"/>
          <w:docGrid w:linePitch="360"/>
        </w:sectPr>
      </w:pPr>
      <w:bookmarkStart w:id="25" w:name="bookmark25"/>
      <w:bookmarkEnd w:id="2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LANZOLLA G, VANNUCCHI G, IONNI I, et al. Cholesterol serum levels and use of statins in Graves' orbitopathy: A new starting point for the therapy[J]. Front Endocrinol (Lausanne), 2019, 10: 933.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26" w:name="bookmark26"/>
      <w:bookmarkEnd w:id="2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SABINI E, MAZZI B, PROFILO MA, et al. High serum cholesterol is a novel risk factor for Graves' orbitopathy: results of a cross-sectional study[J]. Thyroid, 2018, 28(3): 386-394.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27" w:name="bookmark27"/>
      <w:bookmarkEnd w:id="2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LANZOLLA G, SABINI E, PROFILO M A, et al. Relationship between serum cholesterol and Graves' orbitopathy (GO): a confirmatory study[J]. J Endocrinol Invest, 2018, 41(12): 1417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- 1423.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28" w:name="bookmark28"/>
      <w:bookmarkEnd w:id="2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NASELLI A, MORETTI D, REGALBUTO C, et al. Evidence that baseline levels of low-density lipoproteins cholesterol affect the clinical response of Graves' ophthalmopathy to parenteral corticosteroids[J]. Front Endocrinol (Lausanne), 2020, 11: 609895.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29" w:name="bookmark29"/>
      <w:bookmarkEnd w:id="2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STEIN J D, CHILDERS D, GUPTA S, et al. Risk factors for developing thyroid-associated ophthalmopathy among individuals with Graves disease[J]. JAMA Ophthalmol, 2015, 133(3): 290</w:t>
        <w:softHyphen/>
        <w:t>296.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0" w:name="bookmark30"/>
      <w:bookmarkEnd w:id="3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VOGEL R, CROCKETT R S, ODEN N, et al. Demonstration of efficacy in the treatment of dry eye disease with 0.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CN" w:eastAsia="zh-CN" w:bidi="zh-CN"/>
        </w:rPr>
        <w:t xml:space="preserve">18%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sodium hyaluronate ophthalmic solution (vismed, rejena)[J]. Am J Ophthalmol, 2010, 149(4): 594-601.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1" w:name="bookmark31"/>
      <w:bookmarkEnd w:id="3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UDDIN J M, DAVIES P D. Treatment of upper eyelid retraction associated with thyroid eye disease with subconjunctival botulinum toxin injection[J]. Ophthalmology, 2002, 109(6): 1183-1187.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2" w:name="bookmark32"/>
      <w:bookmarkEnd w:id="3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MARCOCCI C, KAHALY G J, KRASSAS G E, et al. Selenium and the course of mild Graves' orbitopathy[J]. N Engl J Med, 2011, 364(20): 1920-1931.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3" w:name="bookmark33"/>
      <w:bookmarkEnd w:id="3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BARTALENA L, BALDESCHI L, BOBORIDIS K, et al. The 2016 European Thyroid Association/European Group on Graves' Orbitopathy Guidelines for the management of Graves' orbitopathy[J]. Eur Thyroid J, 2016, 5(1): 9-26.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4" w:name="bookmark34"/>
      <w:bookmarkEnd w:id="3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KAHALY G J, PITZ S, HOMMEL G, et al. Randomized, single blind trial of intravenous versus oral steroid monotherapy in Graves' orbitopathy[J]. J Clin Endocrinol Metab, 2005, 90(9): 5234-5240.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5" w:name="bookmark35"/>
      <w:bookmarkEnd w:id="3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YE X Z, BO X Y, HU X H, et al. Efficacy and safety of mycophenolate mofetil in patients with active moderate-to-severe Graves' orbitopathy[J]. Clin Endocrinol (Oxf), 2017, 86(2): 247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>- 255.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6" w:name="bookmark36"/>
      <w:bookmarkEnd w:id="3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KAHALY G J, RIEDL M, KONIG J, et al. Mycophenolate plus methylprednisolone versus methylprednisolone alone in active, moderate-to-severe Graves' orbitopathy (MINGO): a randomised, observer-masked, multicentre trial[J]. Lancet Diabetes Endocrinol, 2018, 6(4): 287-298.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7" w:name="bookmark37"/>
      <w:bookmarkEnd w:id="3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ZANG S, PONTO K A, PITZ S, et al. Dose of intravenous steroids and therapy outcome in Graves' orbitopathy[J]. J Endocrinol Invest, 2011, 34(11): 876-880.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8" w:name="bookmark38"/>
      <w:bookmarkEnd w:id="3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MARCOCCI C, WATT T, ALTEA M A, et al. Fatal and non-fatal adverse events of glucocorticoid therapy for Graves' orbitopathy: a questionnaire survey among members of the European Thyroid Association[J]. Eur J Endocrinol, 2012, 166(2): 247-253.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39" w:name="bookmark39"/>
      <w:bookmarkEnd w:id="3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CURRO N, COVELLI D, VANNUCCHI G, et al. Therapeutic outcomes of high-dose intravenous steroids in the treatment of dysthyroid optic neuropathy[J]. Thyroid, 2014, 24(5): 897-905.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99" w:val="left"/>
        </w:tabs>
        <w:bidi w:val="0"/>
        <w:spacing w:before="0" w:after="0" w:line="314" w:lineRule="auto"/>
        <w:ind w:left="500" w:right="0" w:hanging="500"/>
        <w:jc w:val="both"/>
      </w:pPr>
      <w:bookmarkStart w:id="40" w:name="bookmark40"/>
      <w:bookmarkEnd w:id="4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SANTARNECCHI E, SPRUGNOLI G, SICILIA I, et al. Age and dose are major risk factors for liver damage associated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 xml:space="preserve">with intravenous glucocorticoid pulse therapy for Graves' orbitopathy[J]. Thyroid,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zh-TW" w:eastAsia="zh-TW" w:bidi="zh-TW"/>
        </w:rPr>
        <w:t xml:space="preserve">2015, 25(2):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846-850.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1" w:name="bookmark41"/>
      <w:bookmarkEnd w:id="4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MISKIEWICZ P, JANKOWSKA A, BRODZINSKA K, et al. Influence of methylprednisolone pulse therapy on liver function in patients with Graves' orbitopathy[J]. Int J Endocrinol, 2018, 2018: 1978590.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2" w:name="bookmark42"/>
      <w:bookmarkEnd w:id="4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KAHALY G, SCHREZENMEIR J, KRAUSE U, et al. Ciclosporin and prednisone v. prednisone in treatment of Graves' ophthalmopathy: a controlled, randomized and prospective study[J]. Eur J Clin Invest, 1986, 16(5): 415-422.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3" w:name="bookmark43"/>
      <w:bookmarkEnd w:id="4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PERROS P, WEIGHTMAN D R, CROMBIE A L, et al. Azathioprine in the treatment of thyroid-associated ophthalmopathy[J]. Acta Endocrinol (Copenh), 1990, 122(1): 8-12.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4" w:name="bookmark44"/>
      <w:bookmarkEnd w:id="44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CHALVATZIS N T, TZAMALIS A K, KALANTZIS G K, et al. Safety and efficacy of combined immunosuppression and orbital radiotherapy in thyroid-related restrictive myopathy: two-center experience[J]. Eur J Ophthalmol, 2014, 24(6): 953-959.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5" w:name="bookmark45"/>
      <w:bookmarkEnd w:id="4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EBNER R, DEVOTO M H, WEIL D, et al. Treatment of thyroid associated ophthalmopathy with periocular injections of triamcinolone[J]. Br J Ophthalmol, 2004, 88(11): 1380-1386.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6" w:name="bookmark46"/>
      <w:bookmarkEnd w:id="46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LEE S J, RIM T H, JANG S Y, et al. Treatment of upper eyelid retraction related to thyroid-associated ophthalmopathy using subconjunctival triamcinolone injections[J]. Graefes Arch Clin Exp Ophthalmol, 2013, 251(1): 261-270.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7" w:name="bookmark47"/>
      <w:bookmarkEnd w:id="47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MARCOCCI C, BARTALENA L, PANICUCCI M, et al. Orbital cobalt irradiation combined with retrobulbar or systemic corticosteroids for Graves' ophthalmopathy: a comparative study[J]. Clin Endocrinol (Oxf), 1987, 27(1): 33-42.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8" w:name="bookmark48"/>
      <w:bookmarkEnd w:id="4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TSUI S, NAIK V, HOA N, et al. Evidence for an association between thyroid-stimulating hormone and insulin-like growth factor 1 receptors: a tale of two antigens implicated in Graves' disease[J]. J Immunol, 2008, 181(6): 4397-4405.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49" w:name="bookmark49"/>
      <w:bookmarkEnd w:id="4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DOUGLAS R S, NAIK V, HWANG C J, et al. B cells from patients with Graves' disease aberrantly express the IGF-1 receptor: implications for disease pathogenesis[J]. J Immunol, 2008, 181(8): 5768-5774.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50" w:name="bookmark50"/>
      <w:bookmarkEnd w:id="50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SMITH T J, JANSSEN J A M J L. Insulin-like growth factor-1 receptor and thyroid-associated ophthalmopathy[J]. Endocr Rev, 2019, 40(1): 236-267.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51" w:name="bookmark51"/>
      <w:bookmarkEnd w:id="51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KAHALY G J, DOUGLAS R S, HOLT R J, et al. Teprotumumab for patients with active thyroid eye disease: a pooled data analysis, subgroup analyses, and off-treatment follow-up results from two randomised, double-masked, placebo-controlled, multicentre trials[J]. Lancet Diabetes Endocrinol, 2021, 9(6): 360-372.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52" w:name="bookmark52"/>
      <w:bookmarkEnd w:id="52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PEREZ-MOREIRAS J V, GOMEZ-REINO J J, MANEIRO J R, et al. Efficacy of tocilizumab in patients with moderate-to-severe corticosteroid-resistant graves orbitopathy: a randomized clinical trial[J]. Am J Ophthalmol, 2018, 195: 181-190.</w:t>
      </w:r>
    </w:p>
    <w:p>
      <w:pPr>
        <w:pStyle w:val="Style3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04" w:val="left"/>
        </w:tabs>
        <w:bidi w:val="0"/>
        <w:spacing w:before="0" w:after="0" w:line="314" w:lineRule="auto"/>
        <w:ind w:right="0"/>
        <w:jc w:val="both"/>
      </w:pPr>
      <w:bookmarkStart w:id="53" w:name="bookmark53"/>
      <w:bookmarkEnd w:id="53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LANZOLLA G, SABINI E, LEO M, et al. Lower dose prednisone prevents radioiodine-associated exacerbation of initially mild or absent graves' orbitopathy: a retrospective cohort study[J]. J Clin Endocrinol Metab, 2010, 95(11): 1333-1337.</w:t>
      </w:r>
    </w:p>
    <w:p>
      <w:pPr>
        <w:pStyle w:val="Style37"/>
        <w:keepNext w:val="0"/>
        <w:keepLines w:val="0"/>
        <w:widowControl w:val="0"/>
        <w:shd w:val="clear" w:color="auto" w:fill="auto"/>
        <w:bidi w:val="0"/>
        <w:spacing w:before="0" w:after="0" w:line="240" w:lineRule="exact"/>
        <w:ind w:left="2920" w:right="0" w:firstLine="0"/>
        <w:jc w:val="right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(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收稿日期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: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2022-05-15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 xml:space="preserve">) 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(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本文编辑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：</w:t>
      </w:r>
      <w:r>
        <w:rPr>
          <w:rFonts w:ascii="SimSun" w:eastAsia="SimSun" w:hAnsi="SimSun" w:cs="SimSun"/>
          <w:spacing w:val="0"/>
          <w:w w:val="100"/>
          <w:position w:val="0"/>
          <w:sz w:val="15"/>
          <w:szCs w:val="15"/>
          <w:lang w:val="zh-TW" w:eastAsia="zh-TW" w:bidi="zh-TW"/>
        </w:rPr>
        <w:t>安静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)</w:t>
      </w:r>
    </w:p>
    <w:sectPr>
      <w:headerReference w:type="default" r:id="rId9"/>
      <w:footerReference w:type="default" r:id="rId10"/>
      <w:headerReference w:type="even" r:id="rId11"/>
      <w:footerReference w:type="even" r:id="rId12"/>
      <w:footnotePr>
        <w:pos w:val="pageBottom"/>
        <w:numFmt w:val="chicago"/>
        <w:numStart w:val="1"/>
        <w:numRestart w:val="continuous"/>
        <w15:footnoteColumns w:val="1"/>
      </w:footnotePr>
      <w:pgSz w:w="12240" w:h="15840"/>
      <w:pgMar w:top="996" w:right="963" w:bottom="1001" w:left="1031" w:header="0" w:footer="3" w:gutter="0"/>
      <w:pgNumType w:start="5"/>
      <w:cols w:num="2" w:space="30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356235</wp:posOffset>
              </wp:positionH>
              <wp:positionV relativeFrom="page">
                <wp:posOffset>9773285</wp:posOffset>
              </wp:positionV>
              <wp:extent cx="6041390" cy="1282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CBEC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CBEC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CBEC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8.050000000000001pt;margin-top:769.55000000000007pt;width:475.69999999999999pt;height:10.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CBEC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CBEC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CBEC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362585</wp:posOffset>
              </wp:positionH>
              <wp:positionV relativeFrom="page">
                <wp:posOffset>9773285</wp:posOffset>
              </wp:positionV>
              <wp:extent cx="6041390" cy="12827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BCBEC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CBEC2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BCBEC2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8.550000000000001pt;margin-top:769.55000000000007pt;width:475.69999999999999pt;height:10.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BCBEC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BCBEC2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BCBEC2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375920</wp:posOffset>
              </wp:positionH>
              <wp:positionV relativeFrom="page">
                <wp:posOffset>9773285</wp:posOffset>
              </wp:positionV>
              <wp:extent cx="6041390" cy="12827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9.600000000000001pt;margin-top:769.55000000000007pt;width:475.69999999999999pt;height:10.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375920</wp:posOffset>
              </wp:positionH>
              <wp:positionV relativeFrom="page">
                <wp:posOffset>9773285</wp:posOffset>
              </wp:positionV>
              <wp:extent cx="6041390" cy="12827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9.600000000000001pt;margin-top:769.55000000000007pt;width:475.69999999999999pt;height:10.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基金项目</w:t>
      </w:r>
      <w:r>
        <w:rPr>
          <w:rFonts w:ascii="SimSun" w:eastAsia="SimSun" w:hAnsi="SimSun" w:cs="SimSun"/>
          <w:spacing w:val="0"/>
          <w:w w:val="100"/>
          <w:position w:val="0"/>
          <w:lang w:val="zh-CN" w:eastAsia="zh-CN" w:bidi="zh-CN"/>
        </w:rPr>
        <w:t>,国家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重点研发计划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2016YFC0901204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）；</w:t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中日友好医院院级课题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2017-2-MS-5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>）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8"/>
          <w:szCs w:val="8"/>
          <w:lang w:val="en-US" w:eastAsia="en-US" w:bidi="en-US"/>
        </w:rPr>
        <w:footnoteRef/>
      </w:r>
      <w:r>
        <w:rPr>
          <w:rFonts w:ascii="SimSun" w:eastAsia="SimSun" w:hAnsi="SimSun" w:cs="SimSun"/>
          <w:spacing w:val="0"/>
          <w:w w:val="100"/>
          <w:position w:val="0"/>
          <w:lang w:val="zh-TW" w:eastAsia="zh-TW" w:bidi="zh-TW"/>
        </w:rPr>
        <w:t>通信作者,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E-mail</w:t>
      </w:r>
      <w:r>
        <w:rPr>
          <w:rFonts w:ascii="SimSun" w:eastAsia="SimSun" w:hAnsi="SimSun" w:cs="SimSun"/>
          <w:spacing w:val="0"/>
          <w:w w:val="100"/>
          <w:position w:val="0"/>
          <w:lang w:val="en-US" w:eastAsia="en-US" w:bidi="en-US"/>
        </w:rPr>
        <w:t xml:space="preserve">： </w:t>
      </w:r>
      <w:r>
        <w:fldChar w:fldCharType="begin"/>
      </w:r>
      <w:r>
        <w:rPr/>
        <w:instrText> HYPERLINK "mailto:chenxp1995@163.com"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chenxp1995@163.com</w:t>
      </w:r>
      <w:r>
        <w:fldChar w:fldCharType="end"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691515</wp:posOffset>
              </wp:positionH>
              <wp:positionV relativeFrom="page">
                <wp:posOffset>303530</wp:posOffset>
              </wp:positionV>
              <wp:extent cx="6300470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047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2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中国医刊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年第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8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期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・指南与共识・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4.450000000000003pt;margin-top:23.900000000000002pt;width:496.10000000000002pt;height:12.950000000000001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2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中国医刊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年第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8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期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・指南与共识・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770890</wp:posOffset>
              </wp:positionH>
              <wp:positionV relativeFrom="page">
                <wp:posOffset>303530</wp:posOffset>
              </wp:positionV>
              <wp:extent cx="6312535" cy="16446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253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4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CN" w:eastAsia="zh-CN" w:bidi="zh-CN"/>
                              </w:rPr>
                              <w:t>#</w:t>
                            </w:r>
                          </w:fldSimple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CN" w:eastAsia="zh-CN" w:bidi="zh-CN"/>
                            </w:rPr>
                            <w:t>・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指南与共识・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中国医刊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年第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8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60.700000000000003pt;margin-top:23.900000000000002pt;width:497.05000000000001pt;height:12.950000000000001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4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CN" w:eastAsia="zh-CN" w:bidi="zh-CN"/>
                        </w:rPr>
                        <w:t>#</w:t>
                      </w:r>
                    </w:fldSimple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CN" w:eastAsia="zh-CN" w:bidi="zh-CN"/>
                      </w:rPr>
                      <w:t>・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指南与共识・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中国医刊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年第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8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784225</wp:posOffset>
              </wp:positionH>
              <wp:positionV relativeFrom="page">
                <wp:posOffset>303530</wp:posOffset>
              </wp:positionV>
              <wp:extent cx="6312535" cy="16446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253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4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832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指南与共识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中国医刊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en-US" w:eastAsia="en-US" w:bidi="en-US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年第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en-US" w:eastAsia="en-US" w:bidi="en-US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8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61.75pt;margin-top:23.900000000000002pt;width:497.05000000000001pt;height:12.950000000000001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4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832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指南与共识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中国医刊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en-US" w:eastAsia="en-US" w:bidi="en-US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年第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en-US" w:eastAsia="en-US" w:bidi="en-US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8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784225</wp:posOffset>
              </wp:positionH>
              <wp:positionV relativeFrom="page">
                <wp:posOffset>303530</wp:posOffset>
              </wp:positionV>
              <wp:extent cx="6312535" cy="16446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2535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9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4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zh-CN" w:eastAsia="zh-CN" w:bidi="zh-CN"/>
                            </w:rPr>
                            <w:t xml:space="preserve">832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46"/>
                              <w:szCs w:val="46"/>
                              <w:lang w:val="en-US" w:eastAsia="en-US" w:bidi="en-US"/>
                            </w:rPr>
                            <w:t>•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zh-TW" w:eastAsia="zh-TW" w:bidi="zh-TW"/>
                            </w:rPr>
                            <w:t>指南与共识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en-US" w:eastAsia="en-US" w:bidi="en-US"/>
                            </w:rPr>
                            <w:t>•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中国医刊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en-US" w:eastAsia="en-US" w:bidi="en-US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年第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en-US" w:eastAsia="en-US" w:bidi="en-US"/>
                            </w:rPr>
                            <w:t>57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8</w:t>
                          </w:r>
                          <w:r>
                            <w:rPr>
                              <w:rFonts w:ascii="SimSun" w:eastAsia="SimSun" w:hAnsi="SimSun" w:cs="SimSun"/>
                              <w:color w:val="231F2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u w:val="single"/>
                              <w:lang w:val="zh-TW" w:eastAsia="zh-TW" w:bidi="zh-TW"/>
                            </w:rPr>
                            <w:t>期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1.75pt;margin-top:23.900000000000002pt;width:497.05000000000001pt;height:12.950000000000001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9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4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24"/>
                        <w:szCs w:val="24"/>
                        <w:lang w:val="zh-CN" w:eastAsia="zh-CN" w:bidi="zh-CN"/>
                      </w:rPr>
                      <w:t xml:space="preserve">832 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46"/>
                        <w:szCs w:val="46"/>
                        <w:lang w:val="en-US" w:eastAsia="en-US" w:bidi="en-US"/>
                      </w:rPr>
                      <w:t>•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zh-TW" w:eastAsia="zh-TW" w:bidi="zh-TW"/>
                      </w:rPr>
                      <w:t>指南与共识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22"/>
                        <w:szCs w:val="22"/>
                        <w:lang w:val="en-US" w:eastAsia="en-US" w:bidi="en-US"/>
                      </w:rPr>
                      <w:t>•</w:t>
                      <w:tab/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中国医刊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en-US" w:eastAsia="en-US" w:bidi="en-US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年第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en-US" w:eastAsia="en-US" w:bidi="en-US"/>
                      </w:rPr>
                      <w:t>57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8</w:t>
                    </w:r>
                    <w:r>
                      <w:rPr>
                        <w:rFonts w:ascii="SimSun" w:eastAsia="SimSun" w:hAnsi="SimSun" w:cs="SimSun"/>
                        <w:color w:val="231F20"/>
                        <w:spacing w:val="0"/>
                        <w:w w:val="100"/>
                        <w:position w:val="0"/>
                        <w:sz w:val="18"/>
                        <w:szCs w:val="18"/>
                        <w:u w:val="single"/>
                        <w:lang w:val="zh-TW" w:eastAsia="zh-TW" w:bidi="zh-TW"/>
                      </w:rPr>
                      <w:t>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24"/>
      <w:numFmt w:val="decimal"/>
      <w:lvlText w:val="[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6"/>
        <w:szCs w:val="16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|1_"/>
    <w:basedOn w:val="DefaultParagraphFont"/>
    <w:link w:val="Style2"/>
    <w:rPr>
      <w:b w:val="0"/>
      <w:bCs w:val="0"/>
      <w:i w:val="0"/>
      <w:iCs w:val="0"/>
      <w:smallCaps w:val="0"/>
      <w:strike w:val="0"/>
      <w:color w:val="231F20"/>
      <w:sz w:val="14"/>
      <w:szCs w:val="14"/>
      <w:u w:val="none"/>
      <w:shd w:val="clear" w:color="auto" w:fill="auto"/>
    </w:rPr>
  </w:style>
  <w:style w:type="character" w:customStyle="1" w:styleId="CharStyle7">
    <w:name w:val="Heading #1|1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10">
    <w:name w:val="Header or footer|2_"/>
    <w:basedOn w:val="DefaultParagraphFont"/>
    <w:link w:val="Style9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7">
    <w:name w:val="Body text|2_"/>
    <w:basedOn w:val="DefaultParagraphFont"/>
    <w:link w:val="Style1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2">
    <w:name w:val="Body text|5_"/>
    <w:basedOn w:val="DefaultParagraphFont"/>
    <w:link w:val="Style21"/>
    <w:rPr>
      <w:rFonts w:ascii="SimSun" w:eastAsia="SimSun" w:hAnsi="SimSun" w:cs="SimSun"/>
      <w:b/>
      <w:bCs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  <w:lang w:val="zh-TW" w:eastAsia="zh-TW" w:bidi="zh-TW"/>
    </w:rPr>
  </w:style>
  <w:style w:type="character" w:customStyle="1" w:styleId="CharStyle27">
    <w:name w:val="Body text|4_"/>
    <w:basedOn w:val="DefaultParagraphFont"/>
    <w:link w:val="Style26"/>
    <w:rPr>
      <w:b w:val="0"/>
      <w:bCs w:val="0"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</w:rPr>
  </w:style>
  <w:style w:type="character" w:customStyle="1" w:styleId="CharStyle32">
    <w:name w:val="Body text|3_"/>
    <w:basedOn w:val="DefaultParagraphFont"/>
    <w:link w:val="Style31"/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35">
    <w:name w:val="Body text|6_"/>
    <w:basedOn w:val="DefaultParagraphFont"/>
    <w:link w:val="Style34"/>
    <w:rPr>
      <w:b/>
      <w:bCs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38">
    <w:name w:val="Body text|1_"/>
    <w:basedOn w:val="DefaultParagraphFont"/>
    <w:link w:val="Style37"/>
    <w:rPr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</w:rPr>
  </w:style>
  <w:style w:type="character" w:customStyle="1" w:styleId="CharStyle40">
    <w:name w:val="Header or footer|1_"/>
    <w:basedOn w:val="DefaultParagraphFont"/>
    <w:link w:val="Style39"/>
    <w:rPr>
      <w:b w:val="0"/>
      <w:bCs w:val="0"/>
      <w:i w:val="0"/>
      <w:iCs w:val="0"/>
      <w:smallCaps w:val="0"/>
      <w:strike w:val="0"/>
      <w:color w:val="BCBEC2"/>
      <w:sz w:val="20"/>
      <w:szCs w:val="20"/>
      <w:u w:val="none"/>
      <w:shd w:val="clear" w:color="auto" w:fill="auto"/>
    </w:rPr>
  </w:style>
  <w:style w:type="paragraph" w:customStyle="1" w:styleId="Style2">
    <w:name w:val="Footnote|1"/>
    <w:basedOn w:val="Normal"/>
    <w:link w:val="CharStyle3"/>
    <w:pPr>
      <w:widowControl w:val="0"/>
      <w:shd w:val="clear" w:color="auto" w:fill="auto"/>
      <w:ind w:firstLine="180"/>
    </w:pPr>
    <w:rPr>
      <w:b w:val="0"/>
      <w:bCs w:val="0"/>
      <w:i w:val="0"/>
      <w:iCs w:val="0"/>
      <w:smallCaps w:val="0"/>
      <w:strike w:val="0"/>
      <w:color w:val="231F20"/>
      <w:sz w:val="14"/>
      <w:szCs w:val="14"/>
      <w:u w:val="none"/>
      <w:shd w:val="clear" w:color="auto" w:fill="auto"/>
    </w:rPr>
  </w:style>
  <w:style w:type="paragraph" w:customStyle="1" w:styleId="Style6">
    <w:name w:val="Heading #1|1"/>
    <w:basedOn w:val="Normal"/>
    <w:link w:val="CharStyle7"/>
    <w:pPr>
      <w:widowControl w:val="0"/>
      <w:shd w:val="clear" w:color="auto" w:fill="auto"/>
      <w:spacing w:after="26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9">
    <w:name w:val="Header or footer|2"/>
    <w:basedOn w:val="Normal"/>
    <w:link w:val="CharStyle1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6">
    <w:name w:val="Body text|2"/>
    <w:basedOn w:val="Normal"/>
    <w:link w:val="CharStyle17"/>
    <w:pPr>
      <w:widowControl w:val="0"/>
      <w:shd w:val="clear" w:color="auto" w:fill="auto"/>
      <w:spacing w:line="319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1">
    <w:name w:val="Body text|5"/>
    <w:basedOn w:val="Normal"/>
    <w:link w:val="CharStyle22"/>
    <w:pPr>
      <w:widowControl w:val="0"/>
      <w:shd w:val="clear" w:color="auto" w:fill="auto"/>
      <w:spacing w:after="200" w:line="254" w:lineRule="auto"/>
    </w:pPr>
    <w:rPr>
      <w:rFonts w:ascii="SimSun" w:eastAsia="SimSun" w:hAnsi="SimSun" w:cs="SimSun"/>
      <w:b/>
      <w:bCs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  <w:lang w:val="zh-TW" w:eastAsia="zh-TW" w:bidi="zh-TW"/>
    </w:rPr>
  </w:style>
  <w:style w:type="paragraph" w:customStyle="1" w:styleId="Style26">
    <w:name w:val="Body text|4"/>
    <w:basedOn w:val="Normal"/>
    <w:link w:val="CharStyle2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231F20"/>
      <w:sz w:val="18"/>
      <w:szCs w:val="18"/>
      <w:u w:val="none"/>
      <w:shd w:val="clear" w:color="auto" w:fill="auto"/>
    </w:rPr>
  </w:style>
  <w:style w:type="paragraph" w:customStyle="1" w:styleId="Style31">
    <w:name w:val="Body text|3"/>
    <w:basedOn w:val="Normal"/>
    <w:link w:val="CharStyle32"/>
    <w:pPr>
      <w:widowControl w:val="0"/>
      <w:shd w:val="clear" w:color="auto" w:fill="auto"/>
      <w:spacing w:after="40"/>
      <w:ind w:left="10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231F2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34">
    <w:name w:val="Body text|6"/>
    <w:basedOn w:val="Normal"/>
    <w:link w:val="CharStyle35"/>
    <w:pPr>
      <w:widowControl w:val="0"/>
      <w:shd w:val="clear" w:color="auto" w:fill="auto"/>
      <w:spacing w:line="329" w:lineRule="auto"/>
    </w:pPr>
    <w:rPr>
      <w:b/>
      <w:bCs/>
      <w:i w:val="0"/>
      <w:iCs w:val="0"/>
      <w:smallCaps w:val="0"/>
      <w:strike w:val="0"/>
      <w:color w:val="231F2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37">
    <w:name w:val="Body text|1"/>
    <w:basedOn w:val="Normal"/>
    <w:link w:val="CharStyle38"/>
    <w:pPr>
      <w:widowControl w:val="0"/>
      <w:shd w:val="clear" w:color="auto" w:fill="auto"/>
      <w:spacing w:line="305" w:lineRule="auto"/>
      <w:ind w:left="520" w:hanging="520"/>
    </w:pPr>
    <w:rPr>
      <w:b w:val="0"/>
      <w:bCs w:val="0"/>
      <w:i w:val="0"/>
      <w:iCs w:val="0"/>
      <w:smallCaps w:val="0"/>
      <w:strike w:val="0"/>
      <w:color w:val="231F20"/>
      <w:sz w:val="16"/>
      <w:szCs w:val="16"/>
      <w:u w:val="none"/>
      <w:shd w:val="clear" w:color="auto" w:fill="auto"/>
    </w:rPr>
  </w:style>
  <w:style w:type="paragraph" w:customStyle="1" w:styleId="Style39">
    <w:name w:val="Header or footer|1"/>
    <w:basedOn w:val="Normal"/>
    <w:link w:val="CharStyle40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BCBEC2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