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5715000</wp:posOffset>
                </wp:positionH>
                <wp:positionV relativeFrom="paragraph">
                  <wp:posOffset>12700</wp:posOffset>
                </wp:positionV>
                <wp:extent cx="966470" cy="231775"/>
                <wp:wrapSquare wrapText="lef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66470" cy="231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.译 文.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50.pt;margin-top:1.pt;width:76.100000000000009pt;height:18.25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.译 文.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DOI： 10. 3969/j. ism 1674-2591.2011.03.013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</w:rPr>
        <w:t>年美国风湿病学会关于类固醇性骨质疏松症</w:t>
        <w:br/>
        <w:t>的预防和治疗推荐</w:t>
      </w:r>
      <w:bookmarkEnd w:id="0"/>
      <w:bookmarkEnd w:id="1"/>
      <w:bookmarkEnd w:id="2"/>
    </w:p>
    <w:p>
      <w:pPr>
        <w:pStyle w:val="Style17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American College of Rheumatology 2010 Recommendations</w:t>
        <w:br/>
        <w:t>for the Prevention and Treatment of Glucocorticoid-Induced</w:t>
        <w:br/>
        <w:t xml:space="preserve">Osteoporosis (partial translation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摘译)</w:t>
      </w:r>
      <w:bookmarkEnd w:id="3"/>
      <w:bookmarkEnd w:id="4"/>
      <w:bookmarkEnd w:id="5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JENNIFER M. GROSSMAN, REBECCA GORDON, VEENA K. RANGANATH, 1 CHAD DEAL,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et al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154" w:val="left"/>
        </w:tabs>
        <w:bidi w:val="0"/>
        <w:spacing w:before="0" w:after="0" w:line="240" w:lineRule="auto"/>
        <w:ind w:left="0" w:right="0" w:firstLine="440"/>
        <w:jc w:val="left"/>
        <w:rPr>
          <w:sz w:val="14"/>
          <w:szCs w:val="14"/>
        </w:rPr>
        <w:sectPr>
          <w:headerReference w:type="default" r:id="rId5"/>
          <w:footerReference w:type="default" r:id="rId6"/>
          <w:headerReference w:type="first" r:id="rId7"/>
          <w:footerReference w:type="first" r:id="rId8"/>
          <w:footnotePr>
            <w:pos w:val="pageBottom"/>
            <w:numFmt w:val="decimal"/>
            <w:numRestart w:val="continuous"/>
          </w:footnotePr>
          <w:pgSz w:w="11621" w:h="16138"/>
          <w:pgMar w:top="1718" w:right="994" w:bottom="1113" w:left="1205" w:header="0" w:footer="3" w:gutter="0"/>
          <w:pgNumType w:start="213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8"/>
          <w:szCs w:val="18"/>
        </w:rPr>
        <w:t>中图分类号：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R681</w:t>
        <w:tab/>
      </w:r>
      <w:r>
        <w:rPr>
          <w:color w:val="000000"/>
          <w:spacing w:val="0"/>
          <w:w w:val="100"/>
          <w:position w:val="0"/>
          <w:sz w:val="18"/>
          <w:szCs w:val="18"/>
        </w:rPr>
        <w:t>文献标识码：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A</w:t>
      </w:r>
    </w:p>
    <w:p>
      <w:pPr>
        <w:widowControl w:val="0"/>
        <w:spacing w:line="140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621" w:h="16138"/>
          <w:pgMar w:top="1632" w:right="0" w:bottom="104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糖皮质激素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(glucocorticoids, GCs)</w:t>
      </w:r>
      <w:r>
        <w:rPr>
          <w:color w:val="000000"/>
          <w:spacing w:val="0"/>
          <w:w w:val="100"/>
          <w:position w:val="0"/>
        </w:rPr>
        <w:t xml:space="preserve">因能有效 控制多种炎性反应而被广泛应用，但其与一些疾病 的发生率和死亡率显著相关。骨质疏松症及相关性 骨折是其合并症之一，可伴有剧痛并致残。骨密度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(BMD)</w:t>
      </w:r>
      <w:r>
        <w:rPr>
          <w:color w:val="000000"/>
          <w:spacing w:val="0"/>
          <w:w w:val="100"/>
          <w:position w:val="0"/>
        </w:rPr>
        <w:t>的快速下降开始于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 xml:space="preserve">应用的最初3个 月，在第6个月达高峰，此后持续应用可致相对较 慢而稳定的骨矿物质丢失。有文献报道，低至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-7. </w:t>
      </w:r>
      <w:r>
        <w:rPr>
          <w:color w:val="000000"/>
          <w:spacing w:val="0"/>
          <w:w w:val="100"/>
          <w:position w:val="0"/>
        </w:rPr>
        <w:t xml:space="preserve">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mg/d</w:t>
      </w:r>
      <w:r>
        <w:rPr>
          <w:color w:val="000000"/>
          <w:spacing w:val="0"/>
          <w:w w:val="100"/>
          <w:position w:val="0"/>
        </w:rPr>
        <w:t>的泼尼松龙或等量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即可增加椎 体和非椎体骨折的风险，旦每日剂量较累积剂量的 相关风险更高。然而，关于多大剂量能增加骨折发 生的风险仍有争论。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目前已有多种预防和治疗糖皮质激素性骨质疏 松症(</w:t>
      </w:r>
      <w:r>
        <w:rPr>
          <w:color w:val="000000"/>
          <w:spacing w:val="0"/>
          <w:w w:val="100"/>
          <w:position w:val="0"/>
          <w:lang w:val="en-US" w:eastAsia="en-US" w:bidi="en-US"/>
        </w:rPr>
        <w:t>glucocorticoid-induced osteoporosis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) 的方案可供选择。阿仑麟酸盐和利嚏腾酸盐可提高 应用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患者的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BMD</w:t>
      </w:r>
      <w:r>
        <w:rPr>
          <w:color w:val="000000"/>
          <w:spacing w:val="0"/>
          <w:w w:val="100"/>
          <w:position w:val="0"/>
        </w:rPr>
        <w:t>并降低椎体骨折的风险。最 近的研究表明，特立帕肽和哩来麟酸对治疗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GI0P </w:t>
      </w:r>
      <w:r>
        <w:rPr>
          <w:color w:val="000000"/>
          <w:spacing w:val="0"/>
          <w:w w:val="100"/>
          <w:position w:val="0"/>
        </w:rPr>
        <w:t>和提高</w:t>
      </w:r>
      <w:r>
        <w:rPr>
          <w:color w:val="000000"/>
          <w:spacing w:val="0"/>
          <w:w w:val="100"/>
          <w:position w:val="0"/>
          <w:lang w:val="en-US" w:eastAsia="en-US" w:bidi="en-US"/>
        </w:rPr>
        <w:t>BMD</w:t>
      </w:r>
      <w:r>
        <w:rPr>
          <w:color w:val="000000"/>
          <w:spacing w:val="0"/>
          <w:w w:val="100"/>
          <w:position w:val="0"/>
        </w:rPr>
        <w:t>的有效性高于对照组(分别为阿仑瞬 酸盐和利嚏瞬酸盐)。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5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临床上许多长期服用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治疗的患者，尤其是 男性和年轻女性患者并未接受任何防治骨质疏松症 的干预措施。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2001年，美国风湿病学会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(ACR)</w:t>
      </w:r>
      <w:r>
        <w:rPr>
          <w:color w:val="000000"/>
          <w:spacing w:val="0"/>
          <w:w w:val="100"/>
          <w:position w:val="0"/>
        </w:rPr>
        <w:t>发表了关 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的预防和治疗推荐。目前，骨折高危患者 的筛査方法已有更新。服用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 xml:space="preserve">的患者可仅因骨 </w:t>
      </w:r>
      <w:r>
        <w:rPr>
          <w:color w:val="000000"/>
          <w:spacing w:val="0"/>
          <w:w w:val="100"/>
          <w:position w:val="0"/>
        </w:rPr>
        <w:t>质量下降引发骨折，因此，骨密度不再是唯一可靠 的诊断方法。2008年，美国国家骨质疏松症基金 会将根据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FRAX</w:t>
      </w:r>
      <w:r>
        <w:rPr>
          <w:color w:val="000000"/>
          <w:spacing w:val="0"/>
          <w:w w:val="100"/>
          <w:position w:val="0"/>
        </w:rPr>
        <w:t>工具计算的10年绝对骨折发生概 率加入到其骨质疏松症防治指南中，并将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的 应用作为一项临床危险因素。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40" w:line="35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2010年的此次推荐对预防和治疗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提供了 专业意见和循证医学指导。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</w:pPr>
      <w:bookmarkStart w:id="6" w:name="bookmark6"/>
      <w:bookmarkStart w:id="7" w:name="bookmark7"/>
      <w:bookmarkStart w:id="8" w:name="bookmark8"/>
      <w:r>
        <w:rPr>
          <w:color w:val="000000"/>
          <w:spacing w:val="0"/>
          <w:w w:val="100"/>
          <w:position w:val="0"/>
          <w:sz w:val="24"/>
          <w:szCs w:val="24"/>
        </w:rPr>
        <w:t>方 法</w:t>
      </w:r>
      <w:bookmarkEnd w:id="6"/>
      <w:bookmarkEnd w:id="7"/>
      <w:bookmarkEnd w:id="8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制定主题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由专家咨询小组设限制如下：首先，纳入的药 物须经美国、加拿大或欧盟国家批准用于骨质疏松 症治疗；其次，排除移植人群中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患者；第 三，排除儿科的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患者；第四，排除吸入性糖 皮质激素导致的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患者。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由特别工作小组制定临床框架。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将多种骨折的危险因素分为高、中、低危。专 家咨询小组对48个病例样本进行了评分，将以下 4个变量以各种形式组合：性别、年龄、人种/种 族(白种人和美国黑人)，股骨颈密度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值。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33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专家咨询小组推荐应用实际的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FRAX</w:t>
      </w:r>
      <w:r>
        <w:rPr>
          <w:color w:val="000000"/>
          <w:spacing w:val="0"/>
          <w:w w:val="100"/>
          <w:position w:val="0"/>
        </w:rPr>
        <w:t>工具来定 义患者的低、中、高危分级。将骨质疏松性骨折的 10年风险&lt;10%者定义为低危，10% ~ 20%为中危, &gt;20%或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W -2.</w:t>
      </w:r>
      <w:r>
        <w:rPr>
          <w:color w:val="000000"/>
          <w:spacing w:val="0"/>
          <w:w w:val="100"/>
          <w:position w:val="0"/>
        </w:rPr>
        <w:t>5或有脆性骨折病史为高危。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系统文献回顾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对美国、加拿大或欧盟国家目前认可的绝经后 骨质疏松症或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 xml:space="preserve">的治疗进行了系统回顾。纳入 的文献仅限于用英语发表、有摘要的随机临床试验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（RCTs）</w:t>
      </w:r>
      <w:r>
        <w:rPr>
          <w:color w:val="000000"/>
          <w:spacing w:val="0"/>
          <w:w w:val="100"/>
          <w:position w:val="0"/>
        </w:rPr>
        <w:t>或临床控制试验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（CCTs）。</w:t>
      </w:r>
      <w:r>
        <w:rPr>
          <w:color w:val="000000"/>
          <w:spacing w:val="0"/>
          <w:w w:val="100"/>
          <w:position w:val="0"/>
        </w:rPr>
        <w:t>共53篇文献 符合准入标准。应用5点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Jadad</w:t>
      </w:r>
      <w:r>
        <w:rPr>
          <w:color w:val="000000"/>
          <w:spacing w:val="0"/>
          <w:w w:val="100"/>
          <w:position w:val="0"/>
        </w:rPr>
        <w:t>评分计算质量，结 果提示文献的总体质量为中等。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4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证据的强度釆用美国心脏病学会报告的方法分 级。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0" w:name="bookmark10"/>
      <w:bookmarkStart w:id="11" w:name="bookmark11"/>
      <w:bookmarkStart w:id="9" w:name="bookmark9"/>
      <w:r>
        <w:rPr>
          <w:color w:val="000000"/>
          <w:spacing w:val="0"/>
          <w:w w:val="100"/>
          <w:position w:val="0"/>
          <w:sz w:val="24"/>
          <w:szCs w:val="24"/>
        </w:rPr>
        <w:t>结 果</w:t>
      </w:r>
      <w:bookmarkEnd w:id="10"/>
      <w:bookmarkEnd w:id="11"/>
      <w:bookmarkEnd w:id="9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生活方式的调整建议和对接受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治疗患者 随访的推荐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340" w:line="33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相关的17条推荐如表1、2所示。此外，尽可 能应用最小有效激素剂量和尽量缩短疗程被推荐为 降低骨质疏松症风险的重要策略。由于不存在不会 引起加速骨量丢失或增加骨折风险的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GCs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“安</w:t>
      </w:r>
      <w:r>
        <w:rPr>
          <w:color w:val="000000"/>
          <w:spacing w:val="0"/>
          <w:w w:val="100"/>
          <w:position w:val="0"/>
        </w:rPr>
        <w:t xml:space="preserve">全剂 量”，建议和评估的推荐适用于服用任何剂量的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患者，曾服药或计划服药至少3个月。</w:t>
      </w:r>
    </w:p>
    <w:p>
      <w:pPr>
        <w:pStyle w:val="Style2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88" w:lineRule="exact"/>
        <w:ind w:left="860" w:right="0" w:hanging="500"/>
        <w:jc w:val="both"/>
      </w:pPr>
      <w:r>
        <w:rPr>
          <w:color w:val="000000"/>
          <w:spacing w:val="0"/>
          <w:w w:val="100"/>
          <w:position w:val="0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>应用任意剂量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治疗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N3</w:t>
      </w:r>
      <w:r>
        <w:rPr>
          <w:color w:val="000000"/>
          <w:spacing w:val="0"/>
          <w:w w:val="100"/>
          <w:position w:val="0"/>
        </w:rPr>
        <w:t>个月患者的生活 方式调整的建议和评估</w:t>
      </w:r>
    </w:p>
    <w:p>
      <w:pPr>
        <w:pStyle w:val="Style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4421" w:val="right"/>
        </w:tabs>
        <w:bidi w:val="0"/>
        <w:spacing w:before="0" w:after="0" w:line="295" w:lineRule="exact"/>
        <w:ind w:left="168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推荐</w:t>
        <w:tab/>
        <w:t>证据等级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52" w:val="right"/>
        </w:tabs>
        <w:bidi w:val="0"/>
        <w:spacing w:before="0" w:after="0"/>
        <w:ind w:left="0" w:right="0" w:firstLine="0"/>
        <w:jc w:val="left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</w:rPr>
        <w:t>负重活动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52" w:val="righ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戒烟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52" w:val="righ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避免过量酒精摄入（饮酒次数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＞2</w:t>
      </w:r>
      <w:r>
        <w:rPr>
          <w:color w:val="000000"/>
          <w:spacing w:val="0"/>
          <w:w w:val="100"/>
          <w:position w:val="0"/>
        </w:rPr>
        <w:t>次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/d）</w:t>
        <w:tab/>
        <w:t>C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52" w:val="righ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营养建议摄入钙剂和维生素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</w:t>
        <w:tab/>
        <w:t>C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52" w:val="righ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跌倒风险评估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52" w:val="righ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双能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X</w:t>
      </w:r>
      <w:r>
        <w:rPr>
          <w:color w:val="000000"/>
          <w:spacing w:val="0"/>
          <w:w w:val="100"/>
          <w:position w:val="0"/>
        </w:rPr>
        <w:t>线吸收测定法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BMD</w:t>
      </w:r>
      <w:r>
        <w:rPr>
          <w:color w:val="000000"/>
          <w:spacing w:val="0"/>
          <w:w w:val="100"/>
          <w:position w:val="0"/>
        </w:rPr>
        <w:t>基线值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52" w:val="righ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血清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25</w:t>
      </w:r>
      <w:r>
        <w:rPr>
          <w:color w:val="000000"/>
          <w:spacing w:val="0"/>
          <w:w w:val="100"/>
          <w:position w:val="0"/>
        </w:rPr>
        <w:t>-羟维生素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水平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52" w:val="righ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基线身高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52" w:val="right"/>
        </w:tabs>
        <w:bidi w:val="0"/>
        <w:spacing w:before="0" w:after="12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既往脆性骨折史评估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52" w:val="righ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对初始或正接受波尼松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3=5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mg/d</w:t>
      </w:r>
      <w:r>
        <w:rPr>
          <w:color w:val="000000"/>
          <w:spacing w:val="0"/>
          <w:w w:val="100"/>
          <w:position w:val="0"/>
        </w:rPr>
        <w:t>或等量激素的患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52" w:val="right"/>
        </w:tabs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者进行脊柱或椎体骨折影像学评估 钙剂摄入（饮食摄入并药物补充）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Style3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4052" w:val="right"/>
        </w:tabs>
        <w:bidi w:val="0"/>
        <w:spacing w:before="0" w:after="120" w:line="28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1 200 ~ 1 500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mg/d* </w:t>
      </w:r>
      <w:r>
        <w:rPr>
          <w:color w:val="000000"/>
          <w:spacing w:val="0"/>
          <w:w w:val="100"/>
          <w:position w:val="0"/>
        </w:rPr>
        <w:t>维生素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补充*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fldChar w:fldCharType="end"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26" w:lineRule="exact"/>
        <w:ind w:left="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注：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服用任意剂量的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患者均应于初始服药时补充钙剂及维生 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而非在服药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3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个月后再补充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专家咨询小组推荐的跌倒风险的评估应包括询 问患者跌倒的既往史，并观察其步态。推荐临床医</w:t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50" w:right="0" w:firstLine="0"/>
        <w:jc w:val="left"/>
      </w:pPr>
      <w:r>
        <w:rPr>
          <w:color w:val="000000"/>
          <w:spacing w:val="0"/>
          <w:w w:val="100"/>
          <w:position w:val="0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</w:rPr>
        <w:t>对于初次接受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治疗持续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2=3</w:t>
      </w:r>
      <w:r>
        <w:rPr>
          <w:color w:val="000000"/>
          <w:spacing w:val="0"/>
          <w:w w:val="100"/>
          <w:position w:val="0"/>
        </w:rPr>
        <w:t>个月的患者</w:t>
      </w:r>
    </w:p>
    <w:tbl>
      <w:tblPr>
        <w:tblOverlap w:val="never"/>
        <w:jc w:val="center"/>
        <w:tblLayout w:type="fixed"/>
      </w:tblPr>
      <w:tblGrid>
        <w:gridCol w:w="3163"/>
        <w:gridCol w:w="1469"/>
      </w:tblGrid>
      <w:tr>
        <w:trPr>
          <w:trHeight w:val="283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推荐的监测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8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推荐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证据级别</w:t>
            </w:r>
          </w:p>
        </w:tc>
      </w:tr>
      <w:tr>
        <w:trPr>
          <w:trHeight w:val="29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动态监测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BMD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每年动态监测血清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</w:rPr>
              <w:t>25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-羟维生素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每年监测身高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评估脆性骨折风险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</w:t>
            </w:r>
          </w:p>
        </w:tc>
      </w:tr>
      <w:tr>
        <w:trPr>
          <w:trHeight w:val="30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评估骨质疏松症药物治疗的依从性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生应考虑椎体骨折风险评估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（vertebral fracture as</w:t>
        <w:softHyphen/>
        <w:t>sessment, VFA）,</w:t>
      </w:r>
      <w:r>
        <w:rPr>
          <w:color w:val="000000"/>
          <w:spacing w:val="0"/>
          <w:w w:val="100"/>
          <w:position w:val="0"/>
        </w:rPr>
        <w:t>尤其在患者出现显著的身高变 矮、与骨折一致的背痛病史，应常规拍摄脊柱X 线片。因为椎体骨折常隐匿症状，可能会改变对本 来被认为是低或中危患者的治疗策略。根据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Genant </w:t>
      </w:r>
      <w:r>
        <w:rPr>
          <w:color w:val="000000"/>
          <w:spacing w:val="0"/>
          <w:w w:val="100"/>
          <w:position w:val="0"/>
        </w:rPr>
        <w:t>半定量法分类的2级和3级椎体骨折已被证实对椎 体骨折具有高度特异性，对1级骨折还需进行深入 的研究，以提高其对椎体骨折风险评估的特异性。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对于所有开始服用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的患者，建议补充钙 剂和维生素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D。</w:t>
      </w:r>
      <w:r>
        <w:rPr>
          <w:color w:val="000000"/>
          <w:spacing w:val="0"/>
          <w:w w:val="100"/>
          <w:position w:val="0"/>
        </w:rPr>
        <w:t>宜给予钙剂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800-1 </w:t>
      </w:r>
      <w:r>
        <w:rPr>
          <w:color w:val="000000"/>
          <w:spacing w:val="0"/>
          <w:w w:val="100"/>
          <w:position w:val="0"/>
        </w:rPr>
        <w:t xml:space="preserve">000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mg/d</w:t>
      </w:r>
      <w:r>
        <w:rPr>
          <w:color w:val="000000"/>
          <w:spacing w:val="0"/>
          <w:w w:val="100"/>
          <w:position w:val="0"/>
        </w:rPr>
        <w:t>或维 生素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</w:rPr>
        <w:t xml:space="preserve">800 ~ 1 000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U/d。</w:t>
      </w:r>
      <w:r>
        <w:rPr>
          <w:color w:val="000000"/>
          <w:spacing w:val="0"/>
          <w:w w:val="100"/>
          <w:position w:val="0"/>
        </w:rPr>
        <w:t>因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会干扰维生素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</w:rPr>
        <w:t>的吸收，可能需要更高的补充剂量。推荐进行动态 骨密度测定，测定的时间间隔仍有争议。影响检査 频率的因素包括：是否存在额外的骨折风险因素、 是否已经开始骨质疏松症的治疗、既往</w:t>
      </w:r>
      <w:r>
        <w:rPr>
          <w:color w:val="000000"/>
          <w:spacing w:val="0"/>
          <w:w w:val="100"/>
          <w:position w:val="0"/>
          <w:lang w:val="en-US" w:eastAsia="en-US" w:bidi="en-US"/>
        </w:rPr>
        <w:t>BMD</w:t>
      </w:r>
      <w:r>
        <w:rPr>
          <w:color w:val="000000"/>
          <w:spacing w:val="0"/>
          <w:w w:val="100"/>
          <w:position w:val="0"/>
        </w:rPr>
        <w:t>的结 果、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的剂量以及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>BMD</w:t>
      </w:r>
      <w:r>
        <w:rPr>
          <w:color w:val="000000"/>
          <w:spacing w:val="0"/>
          <w:w w:val="100"/>
          <w:position w:val="0"/>
        </w:rPr>
        <w:t>的变化速度。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关于低危和中危且应用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治疗的绝经后妇 女和。</w:t>
      </w:r>
      <w:r>
        <w:rPr>
          <w:b/>
          <w:bCs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岁男性患者的推荐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如表3所示，对于低、中危患者，推荐既往应 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＞3个月或正在初次应用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治疗至少3个 月的患者开始进行骨质疏松症的治疗。与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剂 量相关，并且剂量根据不同药物的选择而有不同。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关于高危且应用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治疗的绝经后妇女和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b/>
          <w:bCs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岁男性患者的推荐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与《国家骨质疏松症基金会指南》的推荐相 一致，当10年主要骨质疏松性骨折风险&amp;20% （高危组）时应进行治疗，即使这些患者并没有应 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GCs,</w:t>
      </w:r>
      <w:r>
        <w:rPr>
          <w:color w:val="000000"/>
          <w:spacing w:val="0"/>
          <w:w w:val="100"/>
          <w:position w:val="0"/>
        </w:rPr>
        <w:t>也应当接受骨质疏松症治疗，因此该推荐 适用于应用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时间＜1个月者（表3）。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621" w:h="16138"/>
          <w:pgMar w:top="1632" w:right="1080" w:bottom="1041" w:left="1104" w:header="0" w:footer="3" w:gutter="0"/>
          <w:cols w:num="2" w:space="108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关于绝经前女性和</w:t>
      </w:r>
      <w:r>
        <w:rPr>
          <w:b/>
          <w:bCs/>
          <w:color w:val="000000"/>
          <w:spacing w:val="0"/>
          <w:w w:val="100"/>
          <w:position w:val="0"/>
        </w:rPr>
        <w:t>＜50</w:t>
      </w:r>
      <w:r>
        <w:rPr>
          <w:color w:val="000000"/>
          <w:spacing w:val="0"/>
          <w:w w:val="100"/>
          <w:position w:val="0"/>
        </w:rPr>
        <w:t xml:space="preserve">岁男性患者的推荐 目前所知，对＜50岁的男性与绝经前女性的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的治疗证据有限，影响此类患者骨折倾向性</w:t>
      </w:r>
    </w:p>
    <w:tbl>
      <w:tblPr>
        <w:tblOverlap w:val="never"/>
        <w:jc w:val="center"/>
        <w:tblLayout w:type="fixed"/>
      </w:tblPr>
      <w:tblGrid>
        <w:gridCol w:w="3149"/>
        <w:gridCol w:w="1622"/>
        <w:gridCol w:w="3288"/>
        <w:gridCol w:w="1378"/>
      </w:tblGrid>
      <w:tr>
        <w:trPr>
          <w:trHeight w:val="571" w:hRule="exact"/>
        </w:trPr>
        <w:tc>
          <w:tcPr>
            <w:gridSpan w:val="2"/>
            <w:vMerge w:val="restart"/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1" w:lineRule="exact"/>
              <w:ind w:left="720" w:right="0" w:hanging="48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表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对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GCs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既往用药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m3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个月或初次接受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GCs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治疗 持续至少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</w:rPr>
              <w:t>73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个月的绝经后女性和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</w:rPr>
              <w:t>＞50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岁男性 的药物推荐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exact"/>
              <w:ind w:left="860" w:right="0" w:hanging="48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表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关于有脆性骨折病史的绝经前女性和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＜50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岁 男性患者的推荐</w:t>
            </w:r>
          </w:p>
        </w:tc>
      </w:tr>
      <w:tr>
        <w:trPr>
          <w:trHeight w:val="283" w:hRule="exact"/>
        </w:trPr>
        <w:tc>
          <w:tcPr>
            <w:gridSpan w:val="2"/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推荐级别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70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推荐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证据级别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GCs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应用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</w:rPr>
              <w:t>1~3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个月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低危患者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无生育预期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泼尼松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N7.5 mg/d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予阿仑騰酸盐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若泼尼松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N5 mg/d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予阿仑麟酸盐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泼尼松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N7.5 mg/d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予利唾麟酸盐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若泼尼松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N5 mg/d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予利嚓膀酸盐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泼尼松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77.5 mg/d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予唆来麟酸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若泼尼松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N7.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mg/d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予哩来麟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</w:rPr>
              <w:t>酸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</w:t>
            </w: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中危患者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有生育预期•数据不足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对任意剂量激素予阿仑腾酸盐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GCs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应用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N3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个月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无生育预期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对任意剂量激素予利喋麟酸盐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对任意剂量激素予阿仑麟酸盐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泼尼松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N7.5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mg/d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予哩来麟酸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对任意剂量激素予利嚷瞬酸盐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高危患者*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阿仑麟酸盐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对任意剂量激素予陸来麟酸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利嚏麟酸盐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对任意剂量激素予特立帕肽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8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有生育预期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哩来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腾酸.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若泼尼松。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7.5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mg/d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予阿仑瞬酸盐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8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特立帕肽**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若泼尼松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N7.5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mg/d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予利嚏麟酸盐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</w:t>
            </w:r>
          </w:p>
        </w:tc>
      </w:tr>
      <w:tr>
        <w:trPr>
          <w:trHeight w:val="302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注：,对高危患者，既往应用任意剂量和疗程的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GC$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即应开始药物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7" w:hRule="exact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治疗；"对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应用泼尼松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N5 mg/d,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持续时间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个月以及任意剂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量激素持续时间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</w:rPr>
              <w:t>＞1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个月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若泼尼松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N7.5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mg/d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予特立帕肽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</w:t>
            </w:r>
          </w:p>
        </w:tc>
      </w:tr>
    </w:tbl>
    <w:p>
      <w:pPr>
        <w:sectPr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pageBottom"/>
            <w:numFmt w:val="decimal"/>
            <w:numRestart w:val="continuous"/>
          </w:footnotePr>
          <w:pgSz w:w="11621" w:h="16138"/>
          <w:pgMar w:top="1781" w:right="1068" w:bottom="1080" w:left="1116" w:header="0" w:footer="3" w:gutter="0"/>
          <w:cols w:space="720"/>
          <w:noEndnote/>
          <w:titlePg/>
          <w:rtlGutter w:val="0"/>
          <w:docGrid w:linePitch="360"/>
        </w:sectPr>
      </w:pPr>
    </w:p>
    <w:p>
      <w:pPr>
        <w:widowControl w:val="0"/>
        <w:spacing w:line="133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621" w:h="16138"/>
          <w:pgMar w:top="1639" w:right="0" w:bottom="115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40" w:line="33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的危险因素尚未被良好定义。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FRAX</w:t>
      </w:r>
      <w:r>
        <w:rPr>
          <w:color w:val="000000"/>
          <w:spacing w:val="0"/>
          <w:w w:val="100"/>
          <w:position w:val="0"/>
        </w:rPr>
        <w:t>工具目前不适 用于绝经前女性或＜40岁的男性。另外，对此类 患者服用治疗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药物的长期安全性以及妊娠用 药风险不详。因此，工作小组认为仅能对初发脆性 骨折且有明显再发骨折高风险的患者提供推荐。对 于有生育预期的女性，推荐应用半衰期短的药物。 对于没有生育预期的患者，推荐类似于绝经后女性 或男性所用药物，对于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应用不超过3个月患 者的推荐尚有待进一步研究。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2" w:name="bookmark12"/>
      <w:bookmarkStart w:id="13" w:name="bookmark13"/>
      <w:bookmarkStart w:id="14" w:name="bookmark14"/>
      <w:r>
        <w:rPr>
          <w:color w:val="000000"/>
          <w:spacing w:val="0"/>
          <w:w w:val="100"/>
          <w:position w:val="0"/>
          <w:sz w:val="24"/>
          <w:szCs w:val="24"/>
        </w:rPr>
        <w:t>讨 论</w:t>
      </w:r>
      <w:bookmarkEnd w:id="12"/>
      <w:bookmarkEnd w:id="13"/>
      <w:bookmarkEnd w:id="14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本报告提供了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对于口服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的成人患者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预防和治疗的推荐更新。2001年推荐内容 包括：服用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 xml:space="preserve">患者需戒烟，限制过度酒精摄入 </w:t>
      </w:r>
      <w:r>
        <w:rPr>
          <w:color w:val="000000"/>
          <w:spacing w:val="0"/>
          <w:w w:val="100"/>
          <w:position w:val="0"/>
        </w:rPr>
        <w:t>及承重活动，服用钙剂和维生素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 xml:space="preserve">以及动态监测 </w:t>
      </w:r>
      <w:r>
        <w:rPr>
          <w:color w:val="000000"/>
          <w:spacing w:val="0"/>
          <w:w w:val="100"/>
          <w:position w:val="0"/>
          <w:lang w:val="en-US" w:eastAsia="en-US" w:bidi="en-US"/>
        </w:rPr>
        <w:t>BMD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而现在的推荐内容扩展到包括跌倒风险评 估、身高和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25-OH</w:t>
      </w:r>
      <w:r>
        <w:rPr>
          <w:color w:val="000000"/>
          <w:spacing w:val="0"/>
          <w:w w:val="100"/>
          <w:position w:val="0"/>
        </w:rPr>
        <w:t>维生素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的测定、评估初发和 再发脆性骨折、椎体骨折评估或脊柱影像学检査以 及对服用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期间钙剂和维生素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的补充。更新 后的推荐中有针对绝经后女性和＞50岁男性、绝 经前无生育预期的女性和＜50岁有脆性骨折病史 的男性以及绝经前有生育预期而有脆性骨折病史女 性的药物。对于治疗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的药物，除阿仑麟酸盐 和利嚏麟酸盐外，近期还有哩来麟酸与特立帕肽, 而不再支持以前治疗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的雌激素替代和应用睾 酮的方法。和其他类型的骨质疏松症相比，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GIOP </w:t>
      </w:r>
      <w:r>
        <w:rPr>
          <w:color w:val="000000"/>
          <w:spacing w:val="0"/>
          <w:w w:val="100"/>
          <w:position w:val="0"/>
        </w:rPr>
        <w:t>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BMD</w:t>
      </w:r>
      <w:r>
        <w:rPr>
          <w:color w:val="000000"/>
          <w:spacing w:val="0"/>
          <w:w w:val="100"/>
          <w:position w:val="0"/>
        </w:rPr>
        <w:t>作为危险因素预测可能与骨折的一致性稍 差，所以本推荐一部分由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FRAX</w:t>
      </w:r>
      <w:r>
        <w:rPr>
          <w:color w:val="000000"/>
          <w:spacing w:val="0"/>
          <w:w w:val="100"/>
          <w:position w:val="0"/>
        </w:rPr>
        <w:t xml:space="preserve">评分或患者的整体 </w:t>
      </w:r>
      <w:r>
        <w:rPr>
          <w:color w:val="000000"/>
          <w:spacing w:val="0"/>
          <w:w w:val="100"/>
          <w:position w:val="0"/>
        </w:rPr>
        <w:t xml:space="preserve">临床风险特点作为依据，这较以前的推荐仅依靠 </w:t>
      </w:r>
      <w:r>
        <w:rPr>
          <w:color w:val="000000"/>
          <w:spacing w:val="0"/>
          <w:w w:val="100"/>
          <w:position w:val="0"/>
          <w:lang w:val="en-US" w:eastAsia="en-US" w:bidi="en-US"/>
        </w:rPr>
        <w:t>BMDT</w:t>
      </w:r>
      <w:r>
        <w:rPr>
          <w:color w:val="000000"/>
          <w:spacing w:val="0"/>
          <w:w w:val="100"/>
          <w:position w:val="0"/>
        </w:rPr>
        <w:t>值而言更具有优势。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然而本推荐仍具有局限性：对患者高、中、低 危骨折风险的评估分类主要基于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FRAX</w:t>
      </w:r>
      <w:r>
        <w:rPr>
          <w:color w:val="000000"/>
          <w:spacing w:val="0"/>
          <w:w w:val="100"/>
          <w:position w:val="0"/>
        </w:rPr>
        <w:t xml:space="preserve">工具，而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FRAX</w:t>
      </w:r>
      <w:r>
        <w:rPr>
          <w:color w:val="000000"/>
          <w:spacing w:val="0"/>
          <w:w w:val="100"/>
          <w:position w:val="0"/>
        </w:rPr>
        <w:t>工具本身有缺陷：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FRAX</w:t>
      </w:r>
      <w:r>
        <w:rPr>
          <w:color w:val="000000"/>
          <w:spacing w:val="0"/>
          <w:w w:val="100"/>
          <w:position w:val="0"/>
        </w:rPr>
        <w:t xml:space="preserve">中有几个临床危险 因素并没有加入剂量应答，而仅应用了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“平</w:t>
      </w:r>
      <w:r>
        <w:rPr>
          <w:color w:val="000000"/>
          <w:spacing w:val="0"/>
          <w:w w:val="100"/>
          <w:position w:val="0"/>
        </w:rPr>
        <w:t>均” 剂量或是否暴露。同时，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FRAX</w:t>
      </w:r>
      <w:r>
        <w:rPr>
          <w:color w:val="000000"/>
          <w:spacing w:val="0"/>
          <w:w w:val="100"/>
          <w:position w:val="0"/>
        </w:rPr>
        <w:t>的计算模型仅采用 髄骨的骨密度值，而接受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治疗的患者常更早 出现脊柱的骨量丢失，因此导致对骨折风险的低 估。综上，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FRAX</w:t>
      </w:r>
      <w:r>
        <w:rPr>
          <w:color w:val="000000"/>
          <w:spacing w:val="0"/>
          <w:w w:val="100"/>
          <w:position w:val="0"/>
        </w:rPr>
        <w:t>不能完全代替临床决策来进行风 险分层。此外，在反复的分组形成过程中更新后的 推荐增加了很多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的剂量阈值，反映了临床试 验中研究人群和其中不同的风险——利益价值。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关于绝经前女性和青年男性的推荐亦受到该人 群骨折风险和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治疗循证资料匮乏的限制。在 绝经前患者中，低骨密度引起骨折的风险比骨密度 相等的绝经后患者要低。然而有数据提示，当绝经 前患者接受高剂量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时，可能在相对于绝经后 患者骨密度更高时即出现骨折。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最近2个分别为期18个月及36个月的关于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治疗的对比研究中，特立帕肽（20</w:t>
      </w:r>
      <w:r>
        <w:rPr>
          <w:color w:val="000000"/>
          <w:spacing w:val="0"/>
          <w:w w:val="100"/>
          <w:position w:val="0"/>
          <w:lang w:val="zh-CN" w:eastAsia="zh-CN" w:bidi="zh-CN"/>
        </w:rPr>
        <w:t>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g/d） </w:t>
      </w:r>
      <w:r>
        <w:rPr>
          <w:color w:val="000000"/>
          <w:spacing w:val="0"/>
          <w:w w:val="100"/>
          <w:position w:val="0"/>
        </w:rPr>
        <w:t xml:space="preserve">比阿仑瞬酸钠（10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mg/d）</w:t>
      </w:r>
      <w:r>
        <w:rPr>
          <w:color w:val="000000"/>
          <w:spacing w:val="0"/>
          <w:w w:val="100"/>
          <w:position w:val="0"/>
        </w:rPr>
        <w:t>在提高脊柱和儀骨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BMD </w:t>
      </w:r>
      <w:r>
        <w:rPr>
          <w:color w:val="000000"/>
          <w:spacing w:val="0"/>
          <w:w w:val="100"/>
          <w:position w:val="0"/>
        </w:rPr>
        <w:t xml:space="preserve">以及降低新发椎体骨折风险方面更有效。1项为期 1年的实验对静脉哩来麟酸（1次/年）和利窿牌 酸盐（5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mg/d）</w:t>
      </w:r>
      <w:r>
        <w:rPr>
          <w:color w:val="000000"/>
          <w:spacing w:val="0"/>
          <w:w w:val="100"/>
          <w:position w:val="0"/>
        </w:rPr>
        <w:t xml:space="preserve">进行了比较。2个治疗组均显示出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BMD</w:t>
      </w:r>
      <w:r>
        <w:rPr>
          <w:color w:val="000000"/>
          <w:spacing w:val="0"/>
          <w:w w:val="100"/>
          <w:position w:val="0"/>
        </w:rPr>
        <w:t>的升高；但接受哩来麟酸治疗组的腰椎和股 骨颈</w:t>
      </w:r>
      <w:r>
        <w:rPr>
          <w:color w:val="000000"/>
          <w:spacing w:val="0"/>
          <w:w w:val="100"/>
          <w:position w:val="0"/>
          <w:lang w:val="en-US" w:eastAsia="en-US" w:bidi="en-US"/>
        </w:rPr>
        <w:t>BMD</w:t>
      </w:r>
      <w:r>
        <w:rPr>
          <w:color w:val="000000"/>
          <w:spacing w:val="0"/>
          <w:w w:val="100"/>
          <w:position w:val="0"/>
        </w:rPr>
        <w:t>比阿仑麟酸盐组显著提高。2组受试者 的椎体骨折率均下降且差异无统计学意义。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580" w:line="34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目前仍处于治疗不足的状态。据估计, 在美国每年有超过100万患者接受</w:t>
      </w:r>
      <w:r>
        <w:rPr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的治疗。 本推荐希望藉此能提高临床医师对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GIOP</w:t>
      </w:r>
      <w:r>
        <w:rPr>
          <w:color w:val="000000"/>
          <w:spacing w:val="0"/>
          <w:w w:val="100"/>
          <w:position w:val="0"/>
        </w:rPr>
        <w:t>预防和治 疗的认识和关注。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bookmarkStart w:id="15" w:name="bookmark15"/>
      <w:bookmarkStart w:id="16" w:name="bookmark16"/>
      <w:bookmarkStart w:id="17" w:name="bookmark17"/>
      <w:r>
        <w:rPr>
          <w:color w:val="000000"/>
          <w:spacing w:val="0"/>
          <w:w w:val="100"/>
          <w:position w:val="0"/>
          <w:sz w:val="24"/>
          <w:szCs w:val="24"/>
        </w:rPr>
        <w:t>参考文献</w:t>
      </w:r>
      <w:bookmarkEnd w:id="15"/>
      <w:bookmarkEnd w:id="16"/>
      <w:bookmarkEnd w:id="17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307" w:lineRule="exact"/>
        <w:ind w:right="0" w:hanging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[1] Grossman JM, Gordon R, Ranganath VK,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Ameri</w:t>
        <w:softHyphen/>
        <w:t>can college of rheumatology 2010 recommendations for the prevention and treatment of glucocorticoid-induced osteopo</w:t>
        <w:softHyphen/>
        <w:t xml:space="preserve">rosis [J]. Arthritis Care Res, 2010 , 62： 1515 </w:t>
      </w:r>
      <w:r>
        <w:rPr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1526.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right"/>
        <w:rPr>
          <w:sz w:val="14"/>
          <w:szCs w:val="14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621" w:h="16138"/>
          <w:pgMar w:top="1639" w:right="1088" w:bottom="1151" w:left="1100" w:header="0" w:footer="3" w:gutter="0"/>
          <w:cols w:num="2" w:space="146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8"/>
          <w:szCs w:val="18"/>
        </w:rPr>
        <w:t>徐蕙 摘译，蒋颖 审校 中国医学科学院北京协和医学院 北京协和医院 （收稿日期：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2011-08-20）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621" w:h="16138"/>
          <w:pgMar w:top="1639" w:right="1088" w:bottom="1151" w:left="1100" w:header="0" w:footer="3" w:gutter="0"/>
          <w:cols w:num="2" w:space="146"/>
          <w:noEndnote/>
          <w:rtlGutter w:val="0"/>
          <w:docGrid w:linePitch="360"/>
        </w:sectPr>
      </w:pPr>
    </w:p>
    <w:p>
      <w:pPr>
        <w:pStyle w:val="Style26"/>
        <w:keepNext/>
        <w:keepLines/>
        <w:widowControl w:val="0"/>
        <w:shd w:val="clear" w:color="auto" w:fill="auto"/>
        <w:tabs>
          <w:tab w:pos="7339" w:val="left"/>
        </w:tabs>
        <w:bidi w:val="0"/>
        <w:spacing w:before="0" w:after="80" w:line="240" w:lineRule="auto"/>
        <w:ind w:left="0" w:right="0" w:firstLine="0"/>
        <w:jc w:val="left"/>
        <w:rPr>
          <w:sz w:val="13"/>
          <w:szCs w:val="13"/>
        </w:rPr>
      </w:pPr>
      <w:r>
        <w:fldChar w:fldCharType="begin"/>
      </w:r>
      <w:r>
        <w:rPr/>
        <w:instrText> HYPERLINK "http://d.g.wanfangdata.com.cn/Periodical_zhgzsshgkyjbzz201103013.aspx" </w:instrText>
      </w:r>
      <w:r>
        <w:fldChar w:fldCharType="separate"/>
      </w:r>
      <w:bookmarkStart w:id="18" w:name="bookmark18"/>
      <w:bookmarkStart w:id="19" w:name="bookmark19"/>
      <w:bookmarkStart w:id="20" w:name="bookmark20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2010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年美国风湿病学会关于类固醇性骨质疏松症的预防和治疗推荐</w:t>
      </w:r>
      <w:r>
        <w:fldChar w:fldCharType="end"/>
      </w:r>
      <w:r>
        <w:fldChar w:fldCharType="begin"/>
      </w:r>
      <w:r>
        <w:rPr/>
        <w:instrText> HYPERLINK "http://g.wanfangdata.com.cn/" </w:instrText>
      </w:r>
      <w:r>
        <w:fldChar w:fldCharType="separate"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b/>
          <w:bCs/>
          <w:color w:val="E9151E"/>
          <w:spacing w:val="0"/>
          <w:w w:val="100"/>
          <w:position w:val="0"/>
          <w:sz w:val="24"/>
          <w:szCs w:val="24"/>
        </w:rPr>
        <w:t>田</w:t>
      </w:r>
      <w:r>
        <w:rPr>
          <w:b/>
          <w:bCs/>
          <w:color w:val="1E4981"/>
          <w:spacing w:val="0"/>
          <w:w w:val="100"/>
          <w:position w:val="0"/>
          <w:sz w:val="24"/>
          <w:szCs w:val="24"/>
        </w:rPr>
        <w:t>寻</w:t>
      </w:r>
      <w:r>
        <w:rPr>
          <w:rFonts w:ascii="Times New Roman" w:eastAsia="Times New Roman" w:hAnsi="Times New Roman" w:cs="Times New Roman"/>
          <w:b/>
          <w:bCs/>
          <w:color w:val="7B7B7E"/>
          <w:spacing w:val="0"/>
          <w:w w:val="100"/>
          <w:position w:val="0"/>
          <w:sz w:val="22"/>
          <w:szCs w:val="22"/>
          <w:lang w:val="en-US" w:eastAsia="en-US" w:bidi="en-US"/>
        </w:rPr>
        <w:t>N</w:t>
      </w:r>
      <w:r>
        <w:rPr>
          <w:b/>
          <w:bCs/>
          <w:color w:val="1E4981"/>
          <w:spacing w:val="0"/>
          <w:w w:val="100"/>
          <w:position w:val="0"/>
          <w:sz w:val="24"/>
          <w:szCs w:val="24"/>
        </w:rPr>
        <w:t>中</w:t>
      </w:r>
      <w:r>
        <w:rPr>
          <w:rFonts w:ascii="Times New Roman" w:eastAsia="Times New Roman" w:hAnsi="Times New Roman" w:cs="Times New Roman"/>
          <w:b/>
          <w:bCs/>
          <w:color w:val="7B7B7E"/>
          <w:spacing w:val="0"/>
          <w:w w:val="100"/>
          <w:position w:val="0"/>
          <w:sz w:val="22"/>
          <w:szCs w:val="22"/>
          <w:lang w:val="en-US" w:eastAsia="en-US" w:bidi="en-US"/>
        </w:rPr>
        <w:t>N</w:t>
      </w:r>
      <w:r>
        <w:rPr>
          <w:b/>
          <w:bCs/>
          <w:color w:val="1E4981"/>
          <w:spacing w:val="0"/>
          <w:w w:val="100"/>
          <w:position w:val="0"/>
          <w:sz w:val="24"/>
          <w:szCs w:val="24"/>
        </w:rPr>
        <w:t>理</w:t>
      </w:r>
      <w:r>
        <w:rPr>
          <w:color w:val="4B7CC9"/>
          <w:spacing w:val="0"/>
          <w:w w:val="100"/>
          <w:position w:val="0"/>
          <w:sz w:val="13"/>
          <w:szCs w:val="13"/>
        </w:rPr>
        <w:t>史献链接</w:t>
      </w:r>
      <w:bookmarkEnd w:id="18"/>
      <w:bookmarkEnd w:id="19"/>
      <w:bookmarkEnd w:id="20"/>
      <w:r>
        <w:fldChar w:fldCharType="end"/>
      </w:r>
    </w:p>
    <w:tbl>
      <w:tblPr>
        <w:tblOverlap w:val="never"/>
        <w:jc w:val="center"/>
        <w:tblLayout w:type="fixed"/>
      </w:tblPr>
      <w:tblGrid>
        <w:gridCol w:w="1368"/>
        <w:gridCol w:w="8011"/>
      </w:tblGrid>
      <w:tr>
        <w:trPr>
          <w:trHeight w:val="45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作者：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tabs>
                <w:tab w:pos="6154" w:val="left"/>
              </w:tabs>
              <w:bidi w:val="0"/>
              <w:spacing w:before="0" w:after="60" w:line="240" w:lineRule="auto"/>
              <w:ind w:left="0" w:right="0" w:firstLine="500"/>
              <w:jc w:val="left"/>
              <w:rPr>
                <w:sz w:val="15"/>
                <w:szCs w:val="15"/>
              </w:rPr>
            </w:pPr>
            <w:r>
              <w:fldChar w:fldCharType="begin"/>
            </w:r>
            <w:r>
              <w:rPr/>
              <w:instrText> HYPERLINK "http://s.g.wanfangdata.com.cn/Paper.aspx?q=Creator%3a%22%e5%be%90%e8%95%99%22+DBID%3aWF_QK"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徐蕙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，</w:t>
            </w:r>
            <w:r>
              <w:fldChar w:fldCharType="begin"/>
            </w:r>
            <w:r>
              <w:rPr/>
              <w:instrText> HYPERLINK "http://s.g.wanfangdata.com.cn/Paper.aspx?q=Creator%3a%22REBECCA+GORDON%22+DBID%3aWF_QK"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en-US" w:eastAsia="en-US" w:bidi="en-US"/>
              </w:rPr>
              <w:t>REBECCA GORDON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， </w:t>
            </w:r>
            <w:r>
              <w:fldChar w:fldCharType="begin"/>
            </w:r>
            <w:r>
              <w:rPr/>
              <w:instrText> HYPERLINK "http://s.g.wanfangdata.com.cn/Paper.aspx?q=Creator%3a%22VEENA+K.++RANGANATH%22+DBID%3aWF_QK"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en-US" w:eastAsia="en-US" w:bidi="en-US"/>
              </w:rPr>
              <w:t>VEENA K. RANGANATH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， </w:t>
            </w:r>
            <w:r>
              <w:fldChar w:fldCharType="begin"/>
            </w:r>
            <w:r>
              <w:rPr/>
              <w:instrText> HYPERLINK "http://s.g.wanfangdata.com.cn/Paper.aspx?q=Creator%3a%22CHAD+DEAL%22+DBID%3aWF_QK"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en-US" w:eastAsia="en-US" w:bidi="en-US"/>
              </w:rPr>
              <w:t>CHAD DEAL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， </w:t>
            </w:r>
            <w:r>
              <w:fldChar w:fldCharType="begin"/>
            </w:r>
            <w:r>
              <w:rPr/>
              <w:instrText> HYPERLINK "http://s.g.wanfangdata.com.cn/Paper.aspx?q=Creator%3a%22JENNIFER+M.++GROSSMAN%22+DBID%3aWF_QK"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en-US" w:eastAsia="en-US" w:bidi="en-US"/>
              </w:rPr>
              <w:t>JENNIFER M.</w:t>
              <w:tab/>
              <w:t>GROSSMAN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， </w:t>
            </w:r>
            <w:r>
              <w:fldChar w:fldCharType="begin"/>
            </w:r>
            <w:r>
              <w:rPr/>
              <w:instrText> HYPERLINK "http://s.g.wanfangdata.com.cn/Paper.aspx?q=Creator%3a%22REBECCA+GORDON%22+DBID%3aWF_QK"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en-US" w:eastAsia="en-US" w:bidi="en-US"/>
              </w:rPr>
              <w:t>REBECCA</w:t>
            </w:r>
            <w:r>
              <w:fldChar w:fldCharType="end"/>
            </w:r>
          </w:p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5"/>
                <w:szCs w:val="15"/>
              </w:rPr>
            </w:pPr>
            <w:r>
              <w:fldChar w:fldCharType="begin"/>
            </w:r>
            <w:r>
              <w:rPr/>
              <w:instrText> HYPERLINK "http://s.g.wanfangdata.com.cn/Paper.aspx?q=Creator%3a%22REBECCA+GORDON%22+DBID%3aWF_QK"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GORDON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， </w:t>
            </w:r>
            <w:r>
              <w:fldChar w:fldCharType="begin"/>
            </w:r>
            <w:r>
              <w:rPr/>
              <w:instrText> HYPERLINK "http://s.g.wanfangdata.com.cn/Paper.aspx?q=Creator%3a%22VEENA+K.++RANGANATH%22+DBID%3aWF_QK"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VEENA K. RANGANATH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， </w:t>
            </w:r>
            <w:r>
              <w:fldChar w:fldCharType="begin"/>
            </w:r>
            <w:r>
              <w:rPr/>
              <w:instrText> HYPERLINK "http://s.g.wanfangdata.com.cn/Paper.aspx?q=Creator%3a%22CHAD+DEAL%22+DBID%3aWF_QK"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CHAD DEAL</w:t>
            </w:r>
            <w:r>
              <w:fldChar w:fldCharType="end"/>
            </w:r>
          </w:p>
        </w:tc>
      </w:tr>
      <w:tr>
        <w:trPr>
          <w:trHeight w:val="57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0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作者单位： 刊名：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500"/>
              <w:jc w:val="left"/>
              <w:rPr>
                <w:sz w:val="15"/>
                <w:szCs w:val="15"/>
              </w:rPr>
            </w:pPr>
            <w:r>
              <w:fldChar w:fldCharType="begin"/>
            </w:r>
            <w:r>
              <w:rPr/>
              <w:instrText> HYPERLINK "http://s.g.wanfangdata.com.cn/Paper.aspx?q=Organization%3a%22%e4%b8%ad%e5%9b%bd%e5%8c%bb%e5%ad%a6%e7%a7%91%e5%ad%a6%e9%99%a2++%e5%8c%97%e4%ba%ac%e5%8d%8f%e5%92%8c%e5%8c%bb%e5%ad%a6%e9%99%a2%e5%8c%97%e4%ba%ac%e5%8d%8f%e5%92%8c%e5%8c%bb%e9%99%a2%22+DBID%3aWF_QK"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中国医学科学院北京协和医学院北京协和医院</w:t>
            </w:r>
            <w:r>
              <w:fldChar w:fldCharType="end"/>
            </w:r>
          </w:p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5"/>
                <w:szCs w:val="15"/>
              </w:rPr>
            </w:pPr>
            <w:r>
              <w:fldChar w:fldCharType="begin"/>
            </w:r>
            <w:r>
              <w:rPr/>
              <w:instrText> HYPERLINK "http://c.g.wanfangdata.com.cn/periodical-zhgzsshgkyjbzz.aspx"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</w:rPr>
              <w:t>中华骨质疏松和骨矿盐疾病杂志</w:t>
            </w:r>
            <w:r>
              <w:fldChar w:fldCharType="end"/>
            </w:r>
          </w:p>
        </w:tc>
      </w:tr>
      <w:tr>
        <w:trPr>
          <w:trHeight w:val="46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英文刊名： 年，卷（期）：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5" w:lineRule="exact"/>
              <w:ind w:left="500" w:right="0" w:firstLine="0"/>
              <w:jc w:val="left"/>
              <w:rPr>
                <w:sz w:val="15"/>
                <w:szCs w:val="15"/>
              </w:rPr>
            </w:pPr>
            <w:r>
              <w:fldChar w:fldCharType="begin"/>
            </w:r>
            <w:r>
              <w:rPr/>
              <w:instrText> HYPERLINK "http://c.g.wanfangdata.com.cn/periodical-zhgzsshgkyjbzz.aspx"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Chinese Journal of Osteoporosis and Bone Mineral Research</w:t>
            </w:r>
            <w:r>
              <w:fldChar w:fldCharType="end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2011,04(3)</w:t>
            </w:r>
          </w:p>
        </w:tc>
      </w:tr>
    </w:tbl>
    <w:p>
      <w:pPr>
        <w:widowControl w:val="0"/>
        <w:spacing w:after="37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6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FFFFFF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FFFFFF"/>
          <w:lang w:val="zh-TW" w:eastAsia="zh-TW" w:bidi="zh-TW"/>
        </w:rPr>
        <w:t>参考文献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FFFFFF"/>
          <w:lang w:val="zh-TW" w:eastAsia="zh-TW" w:bidi="zh-TW"/>
        </w:rPr>
        <w:t>（1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FFFFFF"/>
          <w:lang w:val="zh-TW" w:eastAsia="zh-TW" w:bidi="zh-TW"/>
        </w:rPr>
        <w:t>条）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1. </w:t>
      </w:r>
      <w:r>
        <w:fldChar w:fldCharType="begin"/>
      </w:r>
      <w:r>
        <w:rPr/>
        <w:instrText> HYPERLINK "http://s.g.wanfangdata.com.cn/Paper.aspx?q=Creator%3a%22Grossman+JM%22+DBID%3aWF_QK"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lang w:val="en-US" w:eastAsia="en-US" w:bidi="en-US"/>
        </w:rPr>
        <w:t>Grossman JM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. </w:t>
      </w:r>
      <w:r>
        <w:fldChar w:fldCharType="begin"/>
      </w:r>
      <w:r>
        <w:rPr/>
        <w:instrText> HYPERLINK "http://s.g.wanfangdata.com.cn/Paper.aspx?q=Creator%3a%22Gordon+R%22+DBID%3aWF_QK"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lang w:val="en-US" w:eastAsia="en-US" w:bidi="en-US"/>
        </w:rPr>
        <w:t>Gordon R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. </w:t>
      </w:r>
      <w:r>
        <w:fldChar w:fldCharType="begin"/>
      </w:r>
      <w:r>
        <w:rPr/>
        <w:instrText> HYPERLINK "http://s.g.wanfangdata.com.cn/Paper.aspx?q=Creator%3a%22Ranganath+VK%22+DBID%3aWF_QK"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lang w:val="en-US" w:eastAsia="en-US" w:bidi="en-US"/>
        </w:rPr>
        <w:t>Ranganath VK</w:t>
      </w:r>
      <w:r>
        <w:fldChar w:fldCharType="end"/>
      </w:r>
      <w:r>
        <w:rPr>
          <w:color w:val="034481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"http://d.g.wanfangdata.com.cn/ExternalResource-zhgzsshgkyjbzz201103013%5e1.aspx"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lang w:val="en-US" w:eastAsia="en-US" w:bidi="en-US"/>
        </w:rPr>
        <w:t>American college of rheumatology 2010 recommendations for the prevention and</w:t>
      </w:r>
      <w:r>
        <w:fldChar w:fldCharType="end"/>
      </w:r>
      <w:r>
        <w:rPr>
          <w:color w:val="034481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fldChar w:fldCharType="begin"/>
      </w:r>
      <w:r>
        <w:rPr/>
        <w:instrText> HYPERLINK "http://d.g.wanfangdata.com.cn/ExternalResource-zhgzsshgkyjbzz201103013%5e1.aspx"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lang w:val="en-US" w:eastAsia="en-US" w:bidi="en-US"/>
        </w:rPr>
        <w:t xml:space="preserve">treatment of glucocorticoid-induced osteoporosis 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2010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本文链接： </w:t>
      </w:r>
      <w:r>
        <w:fldChar w:fldCharType="begin"/>
      </w:r>
      <w:r>
        <w:rPr/>
        <w:instrText> HYPERLINK "http://d.g.wanfangdata.com.cn/Periodical_zhgzsshgkyjbzz201103013.aspx"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lang w:val="en-US" w:eastAsia="en-US" w:bidi="en-US"/>
        </w:rPr>
        <w:t>http://d.g.wanfangdata.com.cn/Periodical</w:t>
      </w:r>
      <w:r>
        <w:fldChar w:fldCharType="end"/>
      </w:r>
      <w:r>
        <w:rPr>
          <w:color w:val="034481"/>
          <w:spacing w:val="0"/>
          <w:w w:val="100"/>
          <w:position w:val="0"/>
          <w:sz w:val="15"/>
          <w:szCs w:val="15"/>
          <w:lang w:val="en-US" w:eastAsia="en-US" w:bidi="en-US"/>
        </w:rPr>
        <w:t>_zhgzsshgkyjbzz201103013.aspx</w:t>
      </w:r>
    </w:p>
    <w:sectPr>
      <w:headerReference w:type="default" r:id="rId13"/>
      <w:footerReference w:type="default" r:id="rId14"/>
      <w:footnotePr>
        <w:pos w:val="pageBottom"/>
        <w:numFmt w:val="decimal"/>
        <w:numRestart w:val="continuous"/>
      </w:footnotePr>
      <w:pgSz w:w="11621" w:h="16138"/>
      <w:pgMar w:top="379" w:right="1073" w:bottom="552" w:left="1169" w:header="0" w:footer="3" w:gutter="0"/>
      <w:pgNumType w:start="5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746760</wp:posOffset>
              </wp:positionH>
              <wp:positionV relativeFrom="page">
                <wp:posOffset>9860280</wp:posOffset>
              </wp:positionV>
              <wp:extent cx="6303010" cy="31115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03010" cy="3111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85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万方</w:t>
                          </w:r>
                          <w:r>
                            <w:rPr>
                              <w:rFonts w:ascii="SimSun" w:eastAsia="SimSun" w:hAnsi="SimSun" w:cs="SimSun"/>
                              <w:color w:val="335291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政脉福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"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241A18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58.800000000000004pt;margin-top:776.39999999999998pt;width:496.30000000000001pt;height:24.5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85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万方</w:t>
                    </w:r>
                    <w:r>
                      <w:rPr>
                        <w:rFonts w:ascii="SimSun" w:eastAsia="SimSun" w:hAnsi="SimSun" w:cs="SimSun"/>
                        <w:color w:val="335291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政脉福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"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241A18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643255</wp:posOffset>
              </wp:positionH>
              <wp:positionV relativeFrom="page">
                <wp:posOffset>9909175</wp:posOffset>
              </wp:positionV>
              <wp:extent cx="6306185" cy="20701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06185" cy="2070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3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万方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37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241A18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mediive.cn</w:t>
                            <w:tab/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50.649999999999999pt;margin-top:780.25pt;width:496.55000000000001pt;height:16.300000000000001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3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万方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37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241A18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mediive.cn</w:t>
                      <w:tab/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681990</wp:posOffset>
              </wp:positionH>
              <wp:positionV relativeFrom="page">
                <wp:posOffset>9876790</wp:posOffset>
              </wp:positionV>
              <wp:extent cx="1009015" cy="307975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09015" cy="307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万方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匿脉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54"/>
                              <w:szCs w:val="54"/>
                              <w:lang w:val="zh-TW" w:eastAsia="zh-TW" w:bidi="zh-TW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虽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241A18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position:absolute;margin-left:53.700000000000003pt;margin-top:777.70000000000005pt;width:79.450000000000003pt;height:24.25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万方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匿脉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54"/>
                        <w:szCs w:val="54"/>
                        <w:lang w:val="zh-TW" w:eastAsia="zh-TW" w:bidi="zh-TW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虽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241A18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5671820</wp:posOffset>
              </wp:positionH>
              <wp:positionV relativeFrom="page">
                <wp:posOffset>9956165</wp:posOffset>
              </wp:positionV>
              <wp:extent cx="1313815" cy="164465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0" type="#_x0000_t202" style="position:absolute;margin-left:446.60000000000002pt;margin-top:783.95000000000005pt;width:103.45pt;height:12.950000000000001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9805670</wp:posOffset>
              </wp:positionV>
              <wp:extent cx="1009015" cy="307975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09015" cy="307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万方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匿脉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54"/>
                              <w:szCs w:val="54"/>
                              <w:lang w:val="zh-TW" w:eastAsia="zh-TW" w:bidi="zh-TW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虽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241A18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52.700000000000003pt;margin-top:772.10000000000002pt;width:79.450000000000003pt;height:24.25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万方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匿脉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54"/>
                        <w:szCs w:val="54"/>
                        <w:lang w:val="zh-TW" w:eastAsia="zh-TW" w:bidi="zh-TW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虽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241A18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5658485</wp:posOffset>
              </wp:positionH>
              <wp:positionV relativeFrom="page">
                <wp:posOffset>9884410</wp:posOffset>
              </wp:positionV>
              <wp:extent cx="1313815" cy="164465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445.55000000000001pt;margin-top:778.30000000000007pt;width:103.45pt;height:12.950000000000001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643255</wp:posOffset>
              </wp:positionH>
              <wp:positionV relativeFrom="page">
                <wp:posOffset>9909175</wp:posOffset>
              </wp:positionV>
              <wp:extent cx="6306185" cy="20701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06185" cy="2070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3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万方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37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241A18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mediive.cn</w:t>
                            <w:tab/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50.649999999999999pt;margin-top:780.25pt;width:496.55000000000001pt;height:16.300000000000001pt;z-index:-1887440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3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万方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37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241A18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mediive.cn</w:t>
                      <w:tab/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1737360</wp:posOffset>
              </wp:positionH>
              <wp:positionV relativeFrom="page">
                <wp:posOffset>612775</wp:posOffset>
              </wp:positionV>
              <wp:extent cx="3935095" cy="27432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35095" cy="2743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中华骨质疏松和骨矿盐疾病杂志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2011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4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期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CHIN J OSTEOPOROSIS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&amp;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BONE MINER RES Vol. 4 No. 3 September 20 , 2011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36.80000000000001pt;margin-top:48.25pt;width:309.85000000000002pt;height:21.6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中华骨质疏松和骨矿盐疾病杂志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2011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4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期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CHIN J OSTEOPOROSIS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&amp;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BONE MINER RES Vol. 4 No. 3 September 20 , 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844550</wp:posOffset>
              </wp:positionH>
              <wp:positionV relativeFrom="page">
                <wp:posOffset>786765</wp:posOffset>
              </wp:positionV>
              <wp:extent cx="304800" cy="8255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82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66.5pt;margin-top:61.950000000000003pt;width:24.pt;height:6.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740410</wp:posOffset>
              </wp:positionH>
              <wp:positionV relativeFrom="page">
                <wp:posOffset>948055</wp:posOffset>
              </wp:positionV>
              <wp:extent cx="5934710" cy="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347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300000000000004pt;margin-top:74.650000000000006pt;width:467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1776730</wp:posOffset>
              </wp:positionH>
              <wp:positionV relativeFrom="page">
                <wp:posOffset>633730</wp:posOffset>
              </wp:positionV>
              <wp:extent cx="3938270" cy="27432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38270" cy="2743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中华骨质疏松和骨矿盐疾病杂志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2011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4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期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CHIN J OSTEOPOROSIS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&amp;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BONE MINER RES Vol.4 No.3 September 20 , 2011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139.90000000000001pt;margin-top:49.899999999999999pt;width:310.10000000000002pt;height:21.60000000000000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中华骨质疏松和骨矿盐疾病杂志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2011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4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期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CHIN J OSTEOPOROSIS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&amp;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BONE MINER RES Vol.4 No.3 September 20 , 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6315710</wp:posOffset>
              </wp:positionH>
              <wp:positionV relativeFrom="page">
                <wp:posOffset>789305</wp:posOffset>
              </wp:positionV>
              <wp:extent cx="307975" cy="8509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497.30000000000001pt;margin-top:62.149999999999999pt;width:24.25pt;height:6.7000000000000002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783590</wp:posOffset>
              </wp:positionH>
              <wp:positionV relativeFrom="page">
                <wp:posOffset>960120</wp:posOffset>
              </wp:positionV>
              <wp:extent cx="5940425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404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1.700000000000003pt;margin-top:75.600000000000009pt;width:467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1718310</wp:posOffset>
              </wp:positionH>
              <wp:positionV relativeFrom="page">
                <wp:posOffset>616585</wp:posOffset>
              </wp:positionV>
              <wp:extent cx="3943985" cy="27114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43985" cy="2711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中华骨质疏松和骨矿盐疾病杂志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2011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4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期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CHIN J OSTEOPOROSIS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&amp;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BONE MINER RES Vol. 4 No. 3 September 20 , 2011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135.30000000000001pt;margin-top:48.550000000000004pt;width:310.55000000000001pt;height:21.350000000000001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中华骨质疏松和骨矿盐疾病杂志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2011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4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期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CHIN J OSTEOPOROSIS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&amp;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BONE MINER RES Vol. 4 No. 3 September 20 , 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822325</wp:posOffset>
              </wp:positionH>
              <wp:positionV relativeFrom="page">
                <wp:posOffset>784225</wp:posOffset>
              </wp:positionV>
              <wp:extent cx="311150" cy="8509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115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64.75pt;margin-top:61.75pt;width:24.5pt;height:6.7000000000000002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947420</wp:posOffset>
              </wp:positionV>
              <wp:extent cx="5940425" cy="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404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800000000000004pt;margin-top:74.600000000000009pt;width:467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1736090</wp:posOffset>
              </wp:positionH>
              <wp:positionV relativeFrom="page">
                <wp:posOffset>661670</wp:posOffset>
              </wp:positionV>
              <wp:extent cx="3938270" cy="271145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38270" cy="2711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中华骨质疏松和骨矿盐疾病杂志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2011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4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期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CHIN J OSTEOPOROSIS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&amp;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BONE MINER RES Vol. 4 No. 3 September 20 , 2011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136.70000000000002pt;margin-top:52.100000000000001pt;width:310.10000000000002pt;height:21.350000000000001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中华骨质疏松和骨矿盐疾病杂志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2011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4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期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CHIN J OSTEOPOROSIS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&amp;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BONE MINER RES Vol. 4 No. 3 September 20 , 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6277610</wp:posOffset>
              </wp:positionH>
              <wp:positionV relativeFrom="page">
                <wp:posOffset>831850</wp:posOffset>
              </wp:positionV>
              <wp:extent cx="298450" cy="79375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494.30000000000001pt;margin-top:65.5pt;width:23.5pt;height:6.25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732790</wp:posOffset>
              </wp:positionH>
              <wp:positionV relativeFrom="page">
                <wp:posOffset>989330</wp:posOffset>
              </wp:positionV>
              <wp:extent cx="5949950" cy="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4995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700000000000003pt;margin-top:77.900000000000006pt;width:468.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4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5">
    <w:name w:val="Body text|2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7">
    <w:name w:val="Header or footer|2_"/>
    <w:basedOn w:val="DefaultParagraphFont"/>
    <w:link w:val="Style6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5">
    <w:name w:val="Heading #1|1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18">
    <w:name w:val="Heading #2|1_"/>
    <w:basedOn w:val="DefaultParagraphFont"/>
    <w:link w:val="Style17"/>
    <w:rPr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CharStyle21">
    <w:name w:val="Body text|1_"/>
    <w:basedOn w:val="DefaultParagraphFont"/>
    <w:link w:val="Style20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4">
    <w:name w:val="Body text|3_"/>
    <w:basedOn w:val="DefaultParagraphFont"/>
    <w:link w:val="Style23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27">
    <w:name w:val="Heading #3|1_"/>
    <w:basedOn w:val="DefaultParagraphFont"/>
    <w:link w:val="Style26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33">
    <w:name w:val="Table of contents|1_"/>
    <w:basedOn w:val="DefaultParagraphFont"/>
    <w:link w:val="Style32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37">
    <w:name w:val="Table caption|1_"/>
    <w:basedOn w:val="DefaultParagraphFont"/>
    <w:link w:val="Style36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40">
    <w:name w:val="Other|1_"/>
    <w:basedOn w:val="DefaultParagraphFont"/>
    <w:link w:val="Style39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Body text|4"/>
    <w:basedOn w:val="Normal"/>
    <w:link w:val="CharStyle3"/>
    <w:pPr>
      <w:widowControl w:val="0"/>
      <w:shd w:val="clear" w:color="auto" w:fill="auto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4">
    <w:name w:val="Body text|2"/>
    <w:basedOn w:val="Normal"/>
    <w:link w:val="CharStyle5"/>
    <w:pPr>
      <w:widowControl w:val="0"/>
      <w:shd w:val="clear" w:color="auto" w:fill="auto"/>
      <w:spacing w:after="340" w:line="301" w:lineRule="exact"/>
      <w:ind w:left="360" w:hanging="1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6">
    <w:name w:val="Header or footer|2"/>
    <w:basedOn w:val="Normal"/>
    <w:link w:val="CharStyle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4">
    <w:name w:val="Heading #1|1"/>
    <w:basedOn w:val="Normal"/>
    <w:link w:val="CharStyle15"/>
    <w:pPr>
      <w:widowControl w:val="0"/>
      <w:shd w:val="clear" w:color="auto" w:fill="auto"/>
      <w:spacing w:after="800" w:line="461" w:lineRule="exact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17">
    <w:name w:val="Heading #2|1"/>
    <w:basedOn w:val="Normal"/>
    <w:link w:val="CharStyle18"/>
    <w:pPr>
      <w:widowControl w:val="0"/>
      <w:shd w:val="clear" w:color="auto" w:fill="auto"/>
      <w:spacing w:after="320" w:line="324" w:lineRule="auto"/>
      <w:jc w:val="center"/>
      <w:outlineLvl w:val="1"/>
    </w:pPr>
    <w:rPr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paragraph" w:customStyle="1" w:styleId="Style20">
    <w:name w:val="Body text|1"/>
    <w:basedOn w:val="Normal"/>
    <w:link w:val="CharStyle21"/>
    <w:pPr>
      <w:widowControl w:val="0"/>
      <w:shd w:val="clear" w:color="auto" w:fill="auto"/>
      <w:spacing w:line="353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3">
    <w:name w:val="Body text|3"/>
    <w:basedOn w:val="Normal"/>
    <w:link w:val="CharStyle24"/>
    <w:pPr>
      <w:widowControl w:val="0"/>
      <w:shd w:val="clear" w:color="auto" w:fill="auto"/>
      <w:spacing w:after="340" w:line="322" w:lineRule="exact"/>
      <w:ind w:left="142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26">
    <w:name w:val="Heading #3|1"/>
    <w:basedOn w:val="Normal"/>
    <w:link w:val="CharStyle27"/>
    <w:pPr>
      <w:widowControl w:val="0"/>
      <w:shd w:val="clear" w:color="auto" w:fill="auto"/>
      <w:spacing w:after="120"/>
      <w:jc w:val="center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32">
    <w:name w:val="Table of contents|1"/>
    <w:basedOn w:val="Normal"/>
    <w:link w:val="CharStyle33"/>
    <w:pPr>
      <w:widowControl w:val="0"/>
      <w:shd w:val="clear" w:color="auto" w:fill="auto"/>
      <w:spacing w:line="295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36">
    <w:name w:val="Table caption|1"/>
    <w:basedOn w:val="Normal"/>
    <w:link w:val="CharStyle37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39">
    <w:name w:val="Other|1"/>
    <w:basedOn w:val="Normal"/>
    <w:link w:val="CharStyle40"/>
    <w:pPr>
      <w:widowControl w:val="0"/>
      <w:shd w:val="clear" w:color="auto" w:fill="auto"/>
      <w:spacing w:line="353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/Relationships>
</file>