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580" w:firstLine="0"/>
        <w:jc w:val="right"/>
      </w:pPr>
      <w:r>
        <w:rPr>
          <w:b/>
          <w:bCs/>
          <w:color w:val="000000"/>
          <w:spacing w:val="0"/>
          <w:w w:val="100"/>
          <w:position w:val="0"/>
        </w:rPr>
        <w:t xml:space="preserve">・ 1689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50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・珍断标准-治疗方案・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10.3969/j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issn.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-515X. 2011.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027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</w:rPr>
        <w:t>2011</w:t>
      </w:r>
      <w:r>
        <w:rPr>
          <w:color w:val="000000"/>
          <w:spacing w:val="0"/>
          <w:w w:val="100"/>
          <w:position w:val="0"/>
        </w:rPr>
        <w:t>年美国风湿病学会关于幼年特发性关节炎的治疗建议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屠志强，蔡宇波，曹兰芳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（上海交通大学医学院附属仁济医院 儿科，上海</w:t>
      </w:r>
      <w:r>
        <w:rPr>
          <w:color w:val="000000"/>
          <w:spacing w:val="0"/>
          <w:w w:val="100"/>
          <w:position w:val="0"/>
          <w:sz w:val="20"/>
          <w:szCs w:val="20"/>
        </w:rPr>
        <w:t>200001）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2011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American College of Rheumatology Recommendations for Treatment of Juvenile Idiopathic Arthritis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" w:line="31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 Zhi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qiang, CAI Yu - bo, CAO Lan -fang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（Department of Pecliatrics,Renji Hospital,Shanghai Jiaotong University School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Medicine,Shanghai 200001, China）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1" w:lineRule="exact"/>
        <w:ind w:left="0" w:right="0" w:firstLine="360"/>
        <w:jc w:val="both"/>
      </w:pPr>
      <w:r>
        <w:rPr>
          <w:b/>
          <w:bCs/>
          <w:color w:val="000000"/>
          <w:spacing w:val="0"/>
          <w:w w:val="100"/>
          <w:position w:val="0"/>
        </w:rPr>
        <w:t>摘要：</w:t>
      </w:r>
      <w:r>
        <w:rPr>
          <w:color w:val="000000"/>
          <w:spacing w:val="0"/>
          <w:w w:val="100"/>
          <w:position w:val="0"/>
        </w:rPr>
        <w:t>幼年特发性关节炎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（JIA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是一大类以关节损害为主，同时伴有全身多系统累及的儿童慢性风湿病。其发病机制复杂，且 尚未完全明确，虽然不断更改治疗方案，但预后仍不理想。因此</w:t>
      </w:r>
      <w:r>
        <w:rPr>
          <w:color w:val="000000"/>
          <w:spacing w:val="0"/>
          <w:w w:val="100"/>
          <w:position w:val="0"/>
          <w:sz w:val="13"/>
          <w:szCs w:val="13"/>
        </w:rPr>
        <w:t>,2010</w:t>
      </w:r>
      <w:r>
        <w:rPr>
          <w:color w:val="000000"/>
          <w:spacing w:val="0"/>
          <w:w w:val="100"/>
          <w:position w:val="0"/>
        </w:rPr>
        <w:t xml:space="preserve">年美国风湿病学会更新了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治疗建议。该建议中强调了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JIA </w:t>
      </w:r>
      <w:r>
        <w:rPr>
          <w:color w:val="000000"/>
          <w:spacing w:val="0"/>
          <w:w w:val="100"/>
          <w:position w:val="0"/>
        </w:rPr>
        <w:t>患儿的病情存在明显的个体差异，其治疗自始至终需要根据不同个体的病情制定不同的治疗方案。该建议将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患儿分为</w:t>
      </w:r>
      <w:r>
        <w:rPr>
          <w:color w:val="000000"/>
          <w:spacing w:val="0"/>
          <w:w w:val="100"/>
          <w:position w:val="0"/>
          <w:sz w:val="13"/>
          <w:szCs w:val="13"/>
        </w:rPr>
        <w:t>5</w:t>
      </w:r>
      <w:r>
        <w:rPr>
          <w:color w:val="000000"/>
          <w:spacing w:val="0"/>
          <w:w w:val="100"/>
          <w:position w:val="0"/>
        </w:rPr>
        <w:t>种治 疗组别，针对不同的组别，明确提出了不同的治疗计划,为儿科临床医师提供了很好的诊疗指南。同时该建议还针对各个组别描述 了不良预后的临床表现和疾病活动状况的评估标准,可为疾病的预后判断和更改治疗方案提供一定的线索。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96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实用儿科临床杂志,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2011,26 （21）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1689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-1692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1" w:lineRule="exact"/>
        <w:ind w:left="0" w:right="0" w:firstLine="340"/>
        <w:jc w:val="left"/>
      </w:pPr>
      <w:r>
        <w:rPr>
          <w:b/>
          <w:bCs/>
          <w:color w:val="000000"/>
          <w:spacing w:val="0"/>
          <w:w w:val="100"/>
          <w:position w:val="0"/>
        </w:rPr>
        <w:t>关键词：</w:t>
      </w:r>
      <w:r>
        <w:rPr>
          <w:color w:val="000000"/>
          <w:spacing w:val="0"/>
          <w:w w:val="100"/>
          <w:position w:val="0"/>
        </w:rPr>
        <w:t>幼年特发性关节炎;治疗；</w:t>
      </w:r>
      <w:r>
        <w:rPr>
          <w:b/>
          <w:bCs/>
          <w:color w:val="000000"/>
          <w:spacing w:val="0"/>
          <w:w w:val="100"/>
          <w:position w:val="0"/>
        </w:rPr>
        <w:t>建议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116" w:val="left"/>
          <w:tab w:pos="3695" w:val="left"/>
        </w:tabs>
        <w:bidi w:val="0"/>
        <w:spacing w:before="0" w:after="0" w:line="240" w:lineRule="auto"/>
        <w:ind w:left="0" w:right="0" w:firstLine="340"/>
        <w:jc w:val="left"/>
        <w:rPr>
          <w:sz w:val="13"/>
          <w:szCs w:val="13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153" w:right="701" w:bottom="116" w:left="744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中图分类号：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R729</w:t>
        <w:tab/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文献标识码：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</w:t>
        <w:tab/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文章编号：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1003-515X（2011）21 -1689-04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国际风湿病联盟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（ILAR）</w:t>
      </w:r>
      <w:r>
        <w:rPr>
          <w:color w:val="000000"/>
          <w:spacing w:val="0"/>
          <w:w w:val="100"/>
          <w:position w:val="0"/>
        </w:rPr>
        <w:t>将一组原因不明的于</w:t>
      </w:r>
      <w:r>
        <w:rPr>
          <w:color w:val="000000"/>
          <w:spacing w:val="0"/>
          <w:w w:val="100"/>
          <w:position w:val="0"/>
          <w:sz w:val="20"/>
          <w:szCs w:val="20"/>
        </w:rPr>
        <w:t>16</w:t>
      </w:r>
      <w:r>
        <w:rPr>
          <w:color w:val="000000"/>
          <w:spacing w:val="0"/>
          <w:w w:val="100"/>
          <w:position w:val="0"/>
        </w:rPr>
        <w:t>周 岁之前发病，症状持续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周以上，并排除其他原因的关节 炎定义为幼年特发性关节炎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juvenile idiopathic arthritis, JIA）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该病的发病率约为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1/1 </w:t>
      </w:r>
      <w:r>
        <w:rPr>
          <w:color w:val="000000"/>
          <w:spacing w:val="0"/>
          <w:w w:val="100"/>
          <w:position w:val="0"/>
          <w:sz w:val="20"/>
          <w:szCs w:val="20"/>
        </w:rPr>
        <w:t>000,</w:t>
      </w:r>
      <w:r>
        <w:rPr>
          <w:color w:val="000000"/>
          <w:spacing w:val="0"/>
          <w:w w:val="100"/>
          <w:position w:val="0"/>
        </w:rPr>
        <w:t>其症状常持续至成 年，并可能导致严重的长期健康障碍，包括躯体残疾。近 年来关于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治疗措施虽已取得重大进展，极大提高了 患儿中、短期疗效,但远期预后仍较差。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为了制定关于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最有效最安全的治疗方案，美国 风湿病学会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（ACR）</w:t>
      </w:r>
      <w:r>
        <w:rPr>
          <w:color w:val="000000"/>
          <w:spacing w:val="0"/>
          <w:w w:val="100"/>
          <w:position w:val="0"/>
        </w:rPr>
        <w:t xml:space="preserve">参照最近制定的慢作用药物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（DMARDs）</w:t>
      </w:r>
      <w:r>
        <w:rPr>
          <w:color w:val="000000"/>
          <w:spacing w:val="0"/>
          <w:w w:val="100"/>
          <w:position w:val="0"/>
        </w:rPr>
        <w:t>在类风湿性关节炎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（RA）</w:t>
      </w:r>
      <w:r>
        <w:rPr>
          <w:color w:val="000000"/>
          <w:spacing w:val="0"/>
          <w:w w:val="100"/>
          <w:position w:val="0"/>
        </w:rPr>
        <w:t>应用和糖皮质激素 诱导性骨质疏松的治疗指南，制定关于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的治疗建议, 其重点放在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的初始治疗和安全监察上，包括非笛体 类抗炎药（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NSAIDs）</w:t>
      </w:r>
      <w:r>
        <w:rPr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color w:val="000000"/>
          <w:spacing w:val="0"/>
          <w:w w:val="100"/>
          <w:position w:val="0"/>
        </w:rPr>
        <w:t xml:space="preserve">关节腔糖皮质激素注射，非生物类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DMARDs,</w:t>
      </w:r>
      <w:r>
        <w:rPr>
          <w:color w:val="000000"/>
          <w:spacing w:val="0"/>
          <w:w w:val="100"/>
          <w:position w:val="0"/>
        </w:rPr>
        <w:t>生物类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和对全身型关节炎的系统症 状进行激素治疗。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该建议认为: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是一类异质性很强的疾病，虽然 </w:t>
      </w:r>
      <w:r>
        <w:rPr>
          <w:color w:val="000000"/>
          <w:spacing w:val="0"/>
          <w:w w:val="100"/>
          <w:position w:val="0"/>
          <w:sz w:val="20"/>
          <w:szCs w:val="20"/>
        </w:rPr>
        <w:t>2001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将其分为</w:t>
      </w:r>
      <w:r>
        <w:rPr>
          <w:color w:val="000000"/>
          <w:spacing w:val="0"/>
          <w:w w:val="100"/>
          <w:position w:val="0"/>
          <w:sz w:val="20"/>
          <w:szCs w:val="20"/>
        </w:rPr>
        <w:t>7</w:t>
      </w:r>
      <w:r>
        <w:rPr>
          <w:color w:val="000000"/>
          <w:spacing w:val="0"/>
          <w:w w:val="100"/>
          <w:position w:val="0"/>
        </w:rPr>
        <w:t>个不同的类别，但到目前为止可 能因该分类太复杂，不适合临床实际情况,难以针对不同 的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JAI</w:t>
      </w:r>
      <w:r>
        <w:rPr>
          <w:color w:val="000000"/>
          <w:spacing w:val="0"/>
          <w:w w:val="100"/>
          <w:position w:val="0"/>
        </w:rPr>
        <w:t>亚型制定不同的临床干预方案。因此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在该建 议中为了简洁表示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的临床决策建议，提出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“治</w:t>
      </w:r>
      <w:r>
        <w:rPr>
          <w:color w:val="000000"/>
          <w:spacing w:val="0"/>
          <w:w w:val="100"/>
          <w:position w:val="0"/>
        </w:rPr>
        <w:t>疗组 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”替代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疾病分类标准。由于详尽描述全 身型关节炎的临床表现不切实际,在治疗建议中将全身 型关节炎分为活动性全身症状组和活动性关节炎组。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在该建议中提出了将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分为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个治疗组别，并分 别描述了这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个组别预后不良的临床表现以及疾病活动 水平的评估标准。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1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作者简介：屠志强，男，住院医师，硕七学位，研究方向为免疫性疾病。 通讯作者：曹兰芳，女，主任医师，教授，博士生导师，研究方向为免疫性 疾病，电子信箱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cl£5304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17@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yahoo, com. cn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  <w:rPr>
          <w:sz w:val="14"/>
          <w:szCs w:val="14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</w:rPr>
        <w:t xml:space="preserve">11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个关节炎组 这组病例相当于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  <w:sz w:val="19"/>
          <w:szCs w:val="19"/>
        </w:rPr>
        <w:t>分类中持 续型少关节炎型、银屑病型关节炎型、附着点炎症相关型 和未分类型患儿,但整个病程中所累及的关节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个。患 儿目前所累及关节是</w:t>
      </w:r>
      <w:r>
        <w:rPr>
          <w:color w:val="000000"/>
          <w:spacing w:val="0"/>
          <w:w w:val="100"/>
          <w:position w:val="0"/>
          <w:sz w:val="20"/>
          <w:szCs w:val="20"/>
        </w:rPr>
        <w:t>＜4</w:t>
      </w:r>
      <w:r>
        <w:rPr>
          <w:color w:val="000000"/>
          <w:spacing w:val="0"/>
          <w:w w:val="100"/>
          <w:position w:val="0"/>
          <w:sz w:val="19"/>
          <w:szCs w:val="19"/>
        </w:rPr>
        <w:t>个，但如果将来病变关节数目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</w:rPr>
        <w:t>个，那么就归为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“N5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个关节炎组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”中。</w:t>
      </w:r>
      <w:r>
        <w:rPr>
          <w:color w:val="000000"/>
          <w:spacing w:val="0"/>
          <w:w w:val="100"/>
          <w:position w:val="0"/>
          <w:sz w:val="19"/>
          <w:szCs w:val="19"/>
        </w:rPr>
        <w:t>而全身型关节炎 或戢骼关节炎患儿将单独列组治疗。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个关节病变的 关节炎组预后不良的特征和疾病活动度，见表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lo 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</w:rPr>
        <w:t>1 ＜4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 xml:space="preserve">个关节病变的关节炎蛆预后不良的特征和疾病活动度 </w:t>
      </w:r>
      <w:r>
        <w:rPr>
          <w:color w:val="000000"/>
          <w:spacing w:val="0"/>
          <w:w w:val="100"/>
          <w:position w:val="0"/>
          <w:sz w:val="14"/>
          <w:szCs w:val="14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散!关节炎或颈椎关节炎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160" w:right="0" w:firstLine="20"/>
        <w:jc w:val="left"/>
      </w:pPr>
      <w:r>
        <w:rPr>
          <w:color w:val="000000"/>
          <w:spacing w:val="0"/>
          <w:w w:val="100"/>
          <w:position w:val="0"/>
        </w:rPr>
        <w:t>踝关节炎或腕关节炎和炎症标志物异常水平持续时间延长或升高 放射学检测有损伤的表现（骨质侵蚀或关节间隙缩小）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疾病活动度水平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一个或更少的活动性关节炎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＜3/10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</w:t>
      </w:r>
      <w:r>
        <w:rPr>
          <w:color w:val="000000"/>
          <w:spacing w:val="0"/>
          <w:w w:val="100"/>
          <w:position w:val="0"/>
          <w:sz w:val="13"/>
          <w:szCs w:val="13"/>
        </w:rPr>
        <w:t>7</w:t>
      </w:r>
      <w:r>
        <w:rPr>
          <w:color w:val="000000"/>
          <w:spacing w:val="0"/>
          <w:w w:val="100"/>
          <w:position w:val="0"/>
          <w:sz w:val="14"/>
          <w:szCs w:val="14"/>
        </w:rPr>
        <w:t>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并巨较</w:t>
      </w:r>
      <w:r>
        <w:rPr>
          <w:color w:val="000000"/>
          <w:spacing w:val="0"/>
          <w:w w:val="100"/>
          <w:position w:val="0"/>
        </w:rPr>
        <w:t>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活动性关节炎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"2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"7/10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18" w:val="left"/>
        </w:tabs>
        <w:bidi w:val="0"/>
        <w:spacing w:before="0" w:after="0" w:line="226" w:lineRule="exact"/>
        <w:ind w:left="0" w:right="0" w:firstLine="3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 w:line="299" w:lineRule="exact"/>
        <w:ind w:left="0" w:right="0" w:firstLine="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—5</w:t>
      </w:r>
      <w:r>
        <w:rPr>
          <w:color w:val="000000"/>
          <w:spacing w:val="0"/>
          <w:w w:val="100"/>
          <w:position w:val="0"/>
        </w:rPr>
        <w:t>个关节炎组 这组病例相当于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分类中进 展型少关节炎型、类风湿因子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（RF）</w:t>
      </w:r>
      <w:r>
        <w:rPr>
          <w:color w:val="000000"/>
          <w:spacing w:val="0"/>
          <w:w w:val="100"/>
          <w:position w:val="0"/>
        </w:rPr>
        <w:t>阴性多关节炎型、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RF </w:t>
      </w:r>
      <w:r>
        <w:rPr>
          <w:color w:val="000000"/>
          <w:spacing w:val="0"/>
          <w:w w:val="100"/>
          <w:position w:val="0"/>
        </w:rPr>
        <w:t>阳性多关节炎型、附着点炎症相关型和未分类型的患儿， 整个病程中所累及的关节</w:t>
      </w:r>
      <w:r>
        <w:rPr>
          <w:color w:val="000000"/>
          <w:spacing w:val="0"/>
          <w:w w:val="100"/>
          <w:position w:val="0"/>
          <w:sz w:val="20"/>
          <w:szCs w:val="20"/>
        </w:rPr>
        <w:t>＞5</w:t>
      </w:r>
      <w:r>
        <w:rPr>
          <w:color w:val="000000"/>
          <w:spacing w:val="0"/>
          <w:w w:val="100"/>
          <w:position w:val="0"/>
        </w:rPr>
        <w:t>个。这组患儿就诊时所累 及关节数目不一定勲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个。全身型关节炎或無儲关节炎 患儿将单独列组治疗。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"5</w:t>
      </w:r>
      <w:r>
        <w:rPr>
          <w:color w:val="000000"/>
          <w:spacing w:val="0"/>
          <w:w w:val="100"/>
          <w:position w:val="0"/>
        </w:rPr>
        <w:t>个关节病变的关节炎组预后 不良的特征和疾病活动度，见表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1070" w:bottom="116" w:left="744" w:header="0" w:footer="3" w:gutter="0"/>
          <w:cols w:num="2" w:space="292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</w:rPr>
        <w:t>活动性甑骼关节炎组这组病例包括所有临床和 影像学上具有活动性髄保关节炎的病变。该组预计将包 括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中与附着点炎相关型和银屑病关节炎型,但也可</w:t>
      </w: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0" w:bottom="1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4"/>
        <w:keepNext/>
        <w:keepLines/>
        <w:widowControl w:val="0"/>
        <w:shd w:val="clear" w:color="auto" w:fill="auto"/>
        <w:tabs>
          <w:tab w:pos="8233" w:val="left"/>
        </w:tabs>
        <w:bidi w:val="0"/>
        <w:spacing w:before="0" w:after="0" w:line="240" w:lineRule="auto"/>
        <w:ind w:left="0" w:right="0"/>
        <w:jc w:val="left"/>
      </w:pPr>
      <w:bookmarkStart w:id="4" w:name="bookmark4"/>
      <w:bookmarkStart w:id="5" w:name="bookmark5"/>
      <w:bookmarkStart w:id="6" w:name="bookmark6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SimSun" w:eastAsia="SimSun" w:hAnsi="SimSun" w:cs="SimSun"/>
          <w:i/>
          <w:iCs/>
          <w:color w:val="335291"/>
          <w:spacing w:val="0"/>
          <w:w w:val="100"/>
          <w:position w:val="0"/>
          <w:sz w:val="19"/>
          <w:szCs w:val="19"/>
          <w:lang w:val="zh-TW" w:eastAsia="zh-TW" w:bidi="zh-TW"/>
        </w:rPr>
        <w:t>底豚</w:t>
      </w:r>
      <w:r>
        <w:rPr>
          <w:rFonts w:ascii="SimSun" w:eastAsia="SimSun" w:hAnsi="SimSun" w:cs="SimSun"/>
          <w:b/>
          <w:bCs/>
          <w:i/>
          <w:iCs/>
          <w:color w:val="335291"/>
          <w:spacing w:val="0"/>
          <w:w w:val="100"/>
          <w:position w:val="0"/>
          <w:sz w:val="19"/>
          <w:szCs w:val="19"/>
          <w:lang w:val="en-US" w:eastAsia="en-US" w:bidi="en-US"/>
        </w:rPr>
        <w:t>i</w:t>
      </w:r>
      <w:r>
        <w:rPr>
          <w:rFonts w:ascii="SimSun" w:eastAsia="SimSun" w:hAnsi="SimSun" w:cs="SimSun"/>
          <w:i/>
          <w:iCs/>
          <w:color w:val="335291"/>
          <w:spacing w:val="0"/>
          <w:w w:val="100"/>
          <w:position w:val="0"/>
          <w:sz w:val="19"/>
          <w:szCs w:val="19"/>
          <w:lang w:val="zh-TW" w:eastAsia="zh-TW" w:bidi="zh-TW"/>
        </w:rPr>
        <w:t>甬</w:t>
      </w:r>
      <w:r>
        <w:rPr>
          <w:rFonts w:ascii="Times New Roman" w:eastAsia="Times New Roman" w:hAnsi="Times New Roman" w:cs="Times New Roman"/>
          <w:color w:val="335291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guide.medlive.cn</w:t>
      </w:r>
      <w:bookmarkEnd w:id="4"/>
      <w:bookmarkEnd w:id="5"/>
      <w:bookmarkEnd w:id="6"/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701" w:bottom="116" w:left="74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335291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medlive.cn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both"/>
        <w:sectPr>
          <w:headerReference w:type="default" r:id="rId6"/>
          <w:foot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1126" w:right="735" w:bottom="264" w:left="1047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 xml:space="preserve">1690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能包括来自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任何类型的患儿。甑骼关节炎组预后 不良的特征和疾病活动度，见表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</w:rPr>
        <w:t>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  <w:u w:val="single"/>
        </w:rPr>
        <w:t xml:space="preserve">个关节病变的关节炎组预后不良的特征和疾病活动度 </w:t>
      </w:r>
      <w:r>
        <w:rPr>
          <w:color w:val="000000"/>
          <w:spacing w:val="0"/>
          <w:w w:val="100"/>
          <w:position w:val="0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饒关节炎或颈椎关节炎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阳性或抗环瓜氨酸肽抗体阳性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放射学检测有损伤的表现（骨质侵蚀或关节间隙缩小）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疾病活动度水平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</w:rPr>
        <w:t>4</w:t>
      </w:r>
      <w:r>
        <w:rPr>
          <w:color w:val="000000"/>
          <w:spacing w:val="0"/>
          <w:w w:val="100"/>
          <w:position w:val="0"/>
        </w:rPr>
        <w:t>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医师檳体评估疾病活动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并且较高度疾病活动标准特征少于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活动性关节炎</w:t>
      </w:r>
      <w:r>
        <w:rPr>
          <w:color w:val="000000"/>
          <w:spacing w:val="0"/>
          <w:w w:val="100"/>
          <w:position w:val="0"/>
          <w:sz w:val="13"/>
          <w:szCs w:val="13"/>
        </w:rPr>
        <w:t>＞8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＞7/10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3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b/>
          <w:bCs/>
          <w:color w:val="000000"/>
          <w:spacing w:val="0"/>
          <w:w w:val="100"/>
          <w:position w:val="0"/>
        </w:rPr>
        <w:t>舐</w:t>
      </w:r>
      <w:r>
        <w:rPr>
          <w:color w:val="000000"/>
          <w:spacing w:val="0"/>
          <w:w w:val="100"/>
          <w:position w:val="0"/>
        </w:rPr>
        <w:t>膳关节炎组预后不良的特征和疾病活动度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预后不良特征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任一关节的放射学检测有损伤的表现（糜烂或关节间隙狭窄） 疾病活动水平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正常背屈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并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2=7/10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L4</w:t>
      </w:r>
      <w:r>
        <w:rPr>
          <w:color w:val="000000"/>
          <w:spacing w:val="0"/>
          <w:w w:val="100"/>
          <w:position w:val="0"/>
        </w:rPr>
        <w:t>全身型关节炎具有全身症状组（无关节炎症状） 这组包括所有符合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1LAR</w:t>
      </w:r>
      <w:r>
        <w:rPr>
          <w:color w:val="000000"/>
          <w:spacing w:val="0"/>
          <w:w w:val="100"/>
          <w:position w:val="0"/>
        </w:rPr>
        <w:t>中全身型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标准的患儿，具有 发热，伴或不伴其他全身症状，但无关节炎症状。伴有全 身症状（但无关节症状）的全身型关节炎预后不良的特征 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伴有全身症状（但无关节症状）的全身型关节炎预后不良的特征 和疾病活动度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预后不良特征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160" w:right="0" w:firstLine="20"/>
        <w:jc w:val="both"/>
      </w:pPr>
      <w:r>
        <w:rPr>
          <w:color w:val="000000"/>
          <w:spacing w:val="0"/>
          <w:w w:val="100"/>
          <w:position w:val="0"/>
          <w:sz w:val="13"/>
          <w:szCs w:val="13"/>
        </w:rPr>
        <w:t>6</w:t>
      </w:r>
      <w:r>
        <w:rPr>
          <w:color w:val="000000"/>
          <w:spacing w:val="0"/>
          <w:w w:val="100"/>
          <w:position w:val="0"/>
        </w:rPr>
        <w:t>个月内出现显著活动的表现:发热，炎症指标升高，或是需要进行全 身性糖皮质激素治疗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疾病活动水平</w:t>
      </w:r>
      <w:r>
        <w:rPr>
          <w:color w:val="000000"/>
          <w:spacing w:val="0"/>
          <w:w w:val="100"/>
          <w:position w:val="0"/>
          <w:sz w:val="13"/>
          <w:szCs w:val="13"/>
        </w:rPr>
        <w:t>（2</w:t>
      </w:r>
      <w:r>
        <w:rPr>
          <w:color w:val="000000"/>
          <w:spacing w:val="0"/>
          <w:w w:val="100"/>
          <w:position w:val="0"/>
        </w:rPr>
        <w:t>个等级）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 xml:space="preserve">活动性发热和医师整体评估疾病活动＜ </w:t>
      </w:r>
      <w:r>
        <w:rPr>
          <w:color w:val="000000"/>
          <w:spacing w:val="0"/>
          <w:w w:val="100"/>
          <w:position w:val="0"/>
          <w:sz w:val="13"/>
          <w:szCs w:val="13"/>
        </w:rPr>
        <w:t>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26" w:lineRule="exact"/>
        <w:ind w:left="160" w:right="0" w:firstLine="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 xml:space="preserve">活动性发热和高度疾病活动特征（如明显的浆膜炎等），这些病变特 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征导致灰师整体评估疾病活动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  <w:lang w:val="en-US" w:eastAsia="en-US" w:bidi="en-US"/>
        </w:rPr>
        <w:t>N7/10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313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L5</w:t>
      </w:r>
      <w:r>
        <w:rPr>
          <w:color w:val="000000"/>
          <w:spacing w:val="0"/>
          <w:w w:val="100"/>
          <w:position w:val="0"/>
        </w:rPr>
        <w:t>全身型关节炎具有关节炎症状组（无全身症状）~ 这组包括所有符合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中全身型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标准的患儿，具有 关节症状，但无全身症状。其中也包括这种临床表型的 患儿全身症状自发缓解，或开始使用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药物后全身 症状立即缓解，但关节症状持续的患儿。伴有关节症状 （但无全身症状）的全身型关节炎预后不良的特征和疾病 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i/>
          <w:iCs/>
          <w:color w:val="000000"/>
          <w:spacing w:val="0"/>
          <w:w w:val="100"/>
          <w:position w:val="0"/>
        </w:rPr>
        <w:t>万</w:t>
      </w:r>
      <w:r>
        <w:rPr>
          <w:i/>
          <w:iCs/>
          <w:color w:val="271D1B"/>
          <w:spacing w:val="0"/>
          <w:w w:val="100"/>
          <w:position w:val="0"/>
        </w:rPr>
        <w:t>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335291"/>
          <w:spacing w:val="0"/>
          <w:w w:val="100"/>
          <w:position w:val="0"/>
        </w:rPr>
        <w:t>區脉</w:t>
      </w:r>
      <w:r>
        <w:rPr>
          <w:b/>
          <w:bCs/>
          <w:i/>
          <w:iCs/>
          <w:color w:val="335291"/>
          <w:spacing w:val="0"/>
          <w:w w:val="100"/>
          <w:position w:val="0"/>
        </w:rPr>
        <w:t>1</w:t>
      </w:r>
      <w:r>
        <w:rPr>
          <w:i/>
          <w:iCs/>
          <w:color w:val="335291"/>
          <w:spacing w:val="0"/>
          <w:w w:val="100"/>
          <w:position w:val="0"/>
        </w:rPr>
        <w:t>虽</w:t>
      </w:r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rFonts w:ascii="SimSun" w:eastAsia="SimSun" w:hAnsi="SimSun" w:cs="SimSun"/>
          <w:b w:val="0"/>
          <w:bCs w:val="0"/>
          <w:i w:val="0"/>
          <w:iCs w:val="0"/>
          <w:color w:val="335291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mpdlivfi.cn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19" w:val="left"/>
        </w:tabs>
        <w:bidi w:val="0"/>
        <w:spacing w:before="0" w:after="0" w:line="2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*5</w:t>
      </w:r>
      <w:r>
        <w:rPr>
          <w:color w:val="000000"/>
          <w:spacing w:val="0"/>
          <w:w w:val="100"/>
          <w:position w:val="0"/>
        </w:rPr>
        <w:t xml:space="preserve">伴有关节症状（但无全身症状）的全身型关节炎预后不良的特征 </w:t>
      </w:r>
      <w:r>
        <w:rPr>
          <w:color w:val="000000"/>
          <w:spacing w:val="0"/>
          <w:w w:val="100"/>
          <w:position w:val="0"/>
          <w:u w:val="single"/>
        </w:rPr>
        <w:t>和疾病活动度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儀关节炎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放射学检测有损伤的表现（糜烂或关节间隙狭窄） 疾病活动水平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</w:rPr>
        <w:t>4</w:t>
      </w:r>
      <w:r>
        <w:rPr>
          <w:color w:val="000000"/>
          <w:spacing w:val="0"/>
          <w:w w:val="100"/>
          <w:position w:val="0"/>
        </w:rPr>
        <w:t>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200" w:right="0" w:firstLine="180"/>
        <w:jc w:val="left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 并且较高度疾病活动标准特征少于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 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</w:rPr>
        <w:t>8</w:t>
      </w:r>
      <w:r>
        <w:rPr>
          <w:color w:val="000000"/>
          <w:spacing w:val="0"/>
          <w:w w:val="100"/>
          <w:position w:val="0"/>
        </w:rPr>
        <w:t>个或更多的活动性关节炎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医師整体评估疾病活动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＞7/10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19" w:val="left"/>
        </w:tabs>
        <w:bidi w:val="0"/>
        <w:spacing w:before="0" w:after="0" w:line="222" w:lineRule="exact"/>
        <w:ind w:left="0" w:right="0" w:firstLine="36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5/10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该治疗建议强调临床医师在治疗过程中需要对疾病 的活动度有明确界定，以便作出合理的治疗选择。而且 该建议明确将处于病情活动状态的关节和活动性关节炎 定义为关节处于肿胀（非畸形或活动受限）和疼痛或伴有 触痛的状态;活动性发热指因全身型关节炎病情活动而 表现出的发热症状。当临床医师评估目前疗效时，也应 优先考虑该患儿的病情活动等级,而不是开始就去了解 目前用药方案，根据该患儿的目前病情活动水平而考虑 启动新的治疗方案。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关于治疗用药定义的解析: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指在美国临床实 践中常用的所有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NSAIDs,</w:t>
      </w:r>
      <w:r>
        <w:rPr>
          <w:color w:val="000000"/>
          <w:spacing w:val="0"/>
          <w:w w:val="100"/>
          <w:position w:val="0"/>
        </w:rPr>
        <w:t>其中包括选择性环氧化酶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抑 制剂,但不包括阿司匹林。钙调磷酸酶抑制剂指环抱素 和他克莫司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;TNF-a</w:t>
      </w:r>
      <w:r>
        <w:rPr>
          <w:color w:val="000000"/>
          <w:spacing w:val="0"/>
          <w:w w:val="100"/>
          <w:position w:val="0"/>
        </w:rPr>
        <w:t xml:space="preserve">阻滞剂包括阿达木、依那西普和英夫 利昔单抗等。对于所有临床评估药物疗效需基于患儿所 接受的剂量进行。值得注意的是，建议中甲氨蝶吟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（MTX）</w:t>
      </w:r>
      <w:r>
        <w:rPr>
          <w:color w:val="000000"/>
          <w:spacing w:val="0"/>
          <w:w w:val="100"/>
          <w:position w:val="0"/>
        </w:rPr>
        <w:t xml:space="preserve">的剂量定为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15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 • in'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（0.6 mg • kg"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并建议 经非肠道途径给药。建议中还提出当考虑釆用新治疗措 施时，所有治疗方案可以选用单一的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药物作为辅 助用药。还要明确指出当前治疗方案所需的时间；如要 评估治疗的临床反应，则要明确界定需要足够的治疗时 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 xml:space="preserve">2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 xml:space="preserve">根据循证医学的原则，提出了建议的更新要点。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关节腔内注射糖皮质激素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（IAS）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为活动性 关节炎的普遍适用局部疗法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14" w:lineRule="exact"/>
        <w:ind w:left="0" w:right="0" w:firstLine="0"/>
        <w:jc w:val="both"/>
      </w:pPr>
      <w:bookmarkStart w:id="7" w:name="bookmark7"/>
      <w:bookmarkEnd w:id="7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IAS 1AS</w:t>
      </w:r>
      <w:r>
        <w:rPr>
          <w:color w:val="000000"/>
          <w:spacing w:val="0"/>
          <w:w w:val="100"/>
          <w:position w:val="0"/>
        </w:rPr>
        <w:t>适用于不同类型的活动性关节炎，所 使用的药物必须是乙酸丙炎松，该种药物已被证明疗效 优异。疗效应至少持续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</w:rPr>
        <w:t>，4</w:t>
      </w:r>
      <w:r>
        <w:rPr>
          <w:color w:val="000000"/>
          <w:spacing w:val="0"/>
          <w:w w:val="100"/>
          <w:position w:val="0"/>
        </w:rPr>
        <w:t>个月后可按需反复多 次，如无效或疗效小于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个月往往提示需要增强全身系 统性治疗药物。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07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26" w:right="735" w:bottom="264" w:left="1047" w:header="0" w:footer="3" w:gutter="0"/>
          <w:cols w:num="2" w:space="288"/>
          <w:noEndnote/>
          <w:rtlGutter w:val="0"/>
          <w:docGrid w:linePitch="360"/>
        </w:sectPr>
      </w:pPr>
      <w:bookmarkStart w:id="8" w:name="bookmark8"/>
      <w:bookmarkEnd w:id="8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对于病史中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有疗效的患者，即使采 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抑制剂治疗,仍应继续使用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MTX；</w:t>
      </w:r>
      <w:r>
        <w:rPr>
          <w:color w:val="000000"/>
          <w:spacing w:val="0"/>
          <w:w w:val="100"/>
          <w:position w:val="0"/>
        </w:rPr>
        <w:t>而对于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完全无效患者，建议仍然倾向于继续使用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MTX,</w:t>
      </w:r>
      <w:r>
        <w:rPr>
          <w:color w:val="000000"/>
          <w:spacing w:val="0"/>
          <w:w w:val="100"/>
          <w:position w:val="0"/>
        </w:rPr>
        <w:t>主要理由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可以减少抗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抑制剂抗体的产生。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起始治疗建议主要根据前述关节炎不同分类而 制定具体治疗方案，但即使在同一分类中,也可根据疾病 活动性和影响预后因素分为不同情况，采用不同治疗方 案。考虑到不同药物可以有相同的适应证，有可能同时 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种或以上药物。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2.2.1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个关节炎组治疗推荐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 疗:适用于疾病活动性低，无关节畸形，无预后不良因素。 如治疗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个月后，患者关节炎仍然有活动,则不管有无影 响预后的因素，必须加用其他治疗。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（2）IAS</w:t>
      </w:r>
      <w:r>
        <w:rPr>
          <w:color w:val="000000"/>
          <w:spacing w:val="0"/>
          <w:w w:val="100"/>
          <w:position w:val="0"/>
        </w:rPr>
        <w:t xml:space="preserve">治疗:适用 于所有活动性关节炎，不论其活动性高低，影响预后因素 和关节畸形。需强调，该种方法必须使用乙酸丙炎松。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（3）MTX：</w:t>
      </w:r>
      <w:r>
        <w:rPr>
          <w:color w:val="000000"/>
          <w:spacing w:val="0"/>
          <w:w w:val="100"/>
          <w:position w:val="0"/>
        </w:rPr>
        <w:t>关节炎活动性高并伴有预后不良因素，则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为一线用药。在使用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初次治疗后，关节炎活动性中 （伴有预后不良因素）-高（不伴有预后不良因素），可进 一步使用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MTX；IAS</w:t>
      </w:r>
      <w:r>
        <w:rPr>
          <w:color w:val="000000"/>
          <w:spacing w:val="0"/>
          <w:w w:val="100"/>
          <w:position w:val="0"/>
        </w:rPr>
        <w:t>反复治疗后，关节炎活动性低（伴有 预后不良因素）-中（不伴有预后不良因素），可进一步 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（4）</w:t>
      </w:r>
      <w:r>
        <w:rPr>
          <w:color w:val="000000"/>
          <w:spacing w:val="0"/>
          <w:w w:val="100"/>
          <w:position w:val="0"/>
        </w:rPr>
        <w:t>柳氮磺胺毗嚏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（SASP）：</w:t>
      </w:r>
      <w:r>
        <w:rPr>
          <w:color w:val="000000"/>
          <w:spacing w:val="0"/>
          <w:w w:val="100"/>
          <w:position w:val="0"/>
        </w:rPr>
        <w:t>适用于附着点相 关关节炎，患者如已经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治疗后，疾病活动 性仍然为中度附着点相关关节炎以上，无论有无预后不 良因素，均可以使用。对于非附着点相关关节炎患者,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的疗效尚不确定。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（5）TNF-a</w:t>
      </w:r>
      <w:r>
        <w:rPr>
          <w:color w:val="000000"/>
          <w:spacing w:val="0"/>
          <w:w w:val="100"/>
          <w:position w:val="0"/>
        </w:rPr>
        <w:t>抑制剂：推荐用这些 患者已经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个月以上足量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治疗，而患儿仍有 关节炎处于中到高度的活动性伴预后不良因素;也适用 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治疗,而关节炎处于高度活动性不 伴有预后不良因素的患儿。此外，附着点相关关节炎患 儿已经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 xml:space="preserve">治疗后，仍然处于中-高度活动性不 </w:t>
      </w:r>
      <w:r>
        <w:rPr>
          <w:color w:val="000000"/>
          <w:spacing w:val="0"/>
          <w:w w:val="100"/>
          <w:position w:val="0"/>
        </w:rPr>
        <w:t>论其有无影响预后因素均推荐使用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（6） </w:t>
      </w:r>
      <w:r>
        <w:rPr>
          <w:color w:val="000000"/>
          <w:spacing w:val="0"/>
          <w:w w:val="100"/>
          <w:position w:val="0"/>
        </w:rPr>
        <w:t>对于是否单独使用羟氯唾（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HCQ）</w:t>
      </w:r>
      <w:r>
        <w:rPr>
          <w:color w:val="000000"/>
          <w:spacing w:val="0"/>
          <w:w w:val="100"/>
          <w:position w:val="0"/>
        </w:rPr>
        <w:t>治疗活动性关节炎目前 认为不恰当;是否需要来氟米特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LEF）</w:t>
      </w:r>
      <w:r>
        <w:rPr>
          <w:color w:val="000000"/>
          <w:spacing w:val="0"/>
          <w:w w:val="100"/>
          <w:position w:val="0"/>
        </w:rPr>
        <w:t>治疗仍未确定;是 否需要联合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种免疫抑制剂治疗也仍未确定。整体治疗 策略，见图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  <w:sectPr>
          <w:headerReference w:type="default" r:id="rId8"/>
          <w:footerReference w:type="default" r:id="rId9"/>
          <w:footnotePr>
            <w:pos w:val="pageBottom"/>
            <w:numFmt w:val="decimal"/>
            <w:numRestart w:val="continuous"/>
          </w:footnotePr>
          <w:pgSz w:w="11900" w:h="16840"/>
          <w:pgMar w:top="1426" w:right="1032" w:bottom="259" w:left="773" w:header="0" w:footer="3" w:gutter="0"/>
          <w:cols w:num="2" w:space="3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适的。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（2）MTX：MTX</w:t>
      </w:r>
      <w:r>
        <w:rPr>
          <w:color w:val="000000"/>
          <w:spacing w:val="0"/>
          <w:w w:val="100"/>
          <w:position w:val="0"/>
        </w:rPr>
        <w:t>适用于疾病高度活动（不伴有预后 不良因素）或疾病中度活动（伴有预后不良因素）。在使 用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后,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也适用于疾病低度活动（伴有 预后不良因素）；在使用</w:t>
      </w:r>
      <w:r>
        <w:rPr>
          <w:color w:val="000000"/>
          <w:spacing w:val="0"/>
          <w:w w:val="100"/>
          <w:position w:val="0"/>
          <w:sz w:val="20"/>
          <w:szCs w:val="20"/>
        </w:rPr>
        <w:t>1 ~2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后,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也适 用于疾病中度活动（不伴预后不良因素）。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（3）LEF：</w:t>
      </w:r>
      <w:r>
        <w:rPr>
          <w:color w:val="000000"/>
          <w:spacing w:val="0"/>
          <w:w w:val="100"/>
          <w:position w:val="0"/>
        </w:rPr>
        <w:t>由于 更多的资料和个人经验，更倾向于建议使用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而不是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但是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</w:rPr>
        <w:t>也被推荐作为一线用药用于疾病高度活 动（伴有预后不良因素）的患儿。在短暂试用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 疗后，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</w:rPr>
        <w:t>也适用于疾病高度活动（不伴有预后不良因 素）或疾病中度活动（伴有预后不良因素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）□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（4）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TNF-a </w:t>
      </w:r>
      <w:r>
        <w:rPr>
          <w:color w:val="000000"/>
          <w:spacing w:val="0"/>
          <w:w w:val="100"/>
          <w:position w:val="0"/>
        </w:rPr>
        <w:t>抑制剂:适用于经过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LEF3</w:t>
      </w:r>
      <w:r>
        <w:rPr>
          <w:color w:val="000000"/>
          <w:spacing w:val="0"/>
          <w:w w:val="100"/>
          <w:position w:val="0"/>
        </w:rPr>
        <w:t xml:space="preserve">个月治疗，疾病仍然 处于中-高度活动,不论其有无预后不良因素;也适用于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LEF 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个月治疗，疾病仍然处于低度活动,不论其 有无预后不良因素。从一种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抑制剂转变为另一种 时，需经过前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个月以上,疾病仍 处于中-高度活动,不论其有无预后不良因素;或前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种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个月以上,疾病仍处于高度活动，有 预后不良因素;或已经阿贝西普治疗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个月以上疾病仍 然处于中-高度活动，不论其有无预后不良因素。</w:t>
      </w:r>
      <w:r>
        <w:rPr>
          <w:color w:val="000000"/>
          <w:spacing w:val="0"/>
          <w:w w:val="100"/>
          <w:position w:val="0"/>
          <w:sz w:val="20"/>
          <w:szCs w:val="20"/>
        </w:rPr>
        <w:t>（5）</w:t>
      </w:r>
      <w:r>
        <w:rPr>
          <w:color w:val="000000"/>
          <w:spacing w:val="0"/>
          <w:w w:val="100"/>
          <w:position w:val="0"/>
        </w:rPr>
        <w:t>阿 贝西普:适用于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个月以上，疾病仍然 处于高度活动，不论其有无预后不良因素或中度活动伴 预后不良因素。也适用于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抑制剂序贯治疗 后,疾病仍然处于中-高度活动，不论其有无预后不良因 素或低度活动伴预后不良因素。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 xml:space="preserve">利妥昔单抗:适用于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抑制剂和阿贝西普序贯治疗后，疾病仍然处于高 度活动不论有无预后不良因素或中度活动伴预后不良因 素。建议更倾向于利妥昔单抗适合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阳性患儿。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（7） </w:t>
      </w:r>
      <w:r>
        <w:rPr>
          <w:color w:val="000000"/>
          <w:spacing w:val="0"/>
          <w:w w:val="100"/>
          <w:position w:val="0"/>
        </w:rPr>
        <w:t>阿那白滞素：未有资料评估该药。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（8）HCQ：</w:t>
      </w:r>
      <w:r>
        <w:rPr>
          <w:color w:val="000000"/>
          <w:spacing w:val="0"/>
          <w:w w:val="100"/>
          <w:position w:val="0"/>
        </w:rPr>
        <w:t xml:space="preserve">单独使用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HCQ</w:t>
      </w:r>
      <w:r>
        <w:rPr>
          <w:color w:val="000000"/>
          <w:spacing w:val="0"/>
          <w:w w:val="100"/>
          <w:position w:val="0"/>
        </w:rPr>
        <w:t>治疗活动性关节炎建议认为不恰当。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（9）SASP：</w:t>
      </w:r>
      <w:r>
        <w:rPr>
          <w:color w:val="000000"/>
          <w:spacing w:val="0"/>
          <w:w w:val="100"/>
          <w:position w:val="0"/>
        </w:rPr>
        <w:t>疗 效未确定建议未将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</w:rPr>
        <w:t>个关节炎症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ERA</w:t>
      </w:r>
      <w:r>
        <w:rPr>
          <w:color w:val="000000"/>
          <w:spacing w:val="0"/>
          <w:w w:val="100"/>
          <w:position w:val="0"/>
        </w:rPr>
        <w:t>患儿单独列出进 行评估。</w:t>
      </w:r>
      <w:r>
        <w:rPr>
          <w:color w:val="000000"/>
          <w:spacing w:val="0"/>
          <w:w w:val="100"/>
          <w:position w:val="0"/>
          <w:sz w:val="20"/>
          <w:szCs w:val="20"/>
        </w:rPr>
        <w:t>（10）</w:t>
      </w:r>
      <w:r>
        <w:rPr>
          <w:color w:val="000000"/>
          <w:spacing w:val="0"/>
          <w:w w:val="100"/>
          <w:position w:val="0"/>
        </w:rPr>
        <w:t>联合使用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种免疫抑制剂治疗仍然不确 定。治疗策略，见图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4861560</wp:posOffset>
                </wp:positionH>
                <wp:positionV relativeFrom="paragraph">
                  <wp:posOffset>12700</wp:posOffset>
                </wp:positionV>
                <wp:extent cx="521335" cy="121920"/>
                <wp:wrapSquare wrapText="bothSides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335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个关艺炎症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82.80000000000001pt;margin-top:1.pt;width:41.050000000000004pt;height:9.5999999999999996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个关艺炎症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4243" w:bottom="259" w:left="77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个关节炎症</w:t>
      </w:r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0" w:bottom="259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406525" simplePos="0" relativeHeight="125829380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216535</wp:posOffset>
            </wp:positionV>
            <wp:extent cx="932815" cy="676910"/>
            <wp:wrapTopAndBottom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932815" cy="6769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2167890</wp:posOffset>
                </wp:positionH>
                <wp:positionV relativeFrom="paragraph">
                  <wp:posOffset>521335</wp:posOffset>
                </wp:positionV>
                <wp:extent cx="1197610" cy="2927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9761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61" w:val="left"/>
                              </w:tabs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»</w:t>
                              <w:tab/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NSAIDs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治疗</w:t>
                            </w:r>
                          </w:p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14" w:val="left"/>
                              </w:tabs>
                              <w:bidi w:val="0"/>
                              <w:spacing w:before="0" w:after="0" w:line="134" w:lineRule="exact"/>
                              <w:ind w:left="0" w:right="0" w:firstLine="5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疾病活动性：低、中、高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、、</w:t>
                              <w:tab/>
                              <w:t>预后不良因素：不论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70.70000000000002pt;margin-top:41.050000000000004pt;width:94.299999999999997pt;height:23.0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61" w:val="left"/>
                        </w:tabs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»</w:t>
                        <w:tab/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NSAIDs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治疗</w:t>
                      </w:r>
                    </w:p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14" w:val="left"/>
                        </w:tabs>
                        <w:bidi w:val="0"/>
                        <w:spacing w:before="0" w:after="0" w:line="134" w:lineRule="exact"/>
                        <w:ind w:left="0" w:right="0" w:firstLine="5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疾病活动性：低、中、高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、、</w:t>
                        <w:tab/>
                        <w:t>预后不良因素：不论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764540" distL="537210" distR="419100" simplePos="0" relativeHeight="125829381" behindDoc="0" locked="0" layoutInCell="1" allowOverlap="1">
                <wp:simplePos x="0" y="0"/>
                <wp:positionH relativeFrom="page">
                  <wp:posOffset>2505710</wp:posOffset>
                </wp:positionH>
                <wp:positionV relativeFrom="paragraph">
                  <wp:posOffset>307975</wp:posOffset>
                </wp:positionV>
                <wp:extent cx="557530" cy="113030"/>
                <wp:wrapSquare wrapText="left"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7530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单一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NSAIDs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治疗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97.30000000000001pt;margin-top:24.25pt;width:43.899999999999999pt;height:8.9000000000000004pt;z-index:-125829372;mso-wrap-distance-left:42.300000000000004pt;mso-wrap-distance-right:33.pt;mso-wrap-distance-bottom:60.200000000000003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单一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NSAIDs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治疗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575945" distB="0" distL="101600" distR="101600" simplePos="0" relativeHeight="125829383" behindDoc="0" locked="0" layoutInCell="1" allowOverlap="1">
                <wp:simplePos x="0" y="0"/>
                <wp:positionH relativeFrom="page">
                  <wp:posOffset>2070100</wp:posOffset>
                </wp:positionH>
                <wp:positionV relativeFrom="paragraph">
                  <wp:posOffset>883920</wp:posOffset>
                </wp:positionV>
                <wp:extent cx="1310640" cy="301625"/>
                <wp:wrapSquare wrapText="left"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10640" cy="301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反复应用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IAS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后</w:t>
                            </w:r>
                          </w:p>
                          <w:p>
                            <w:pPr>
                              <w:pStyle w:val="Style5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疾病活动性：中，预后变是因素：存在 疾病活动性：高，预后变差因素：不论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63.pt;margin-top:69.600000000000009pt;width:103.2pt;height:23.75pt;z-index:-125829370;mso-wrap-distance-left:8.pt;mso-wrap-distance-top:45.350000000000001pt;mso-wrap-distance-right:8.pt;mso-position-horizontal-relative:page" filled="f" stroked="f">
                <v:textbox inset="0,0,0,0">
                  <w:txbxContent>
                    <w:p>
                      <w:pPr>
                        <w:pStyle w:val="Style5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反复应用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IAS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后</w:t>
                      </w:r>
                    </w:p>
                    <w:p>
                      <w:pPr>
                        <w:pStyle w:val="Style5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疾病活动性：中，预后变是因素：存在 疾病活动性：高，预后变差因素：不论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drawing>
          <wp:anchor distT="0" distB="109855" distL="618490" distR="0" simplePos="0" relativeHeight="125829385" behindDoc="0" locked="0" layoutInCell="1" allowOverlap="1">
            <wp:simplePos x="0" y="0"/>
            <wp:positionH relativeFrom="page">
              <wp:posOffset>1576070</wp:posOffset>
            </wp:positionH>
            <wp:positionV relativeFrom="paragraph">
              <wp:posOffset>1271270</wp:posOffset>
            </wp:positionV>
            <wp:extent cx="1017905" cy="597535"/>
            <wp:wrapTight wrapText="right">
              <wp:wrapPolygon>
                <wp:start x="0" y="0"/>
                <wp:lineTo x="21406" y="0"/>
                <wp:lineTo x="21406" y="331"/>
                <wp:lineTo x="21600" y="331"/>
                <wp:lineTo x="21600" y="6833"/>
                <wp:lineTo x="21406" y="6833"/>
                <wp:lineTo x="21406" y="12453"/>
                <wp:lineTo x="17461" y="12453"/>
                <wp:lineTo x="17461" y="21600"/>
                <wp:lineTo x="1487" y="21600"/>
                <wp:lineTo x="1487" y="12453"/>
                <wp:lineTo x="0" y="12453"/>
                <wp:lineTo x="0" y="0"/>
              </wp:wrapPolygon>
            </wp:wrapTight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017905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1871980</wp:posOffset>
                </wp:positionV>
                <wp:extent cx="628015" cy="10668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015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TNF-a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抑制剂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32.pt;margin-top:147.40000000000001pt;width:49.450000000000003pt;height:8.4000000000000004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TNF-a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抑制剂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957580</wp:posOffset>
                </wp:positionH>
                <wp:positionV relativeFrom="paragraph">
                  <wp:posOffset>1454150</wp:posOffset>
                </wp:positionV>
                <wp:extent cx="709930" cy="37211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2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MTX3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个月后 疾病活动性：中或高 预后变差因素：存在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75.400000000000006pt;margin-top:114.5pt;width:55.899999999999999pt;height:29.30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2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应用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MTX3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个月后 疾病活动性：中或高 预后变差因素：存在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435610" distL="243840" distR="438785" simplePos="0" relativeHeight="125829386" behindDoc="0" locked="0" layoutInCell="1" allowOverlap="1">
            <wp:simplePos x="0" y="0"/>
            <wp:positionH relativeFrom="page">
              <wp:posOffset>4559935</wp:posOffset>
            </wp:positionH>
            <wp:positionV relativeFrom="paragraph">
              <wp:posOffset>466090</wp:posOffset>
            </wp:positionV>
            <wp:extent cx="1121410" cy="847090"/>
            <wp:wrapTight wrapText="left">
              <wp:wrapPolygon>
                <wp:start x="0" y="0"/>
                <wp:lineTo x="21600" y="0"/>
                <wp:lineTo x="21600" y="11619"/>
                <wp:lineTo x="14791" y="11619"/>
                <wp:lineTo x="14791" y="14660"/>
                <wp:lineTo x="13676" y="14660"/>
                <wp:lineTo x="13676" y="21600"/>
                <wp:lineTo x="7102" y="21600"/>
                <wp:lineTo x="7102" y="14660"/>
                <wp:lineTo x="4109" y="14660"/>
                <wp:lineTo x="4109" y="11619"/>
                <wp:lineTo x="0" y="11619"/>
                <wp:lineTo x="0" y="0"/>
              </wp:wrapPolygon>
            </wp:wrapTight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1121410" cy="8470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4812665</wp:posOffset>
                </wp:positionH>
                <wp:positionV relativeFrom="paragraph">
                  <wp:posOffset>1304290</wp:posOffset>
                </wp:positionV>
                <wp:extent cx="628015" cy="109855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01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因子抑制剤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78.94999999999999pt;margin-top:102.7pt;width:49.450000000000003pt;height:8.650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因子抑制剤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5248910</wp:posOffset>
                </wp:positionH>
                <wp:positionV relativeFrom="paragraph">
                  <wp:posOffset>895985</wp:posOffset>
                </wp:positionV>
                <wp:extent cx="871855" cy="362585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1855" cy="3625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5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MTX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治疗后 疾病活动性：低 预后不良因素；不论有无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13.30000000000001pt;margin-top:70.549999999999997pt;width:68.650000000000006pt;height:28.55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5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MTX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治疗后 疾病活动性：低 预后不良因素；不论有无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4316095</wp:posOffset>
                </wp:positionH>
                <wp:positionV relativeFrom="paragraph">
                  <wp:posOffset>1526540</wp:posOffset>
                </wp:positionV>
                <wp:extent cx="1624330" cy="21971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433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TNF-a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抑制剤治疗</w:t>
                            </w:r>
                          </w:p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疾病活动性：中，高；預后不良因素；不论有无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339.85000000000002pt;margin-top:120.2pt;width:127.90000000000001pt;height:17.300000000000001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TNF-a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抑制剤治疗</w:t>
                      </w:r>
                    </w:p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疾病活动性：中，高；預后不良因素；不论有无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749" w:val="left"/>
        </w:tabs>
        <w:bidi w:val="0"/>
        <w:spacing w:before="0" w:line="240" w:lineRule="auto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疾病活动性：高</w:t>
        <w:tab/>
        <w:t>疾病活动性：低，中、高疾病活动性：低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预后不良因素：存在预后不良因素：不论有无预后不良因素：无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15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初步应用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</w:rPr>
        <w:t>后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300" w:line="15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疾病活动性：中，预后变差因素：存在</w:t>
        <w:br/>
        <w:t>疾病活动性：高，预后变差因素：</w:t>
        <w:br/>
        <w:t>不论有无</w:t>
        <w:br/>
      </w:r>
      <w:r>
        <w:rPr>
          <w:color w:val="000000"/>
          <w:spacing w:val="0"/>
          <w:w w:val="100"/>
          <w:position w:val="0"/>
        </w:rPr>
        <w:t>应用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个月后</w:t>
        <w:br/>
        <w:t>疾病活动性：高</w:t>
        <w:br/>
        <w:t>預后变差因素：不论有无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个关节病变的关节炎组的治</w:t>
      </w:r>
      <w:r>
        <w:rPr>
          <w:b/>
          <w:bCs/>
          <w:color w:val="000000"/>
          <w:spacing w:val="0"/>
          <w:w w:val="100"/>
          <w:position w:val="0"/>
        </w:rPr>
        <w:t>疗建议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37" w:val="left"/>
        </w:tabs>
        <w:bidi w:val="0"/>
        <w:spacing w:before="0" w:after="40" w:line="240" w:lineRule="auto"/>
        <w:ind w:left="0" w:right="0" w:firstLine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个关节炎组治疗推荐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疗:单一治疗疗效不确定，对于活动性关节炎来说，不论 有无预后不良因素，超过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个月单一使用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是不合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2580" w:val="left"/>
        </w:tabs>
        <w:bidi w:val="0"/>
        <w:spacing w:before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疾病活动性：高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942" w:val="left"/>
        </w:tabs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預后不良因素：不论有无</w:t>
        <w:tab/>
        <w:t>疾病活动性：低；预后不良因素：存在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658" w:val="left"/>
        </w:tabs>
        <w:bidi w:val="0"/>
        <w:spacing w:before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疾病活动性：中</w:t>
        <w:tab/>
        <w:t>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1〜2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i/>
          <w:iCs/>
          <w:color w:val="000000"/>
          <w:spacing w:val="0"/>
          <w:w w:val="100"/>
          <w:position w:val="0"/>
        </w:rPr>
        <w:t>治疗疾病活动性:</w:t>
      </w:r>
      <w:r>
        <w:rPr>
          <w:color w:val="000000"/>
          <w:spacing w:val="0"/>
          <w:w w:val="100"/>
          <w:position w:val="0"/>
        </w:rPr>
        <w:t>中：預后不良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2580" w:val="left"/>
        </w:tabs>
        <w:bidi w:val="0"/>
        <w:spacing w:before="0" w:after="66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预后不良因素：存在</w:t>
        <w:tab/>
        <w:t>因素：不论有无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1020" w:line="185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治疗后</w:t>
        <w:br/>
        <w:t>疾病活动性：中，高</w:t>
        <w:br/>
        <w:t>预后不良因素：不论有无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TNF"</w:t>
      </w:r>
      <w:r>
        <w:rPr>
          <w:color w:val="000000"/>
          <w:spacing w:val="0"/>
          <w:w w:val="100"/>
          <w:position w:val="0"/>
        </w:rPr>
        <w:t>抑制剂或阿贝西普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</w:rPr>
        <w:t>个关节病变的关节炎组的治疗建议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1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1038" w:bottom="259" w:left="788" w:header="0" w:footer="3" w:gutter="0"/>
          <w:cols w:num="2" w:space="322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254000" distL="114300" distR="114300" simplePos="0" relativeHeight="125829387" behindDoc="0" locked="0" layoutInCell="1" allowOverlap="1">
                <wp:simplePos x="0" y="0"/>
                <wp:positionH relativeFrom="page">
                  <wp:posOffset>744220</wp:posOffset>
                </wp:positionH>
                <wp:positionV relativeFrom="margin">
                  <wp:posOffset>9317990</wp:posOffset>
                </wp:positionV>
                <wp:extent cx="1057910" cy="36893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7910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万</w:t>
                            </w:r>
                            <w:r>
                              <w:rPr>
                                <w:i/>
                                <w:iCs/>
                                <w:color w:val="335291"/>
                                <w:spacing w:val="0"/>
                                <w:w w:val="100"/>
                                <w:position w:val="0"/>
                              </w:rPr>
                              <w:t>方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color w:val="335291"/>
                                <w:spacing w:val="0"/>
                                <w:w w:val="100"/>
                                <w:position w:val="0"/>
                              </w:rPr>
                              <w:t>区腳虽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35291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medlive.cn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58.600000000000001pt;margin-top:733.70000000000005pt;width:83.299999999999997pt;height:29.050000000000001pt;z-index:-125829366;mso-wrap-distance-left:9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万</w:t>
                      </w:r>
                      <w:r>
                        <w:rPr>
                          <w:i/>
                          <w:iCs/>
                          <w:color w:val="335291"/>
                          <w:spacing w:val="0"/>
                          <w:w w:val="100"/>
                          <w:position w:val="0"/>
                        </w:rPr>
                        <w:t>方</w:t>
                      </w: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color w:val="335291"/>
                          <w:spacing w:val="0"/>
                          <w:w w:val="100"/>
                          <w:position w:val="0"/>
                        </w:rPr>
                        <w:t>区腳虽</w:t>
                      </w:r>
                      <w:r>
                        <w:fldChar w:fldCharType="end"/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335291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medlive.cn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</w:rPr>
        <w:t>2.2.3</w:t>
      </w:r>
      <w:r>
        <w:rPr>
          <w:color w:val="000000"/>
          <w:spacing w:val="0"/>
          <w:w w:val="100"/>
          <w:position w:val="0"/>
        </w:rPr>
        <w:t>活动性舐酪关节炎组治疗推荐 需要强调，临床 和影像学岀现甑骼关节表现才可以诊断。该组别治疗推 荐唯一用药为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TNF«a</w:t>
      </w:r>
      <w:r>
        <w:rPr>
          <w:color w:val="000000"/>
          <w:spacing w:val="0"/>
          <w:w w:val="100"/>
          <w:position w:val="0"/>
        </w:rPr>
        <w:t>抑制剂。总体来说，相比其他类型,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1038" w:bottom="259" w:left="788" w:header="0" w:footer="3" w:gutter="0"/>
          <w:cols w:num="2" w:space="322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9" behindDoc="0" locked="0" layoutInCell="1" allowOverlap="1">
            <wp:simplePos x="0" y="0"/>
            <wp:positionH relativeFrom="page">
              <wp:posOffset>1565275</wp:posOffset>
            </wp:positionH>
            <wp:positionV relativeFrom="paragraph">
              <wp:posOffset>4029710</wp:posOffset>
            </wp:positionV>
            <wp:extent cx="713105" cy="176530"/>
            <wp:wrapTopAndBottom/>
            <wp:docPr id="40" name="Shap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box 41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71310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90" behindDoc="0" locked="0" layoutInCell="1" allowOverlap="1">
            <wp:simplePos x="0" y="0"/>
            <wp:positionH relativeFrom="page">
              <wp:posOffset>2278380</wp:posOffset>
            </wp:positionH>
            <wp:positionV relativeFrom="paragraph">
              <wp:posOffset>4035425</wp:posOffset>
            </wp:positionV>
            <wp:extent cx="719455" cy="170815"/>
            <wp:wrapTopAndBottom/>
            <wp:docPr id="42" name="Shap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box 4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719455" cy="170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628015" distR="0" simplePos="0" relativeHeight="125829391" behindDoc="0" locked="0" layoutInCell="1" allowOverlap="1">
            <wp:simplePos x="0" y="0"/>
            <wp:positionH relativeFrom="page">
              <wp:posOffset>2538095</wp:posOffset>
            </wp:positionH>
            <wp:positionV relativeFrom="paragraph">
              <wp:posOffset>4538345</wp:posOffset>
            </wp:positionV>
            <wp:extent cx="481330" cy="713105"/>
            <wp:wrapTight wrapText="left">
              <wp:wrapPolygon>
                <wp:start x="5228" y="0"/>
                <wp:lineTo x="21600" y="0"/>
                <wp:lineTo x="21600" y="21600"/>
                <wp:lineTo x="0" y="21600"/>
                <wp:lineTo x="0" y="19846"/>
                <wp:lineTo x="1238" y="19846"/>
                <wp:lineTo x="1238" y="19108"/>
                <wp:lineTo x="1926" y="19108"/>
                <wp:lineTo x="1926" y="18185"/>
                <wp:lineTo x="2889" y="18185"/>
                <wp:lineTo x="2889" y="15785"/>
                <wp:lineTo x="5228" y="15785"/>
                <wp:lineTo x="5228" y="0"/>
              </wp:wrapPolygon>
            </wp:wrapTight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481330" cy="7131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4831080</wp:posOffset>
                </wp:positionV>
                <wp:extent cx="713105" cy="359410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3105" cy="359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 发热，不论整体评分 预后不良因素：无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150.40000000000001pt;margin-top:380.40000000000003pt;width:56.149999999999999pt;height:28.300000000000001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 发热，不论整体评分 预后不良因素：无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该类型更加适合使用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抑制剂，患儿在足量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药物治疗后，疾病高度活动伴预后不良因素；或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 xml:space="preserve">个月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治疗，疾病高度活动不论其有无预后不良因素和疾病 中度活动伴预后不良因素;或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治疗，疾病中度活 动无预后不良因素。患儿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治疗后疾病中-高 度活动不论有无预后不良因素;或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治疗后疾 病低度活动伴预后不良因素，也适用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0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2.2.4</w:t>
      </w:r>
      <w:r>
        <w:rPr>
          <w:color w:val="000000"/>
          <w:spacing w:val="0"/>
          <w:w w:val="100"/>
          <w:position w:val="0"/>
        </w:rPr>
        <w:t>全身型关节炎具有全身症状（无关节炎症状）组 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治疗:在疾病诊断阶段可以 使用单一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治疗，诊断明确后对于发热和整体评分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N7</w:t>
      </w:r>
      <w:r>
        <w:rPr>
          <w:color w:val="000000"/>
          <w:spacing w:val="0"/>
          <w:w w:val="100"/>
          <w:position w:val="0"/>
        </w:rPr>
        <w:t xml:space="preserve">患者，单一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治疗是不合适的；连续单一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个月以上也是不恰当的。</w:t>
      </w:r>
      <w:r>
        <w:rPr>
          <w:color w:val="000000"/>
          <w:spacing w:val="0"/>
          <w:w w:val="100"/>
          <w:position w:val="0"/>
          <w:sz w:val="20"/>
          <w:szCs w:val="20"/>
        </w:rPr>
        <w:t>（2）</w:t>
      </w:r>
      <w:r>
        <w:rPr>
          <w:color w:val="000000"/>
          <w:spacing w:val="0"/>
          <w:w w:val="100"/>
          <w:position w:val="0"/>
        </w:rPr>
        <w:t>系统性糖皮 质激素使用:适用于整体评分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N7</w:t>
      </w:r>
      <w:r>
        <w:rPr>
          <w:color w:val="000000"/>
          <w:spacing w:val="0"/>
          <w:w w:val="100"/>
          <w:position w:val="0"/>
        </w:rPr>
        <w:t>的患者或使用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 xml:space="preserve">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后仍然有发热患者,其使用剂量和途径不在本建 议考虑范围。</w:t>
      </w:r>
      <w:r>
        <w:rPr>
          <w:color w:val="000000"/>
          <w:spacing w:val="0"/>
          <w:w w:val="100"/>
          <w:position w:val="0"/>
          <w:sz w:val="20"/>
          <w:szCs w:val="20"/>
        </w:rPr>
        <w:t>（3）</w:t>
      </w:r>
      <w:r>
        <w:rPr>
          <w:color w:val="000000"/>
          <w:spacing w:val="0"/>
          <w:w w:val="100"/>
          <w:position w:val="0"/>
        </w:rPr>
        <w:t>阿那白滞素:适用于有发热和预后不良 因素患者,可同时伴随其他治疗方案。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（4）IVIG：</w:t>
      </w:r>
      <w:r>
        <w:rPr>
          <w:color w:val="000000"/>
          <w:spacing w:val="0"/>
          <w:w w:val="100"/>
          <w:position w:val="0"/>
        </w:rPr>
        <w:t>疗效尚 未确定。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（5）MTX：</w:t>
      </w:r>
      <w:r>
        <w:rPr>
          <w:color w:val="000000"/>
          <w:spacing w:val="0"/>
          <w:w w:val="100"/>
          <w:position w:val="0"/>
        </w:rPr>
        <w:t>不适用于全身症状明显而关节症状缺 乏的患儿。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 xml:space="preserve">沙立度胺:疗效尚未确定。治疗推荐见图 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巨噬细胞活化综合征、心脏并发症和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在本建议考虑范围。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全身症状为主的系统性关节炎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206" w:val="left"/>
          <w:tab w:pos="2342" w:val="left"/>
        </w:tabs>
        <w:bidi w:val="0"/>
        <w:spacing w:before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疾病活动性；</w:t>
        <w:tab/>
        <w:t>疾病活动性，</w:t>
        <w:tab/>
        <w:t>疾病活动性：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206" w:val="left"/>
        </w:tabs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发热及整体评分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N7</w:t>
        <w:tab/>
      </w:r>
      <w:r>
        <w:rPr>
          <w:color w:val="000000"/>
          <w:spacing w:val="0"/>
          <w:w w:val="100"/>
          <w:position w:val="0"/>
        </w:rPr>
        <w:t>发热及整体评分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V7</w:t>
      </w:r>
      <w:r>
        <w:rPr>
          <w:color w:val="000000"/>
          <w:spacing w:val="0"/>
          <w:w w:val="100"/>
          <w:position w:val="0"/>
        </w:rPr>
        <w:t>发热，不论裝体评分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206" w:val="left"/>
        </w:tabs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預后不良因素：无</w:t>
        <w:tab/>
        <w:t>预后不良因素：无 預后不良因素：有</w:t>
      </w:r>
    </w:p>
    <w:p>
      <w:pPr>
        <w:framePr w:w="821" w:h="1085" w:hSpace="610" w:wrap="notBeside" w:vAnchor="text" w:hAnchor="text" w:x="1307" w:y="1"/>
        <w:widowControl w:val="0"/>
        <w:rPr>
          <w:sz w:val="2"/>
          <w:szCs w:val="2"/>
        </w:rPr>
      </w:pPr>
      <w:r>
        <w:drawing>
          <wp:inline>
            <wp:extent cx="524510" cy="688975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524510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829310" distR="1377950" simplePos="0" relativeHeight="12582939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106680</wp:posOffset>
                </wp:positionV>
                <wp:extent cx="262255" cy="10033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255" cy="100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NSAIDs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116.2pt;margin-top:8.4000000000000004pt;width:20.650000000000002pt;height:7.9000000000000004pt;z-index:-125829361;mso-wrap-distance-left:65.299999999999997pt;mso-wrap-distance-right:108.5pt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NSAIDs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系统性精皮质蠢素</w:t>
        <w:br/>
      </w:r>
      <w:r>
        <w:rPr>
          <w:color w:val="000000"/>
          <w:spacing w:val="0"/>
          <w:w w:val="100"/>
          <w:position w:val="0"/>
        </w:rPr>
        <w:t>系统性精皮质激素使用同时，</w:t>
        <w:br/>
      </w:r>
      <w:r>
        <w:rPr>
          <w:color w:val="000000"/>
          <w:spacing w:val="0"/>
          <w:w w:val="100"/>
          <w:position w:val="0"/>
        </w:rPr>
        <w:t>发热，不论軽体评分</w:t>
        <w:br/>
      </w:r>
      <w:r>
        <w:rPr>
          <w:color w:val="000000"/>
          <w:spacing w:val="0"/>
          <w:w w:val="100"/>
          <w:position w:val="0"/>
        </w:rPr>
        <w:t>预后不良因衣，不论有无</w:t>
        <w:br/>
      </w:r>
      <w:r>
        <w:rPr>
          <w:color w:val="000000"/>
          <w:spacing w:val="0"/>
          <w:w w:val="100"/>
          <w:position w:val="0"/>
        </w:rPr>
        <w:t>阿那白滞素</w:t>
        <w:br/>
      </w:r>
      <w:r>
        <w:rPr>
          <w:color w:val="000000"/>
          <w:spacing w:val="0"/>
          <w:w w:val="100"/>
          <w:position w:val="0"/>
        </w:rPr>
        <w:t>（按需同时使用激素或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伴全身症状但无关节症状的全身型关节炎组的治疗建议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2.2.5</w:t>
      </w:r>
      <w:r>
        <w:rPr>
          <w:color w:val="000000"/>
          <w:spacing w:val="0"/>
          <w:w w:val="100"/>
          <w:position w:val="0"/>
        </w:rPr>
        <w:t>全身型关节炎具有关节炎症状（无全身症状）组 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治疗:被推荐用于疾病活动 度低且无影响预后因素;超过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个月以上的单一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治疗,疗效不确定。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（2）MTX：</w:t>
      </w:r>
      <w:r>
        <w:rPr>
          <w:color w:val="000000"/>
          <w:spacing w:val="0"/>
          <w:w w:val="100"/>
          <w:position w:val="0"/>
        </w:rPr>
        <w:t xml:space="preserve">用于有活动性关节炎患儿, 这些患儿已经接受了 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个月或更少的单一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后可选择。</w:t>
      </w:r>
      <w:r>
        <w:rPr>
          <w:color w:val="000000"/>
          <w:spacing w:val="0"/>
          <w:w w:val="100"/>
          <w:position w:val="0"/>
          <w:sz w:val="20"/>
          <w:szCs w:val="20"/>
        </w:rPr>
        <w:t>（3）</w:t>
      </w:r>
      <w:r>
        <w:rPr>
          <w:color w:val="000000"/>
          <w:spacing w:val="0"/>
          <w:w w:val="100"/>
          <w:position w:val="0"/>
        </w:rPr>
        <w:t>阿那白滞素:用于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个月或以 上疾病仍然处于中-高度活动性患者;也可用于经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和阿贝西普联合治疗后,疾病仍 然处于中-高度活动性患儿。也可较早期使用阿那白滞 素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（4）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抑制剂：用于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个月或更长时 间疾病仍然处于中-高度活动性患儿和使用阿那白滞素 治疗后疾病仍然处于中-高度活动性的患儿，应该转用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  <w:r>
        <w:rPr>
          <w:color w:val="000000"/>
          <w:spacing w:val="0"/>
          <w:w w:val="100"/>
          <w:position w:val="0"/>
          <w:sz w:val="20"/>
          <w:szCs w:val="20"/>
        </w:rPr>
        <w:t>（5）</w:t>
      </w:r>
      <w:r>
        <w:rPr>
          <w:color w:val="000000"/>
          <w:spacing w:val="0"/>
          <w:w w:val="100"/>
          <w:position w:val="0"/>
        </w:rPr>
        <w:t>阿贝西普:适用于经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MTK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TNF-a </w:t>
      </w:r>
      <w:r>
        <w:rPr>
          <w:color w:val="000000"/>
          <w:spacing w:val="0"/>
          <w:w w:val="100"/>
          <w:position w:val="0"/>
        </w:rPr>
        <w:t xml:space="preserve">抑制剂治疗后疾病仍然处于高度活动性患者，不论其有 无不良预后因素或病情仍处于中度活动性患者并伴预后 </w:t>
      </w:r>
      <w:r>
        <w:rPr>
          <w:color w:val="000000"/>
          <w:spacing w:val="0"/>
          <w:w w:val="100"/>
          <w:position w:val="0"/>
        </w:rPr>
        <w:t>不良因素者。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>系统性糖皮质激素治疗关节症状:建议 中没有考虑该方案。具体治疗方案，见图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关节症状为主的系统性关节炎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1"/>
          <w:szCs w:val="11"/>
        </w:rPr>
      </w:pP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1</w:t>
      </w:r>
      <w:r>
        <w:rPr>
          <w:rFonts w:ascii="SimSun" w:eastAsia="SimSun" w:hAnsi="SimSun" w:cs="SimSun"/>
          <w:b w:val="0"/>
          <w:bCs w:val="0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个月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NSAIDs</w:t>
      </w:r>
      <w:r>
        <w:rPr>
          <w:rFonts w:ascii="SimSun" w:eastAsia="SimSun" w:hAnsi="SimSun" w:cs="SimSun"/>
          <w:b w:val="0"/>
          <w:bCs w:val="0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IAS</w:t>
      </w:r>
      <w:r>
        <w:rPr>
          <w:rFonts w:ascii="SimSun" w:eastAsia="SimSun" w:hAnsi="SimSun" w:cs="SimSun"/>
          <w:b w:val="0"/>
          <w:bCs w:val="0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治疗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疾病活动性：低、中、高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预后不良因素：不论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irrx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MIX</w:t>
      </w:r>
      <w:r>
        <w:rPr>
          <w:color w:val="000000"/>
          <w:spacing w:val="0"/>
          <w:w w:val="100"/>
          <w:position w:val="0"/>
        </w:rPr>
        <w:t>治疗，疾病活动性：中，高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预后不良因素：不论有无</w:t>
      </w:r>
    </w:p>
    <w:p>
      <w:pPr>
        <w:pStyle w:val="Style55"/>
        <w:keepNext w:val="0"/>
        <w:keepLines w:val="0"/>
        <w:widowControl w:val="0"/>
        <w:shd w:val="clear" w:color="auto" w:fill="auto"/>
        <w:tabs>
          <w:tab w:pos="1934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抑制剤</w:t>
        <w:tab/>
        <w:t>阿那白滞童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2964" w:val="left"/>
        </w:tabs>
        <w:bidi w:val="0"/>
        <w:spacing w:before="0" w:after="0" w:line="240" w:lineRule="auto"/>
        <w:ind w:left="0" w:right="0" w:firstLine="900"/>
        <w:jc w:val="both"/>
        <w:rPr>
          <w:sz w:val="11"/>
          <w:szCs w:val="11"/>
        </w:rPr>
      </w:pPr>
      <w:r>
        <w:rPr>
          <w:rFonts w:ascii="SimSun" w:eastAsia="SimSun" w:hAnsi="SimSun" w:cs="SimSun"/>
          <w:b w:val="0"/>
          <w:bCs w:val="0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（可伴用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NSAIDs. IAS）</w:t>
        <w:tab/>
      </w:r>
      <w:r>
        <w:rPr>
          <w:rFonts w:ascii="SimSun" w:eastAsia="SimSun" w:hAnsi="SimSun" w:cs="SimSun"/>
          <w:b w:val="0"/>
          <w:bCs w:val="0"/>
          <w:i w:val="0"/>
          <w:iCs w:val="0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（可伴用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NSAIDs, IAS）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>■月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抑制剂，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疾病活动性，中，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预后不良因素：不论有无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阿贝西普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伴关节症状但无全身症状的全身型关节炎组的治疗建议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需要指出:该建议把全身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分为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类:分别以关节 炎为主和以全身症状为主，对于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种症状均很明显的患 儿,需要综合两方面的推荐进行治疗。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安全性观察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2.3.1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 用药前后推荐检测血清肌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Sf,</w:t>
      </w:r>
      <w:r>
        <w:rPr>
          <w:color w:val="000000"/>
          <w:spacing w:val="0"/>
          <w:w w:val="100"/>
          <w:position w:val="0"/>
        </w:rPr>
        <w:t>尿检，血白细胞计数和肝酶;长期每天使用患者需要 定期检测上述指标（每年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次）。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94" w:val="left"/>
        </w:tabs>
        <w:bidi w:val="0"/>
        <w:spacing w:before="0" w:after="0" w:line="310" w:lineRule="exact"/>
        <w:ind w:left="0" w:right="0" w:firstLine="0"/>
        <w:jc w:val="both"/>
      </w:pPr>
      <w:bookmarkStart w:id="10" w:name="bookmark10"/>
      <w:bookmarkEnd w:id="10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用药前后推荐检测血清肌酢，尿检，血白 细胞计数和肝酶,用药后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个月再次检测，随后如有剂量 增加，则每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1-2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次，如剂量稳定且上次检测 指标正常，则每</w:t>
      </w:r>
      <w:r>
        <w:rPr>
          <w:color w:val="000000"/>
          <w:spacing w:val="0"/>
          <w:w w:val="100"/>
          <w:position w:val="0"/>
          <w:sz w:val="20"/>
          <w:szCs w:val="20"/>
        </w:rPr>
        <w:t>3~4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建议推荐如肝酶升高至正常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</w:rPr>
        <w:t>倍上限以下,可以暂 不采取措施，而在短时间内再次检测肝酶;如升高超过正 常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</w:rPr>
        <w:t>倍上限，需要减少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9"/>
          <w:szCs w:val="19"/>
        </w:rPr>
        <w:t>剂量或暂停服用，如已经减 少剂量后，肝酶仍维持在正常上限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倍左右，需要停用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94" w:val="left"/>
        </w:tabs>
        <w:bidi w:val="0"/>
        <w:spacing w:before="0" w:after="0" w:line="310" w:lineRule="exact"/>
        <w:ind w:left="0" w:right="0" w:firstLine="0"/>
        <w:jc w:val="both"/>
      </w:pPr>
      <w:bookmarkStart w:id="11" w:name="bookmark11"/>
      <w:bookmarkEnd w:id="11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抑制剂用药前后推荐检测血清肌酣、尿 检、血白细胞计数和肝酶,随后每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3-6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2.3.4</w:t>
      </w:r>
      <w:r>
        <w:rPr>
          <w:color w:val="000000"/>
          <w:spacing w:val="0"/>
          <w:w w:val="100"/>
          <w:position w:val="0"/>
        </w:rPr>
        <w:t>结核筛査在使用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抑制剂前推荐进行结 核菌素皮试，对于长期使用本药患者推荐每年筛查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2.3.5</w:t>
      </w:r>
      <w:r>
        <w:rPr>
          <w:color w:val="000000"/>
          <w:spacing w:val="0"/>
          <w:w w:val="100"/>
          <w:position w:val="0"/>
        </w:rPr>
        <w:t>乙肝和丙肝筛查对于易感患者，使用本药前推 荐进行乙肝和丙肝抗体检测。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在专家组通过文献复习和专家共识的方法的基 础上提出了该治疗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方法和安全性观察，其推荐内容 可以作为治疗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患者的指南，但不能代替个体化治疗， 这些指南还需要将来不断更新，以便适应医学知识、技术 和实践的发展。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</w:rPr>
        <w:t>摘译于：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Beukehnan T,Patkar NM,Saag KG,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就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al.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2011 American Col- l^e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Rheumatology recommendations for the treatment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juvenile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Arthritis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Initiation and safety monitoring of ther</w:t>
      </w:r>
      <w:r>
        <w:rPr>
          <w:color w:val="000000"/>
          <w:spacing w:val="0"/>
          <w:w w:val="100"/>
          <w:position w:val="0"/>
          <w:sz w:val="14"/>
          <w:szCs w:val="14"/>
        </w:rPr>
        <w:t>叩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eutic agents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the treat</w:t>
        <w:softHyphen/>
        <w:t xml:space="preserve">ment of arthritis and systemic features [ J].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Arthritis Can Res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（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Hoboken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）, 2011,63（4）：465 -482.]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960" w:right="0" w:firstLine="0"/>
        <w:jc w:val="right"/>
        <w:sectPr>
          <w:headerReference w:type="default" r:id="rId24"/>
          <w:footerReference w:type="default" r:id="rId25"/>
          <w:footnotePr>
            <w:pos w:val="pageBottom"/>
            <w:numFmt w:val="decimal"/>
            <w:numRestart w:val="continuous"/>
          </w:footnotePr>
          <w:pgSz w:w="11900" w:h="16840"/>
          <w:pgMar w:top="1441" w:right="790" w:bottom="259" w:left="1006" w:header="0" w:footer="3" w:gutter="0"/>
          <w:cols w:num="2" w:space="31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（收</w:t>
      </w:r>
      <w:r>
        <w:rPr>
          <w:b/>
          <w:bCs/>
          <w:color w:val="000000"/>
          <w:spacing w:val="0"/>
          <w:w w:val="100"/>
          <w:position w:val="0"/>
        </w:rPr>
        <w:t>稿日期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2011 -09-10） </w:t>
      </w:r>
      <w:r>
        <w:rPr>
          <w:color w:val="000000"/>
          <w:spacing w:val="0"/>
          <w:w w:val="100"/>
          <w:position w:val="0"/>
        </w:rPr>
        <w:t>（本文编辑:李建华）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i/>
          <w:iCs/>
          <w:color w:val="000000"/>
          <w:spacing w:val="0"/>
          <w:w w:val="100"/>
          <w:position w:val="0"/>
        </w:rPr>
        <w:t>万</w:t>
      </w:r>
      <w:r>
        <w:rPr>
          <w:i/>
          <w:iCs/>
          <w:color w:val="335291"/>
          <w:spacing w:val="0"/>
          <w:w w:val="100"/>
          <w:position w:val="0"/>
          <w:lang w:val="zh-CN" w:eastAsia="zh-CN" w:bidi="zh-CN"/>
        </w:rPr>
        <w:t>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335291"/>
          <w:spacing w:val="0"/>
          <w:w w:val="100"/>
          <w:position w:val="0"/>
          <w:lang w:val="zh-CN" w:eastAsia="zh-CN" w:bidi="zh-CN"/>
        </w:rPr>
        <w:t>匿脉</w:t>
      </w:r>
      <w:r>
        <w:rPr>
          <w:b/>
          <w:bCs/>
          <w:i/>
          <w:iCs/>
          <w:color w:val="335291"/>
          <w:spacing w:val="0"/>
          <w:w w:val="100"/>
          <w:position w:val="0"/>
          <w:lang w:val="en-US" w:eastAsia="en-US" w:bidi="en-US"/>
        </w:rPr>
        <w:t>i</w:t>
      </w:r>
      <w:r>
        <w:rPr>
          <w:i/>
          <w:iCs/>
          <w:color w:val="335291"/>
          <w:spacing w:val="0"/>
          <w:w w:val="100"/>
          <w:position w:val="0"/>
        </w:rPr>
        <w:t>虽</w:t>
      </w:r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1" w:right="790" w:bottom="259" w:left="100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335291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medlive.cn</w:t>
      </w:r>
    </w:p>
    <w:p>
      <w:pPr>
        <w:pStyle w:val="Style67"/>
        <w:keepNext/>
        <w:keepLines/>
        <w:widowControl w:val="0"/>
        <w:shd w:val="clear" w:color="auto" w:fill="auto"/>
        <w:tabs>
          <w:tab w:pos="8115" w:val="left"/>
        </w:tabs>
        <w:bidi w:val="0"/>
        <w:spacing w:before="0" w:line="240" w:lineRule="auto"/>
        <w:ind w:left="0" w:right="0"/>
        <w:jc w:val="left"/>
      </w:pPr>
      <w:r>
        <w:fldChar w:fldCharType="begin"/>
      </w:r>
      <w:r>
        <w:rPr/>
        <w:instrText> HYPERLINK "http://d.g.wanfangdata.com.cn/Periodical_syeklczz201121027.aspx" </w:instrText>
      </w:r>
      <w:r>
        <w:fldChar w:fldCharType="separate"/>
      </w:r>
      <w:bookmarkStart w:id="12" w:name="bookmark12"/>
      <w:bookmarkStart w:id="13" w:name="bookmark13"/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2011</w:t>
      </w:r>
      <w:r>
        <w:rPr>
          <w:color w:val="000000"/>
          <w:spacing w:val="0"/>
          <w:w w:val="100"/>
          <w:position w:val="0"/>
          <w:sz w:val="24"/>
          <w:szCs w:val="24"/>
        </w:rPr>
        <w:t>年美国风湿病学会关于幼年特发性关节炎的治疗建议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34481"/>
          <w:spacing w:val="0"/>
          <w:w w:val="100"/>
          <w:position w:val="0"/>
          <w:sz w:val="24"/>
          <w:szCs w:val="24"/>
        </w:rPr>
        <w:t>万巧萄据</w:t>
      </w:r>
      <w:bookmarkEnd w:id="12"/>
      <w:bookmarkEnd w:id="13"/>
      <w:bookmarkEnd w:id="14"/>
      <w:r>
        <w:fldChar w:fldCharType="end"/>
      </w:r>
    </w:p>
    <w:tbl>
      <w:tblPr>
        <w:tblOverlap w:val="never"/>
        <w:jc w:val="center"/>
        <w:tblLayout w:type="fixed"/>
      </w:tblPr>
      <w:tblGrid>
        <w:gridCol w:w="1373"/>
        <w:gridCol w:w="8054"/>
      </w:tblGrid>
      <w:tr>
        <w:trPr>
          <w:trHeight w:val="78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作者： 作者单位： 刊名：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50" w:lineRule="exact"/>
              <w:ind w:left="500" w:right="0" w:firstLine="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"http://s.g.wanfangdata.com.cn/Paper.aspx?q=Creator%3a%22%e5%b1%a0%e5%bf%97%e5%bc%ba%22+DBID%3aWF_QK"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屠志强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，</w:t>
            </w:r>
            <w:r>
              <w:fldChar w:fldCharType="begin"/>
            </w:r>
            <w:r>
              <w:rPr/>
              <w:instrText> HYPERLINK "http://s.g.wanfangdata.com.cn/Paper.aspx?q=Creator%3a%22%e8%94%a1%e5%ae%87%e6%b3%a2%22+DBID%3aWF_QK" </w:instrText>
            </w:r>
            <w:r>
              <w:fldChar w:fldCharType="separate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 </w:t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蔡宇波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，</w:t>
            </w:r>
            <w:r>
              <w:fldChar w:fldCharType="begin"/>
            </w:r>
            <w:r>
              <w:rPr/>
              <w:instrText> HYPERLINK "http://s.g.wanfangdata.com.cn/Paper.aspx?q=Creator%3a%22%e6%9b%b9%e5%85%b0%e8%8a%b3%22+DBID%3aWF_QK" </w:instrText>
            </w:r>
            <w:r>
              <w:fldChar w:fldCharType="separate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 </w:t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曹兰芳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"http://s.g.wanfangdata.com.cn/Paper.aspx?q=Creator%3a%22TU+Zhi-qiang%22+DBID%3aWF_QK"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TU Zhi-qiang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, </w:t>
            </w:r>
            <w:r>
              <w:fldChar w:fldCharType="begin"/>
            </w:r>
            <w:r>
              <w:rPr/>
              <w:instrText> HYPERLINK "http://s.g.wanfangdata.com.cn/Paper.aspx?q=Creator%3a%22CAI+Yu-bo%22+DBID%3aWF_QK"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CAI Yu-bo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, </w:t>
            </w:r>
            <w:r>
              <w:fldChar w:fldCharType="begin"/>
            </w:r>
            <w:r>
              <w:rPr/>
              <w:instrText> HYPERLINK "http://s.g.wanfangdata.com.cn/Paper.aspx?q=Creator%3a%22CAO+Lan-fang%22+DBID%3aWF_QK"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CAO Lan-fang</w:t>
            </w:r>
            <w:r>
              <w:fldChar w:fldCharType="end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 xml:space="preserve"> </w:t>
            </w:r>
            <w:r>
              <w:fldChar w:fldCharType="begin"/>
            </w:r>
            <w:r>
              <w:rPr/>
              <w:instrText> HYPERLINK "http://s.g.wanfangdata.com.cn/Paper.aspx?q=Organization%3a%22%e4%b8%8a%e6%b5%b7%e4%ba%a4%e9%80%9a%e5%a4%a7%e5%ad%a6%e5%8c%bb%e5%ad%a6%e9%99%a2%e9%99%84%e5%b1%9e%e4%bb%81%e6%b5%8e%e5%8c%bb%e9%99%a2%e5%84%bf%e7%a7%91%2c%e4%b8%8a%e6%b5%b7%2c200001%22+DBID%3aWF_QK"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上海交通大学医学院附属仁济医院儿科，上海</w:t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zh-TW" w:eastAsia="zh-TW" w:bidi="zh-TW"/>
              </w:rPr>
              <w:t>,200001</w:t>
            </w:r>
            <w:r>
              <w:fldChar w:fldCharType="end"/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50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"http://c.g.wanfangdata.com.cn/periodical-syeklczz.aspx"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实用儿科临床杂志</w:t>
            </w:r>
            <w:r>
              <w:fldChar w:fldCharType="end"/>
            </w:r>
            <w:r>
              <w:rPr>
                <w:color w:val="9F2598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1'</w:t>
            </w:r>
            <w:r>
              <w:rPr>
                <w:color w:val="883575"/>
                <w:spacing w:val="0"/>
                <w:w w:val="100"/>
                <w:position w:val="0"/>
                <w:sz w:val="16"/>
                <w:szCs w:val="16"/>
                <w:vertAlign w:val="superscript"/>
                <w:lang w:val="zh-TW" w:eastAsia="zh-TW" w:bidi="zh-TW"/>
              </w:rPr>
              <w:t xml:space="preserve">11 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: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i!?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 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1</w:t>
            </w:r>
          </w:p>
        </w:tc>
      </w:tr>
      <w:tr>
        <w:trPr>
          <w:trHeight w:val="69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英文刊名： 年，卷（期）： 被引用次数：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"http://c.g.wanfangdata.com.cn/periodical-syeklczz.aspx"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Journal of Applied Clinical Pediatrics</w:t>
            </w:r>
            <w:r>
              <w:fldChar w:fldCharType="end"/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2011,26(21)</w:t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6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FFFFFF"/>
        </w:rPr>
        <w:t>I</w:t>
      </w:r>
      <w:r>
        <w:rPr>
          <w:color w:val="000000"/>
          <w:spacing w:val="0"/>
          <w:w w:val="100"/>
          <w:position w:val="0"/>
          <w:shd w:val="clear" w:color="auto" w:fill="FFFFFF"/>
        </w:rPr>
        <w:t>引证文献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FFFFFF"/>
        </w:rPr>
        <w:t>（1</w:t>
      </w:r>
      <w:r>
        <w:rPr>
          <w:color w:val="000000"/>
          <w:spacing w:val="0"/>
          <w:w w:val="100"/>
          <w:position w:val="0"/>
          <w:shd w:val="clear" w:color="auto" w:fill="FFFFFF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760" w:line="355" w:lineRule="exact"/>
        <w:ind w:left="320" w:right="0" w:firstLine="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1.</w:t>
      </w:r>
      <w:r>
        <w:fldChar w:fldCharType="begin"/>
      </w:r>
      <w:r>
        <w:rPr/>
        <w:instrText> HYPERLINK "http://s.g.wanfangdata.com.cn/Paper.aspx?q=Creator%3a%22%e9%9f%a9%e5%bd%a4%e6%98%95%22+DBID%3aWF_QK"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韩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彤昕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"http://s.g.wanfangdata.com.cn/Paper.aspx?q=Creator%3a%22%e6%9d%8e%e5%bd%a9%e5%87%a4%22+DBID%3aWF_QK"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李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彩凤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"http://s.g.wanfangdata.com.cn/Paper.aspx?q=Creator%3a%22%e7%8e%8b%e6%b1%9f%22+DBID%3aWF_QK"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王江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"http://s.g.wanfangdata.com.cn/Paper.aspx?q=Creator%3a%22%e9%82%9d%e4%bc%9f%e8%8b%b1%22+DBID%3aWF_QK"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邙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伟英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"http://s.g.wanfangdata.com.cn/Paper.aspx?q=Creator%3a%22%e5%91%a8%e6%80%a1%e8%8a%b3%22+DBID%3aWF_QK"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周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怡芳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"http://s.g.wanfangdata.com.cn/Paper.aspx?q=Creator%3a%22%e9%82%93%e6%b1%9f%e7%ba%a2%22+DBID%3aWF_QK"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邓江红</w:t>
      </w:r>
      <w:r>
        <w:fldChar w:fldCharType="end"/>
      </w:r>
      <w:r>
        <w:fldChar w:fldCharType="begin"/>
      </w:r>
      <w:r>
        <w:rPr/>
        <w:instrText> HYPERLINK "http://d.g.wanfangdata.com.cn/Periodical_zgddekzz201308015.aspx"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麦考酚酸酯治疗幼年特发性关节炎全身型的疗效分析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</w:rPr>
        <w:t>］期刊论文］</w:t>
      </w:r>
      <w:r>
        <w:rPr>
          <w:color w:val="000000"/>
          <w:spacing w:val="0"/>
          <w:w w:val="100"/>
          <w:position w:val="0"/>
          <w:sz w:val="20"/>
          <w:szCs w:val="20"/>
        </w:rPr>
        <w:t>-</w:t>
      </w:r>
      <w:r>
        <w:fldChar w:fldCharType="begin"/>
      </w:r>
      <w:r>
        <w:rPr/>
        <w:instrText> HYPERLINK "http://c.g.wanfangdata.com.cn/periodical-zgddekzz.aspx"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中国当代儿科杂志</w:t>
      </w:r>
      <w:r>
        <w:fldChar w:fldCharType="end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</w:rPr>
        <w:t>2013（8）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1960" w:line="240" w:lineRule="auto"/>
        <w:ind w:left="0" w:right="0" w:firstLine="3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"http://d.g.wanfangdata.com.cn/Periodical_syeklczz201121027.aspx"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http://d.g.wanfangdata.com.cn/Periodical</w:t>
      </w:r>
      <w:r>
        <w:fldChar w:fldCharType="end"/>
      </w:r>
      <w:r>
        <w:rPr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_syeklczz201121027.aspx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335291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medlive.cn</w:t>
      </w:r>
      <w:r>
        <w:fldChar w:fldCharType="end"/>
      </w:r>
    </w:p>
    <w:sectPr>
      <w:headerReference w:type="default" r:id="rId26"/>
      <w:footerReference w:type="default" r:id="rId27"/>
      <w:footnotePr>
        <w:pos w:val="pageBottom"/>
        <w:numFmt w:val="decimal"/>
        <w:numRestart w:val="continuous"/>
      </w:footnotePr>
      <w:pgSz w:w="11900" w:h="16840"/>
      <w:pgMar w:top="267" w:right="850" w:bottom="264" w:left="94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5742940</wp:posOffset>
              </wp:positionH>
              <wp:positionV relativeFrom="page">
                <wp:posOffset>10319385</wp:posOffset>
              </wp:positionV>
              <wp:extent cx="1319530" cy="1676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953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52.19999999999999pt;margin-top:812.55000000000007pt;width:103.90000000000001pt;height:13.2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5712460</wp:posOffset>
              </wp:positionH>
              <wp:positionV relativeFrom="page">
                <wp:posOffset>10336530</wp:posOffset>
              </wp:positionV>
              <wp:extent cx="1316990" cy="16446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49.80000000000001pt;margin-top:813.89999999999998pt;width:103.7pt;height:12.9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5732145</wp:posOffset>
              </wp:positionH>
              <wp:positionV relativeFrom="page">
                <wp:posOffset>10330180</wp:posOffset>
              </wp:positionV>
              <wp:extent cx="1316990" cy="164465"/>
              <wp:wrapNone/>
              <wp:docPr id="56" name="Shape 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2" type="#_x0000_t202" style="position:absolute;margin-left:451.35000000000002pt;margin-top:813.39999999999998pt;width:103.7pt;height:12.9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5742940</wp:posOffset>
              </wp:positionH>
              <wp:positionV relativeFrom="page">
                <wp:posOffset>10319385</wp:posOffset>
              </wp:positionV>
              <wp:extent cx="1319530" cy="167640"/>
              <wp:wrapNone/>
              <wp:docPr id="58" name="Shape 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953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position:absolute;margin-left:452.19999999999999pt;margin-top:812.55000000000007pt;width:103.90000000000001pt;height:13.2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567055</wp:posOffset>
              </wp:positionH>
              <wp:positionV relativeFrom="page">
                <wp:posOffset>631190</wp:posOffset>
              </wp:positionV>
              <wp:extent cx="4090670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06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新膈櫟料:去第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Appl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阪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Pediair.VoL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21,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.649999999999999pt;margin-top:49.700000000000003pt;width:322.10000000000002pt;height:12.9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新膈櫟料:去第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Appl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阪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Pediair.VoL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21,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826135</wp:posOffset>
              </wp:positionV>
              <wp:extent cx="420941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094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9.600000000000001pt;margin-top:65.049999999999997pt;width:331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2917190</wp:posOffset>
              </wp:positionH>
              <wp:positionV relativeFrom="page">
                <wp:posOffset>602615</wp:posOffset>
              </wp:positionV>
              <wp:extent cx="4093210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32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勤肋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紳切袴去第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Pediatr, Vol. 26 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229.70000000000002pt;margin-top:47.450000000000003pt;width:322.30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勤肋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U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紳切袴去第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Pediatr, Vol. 26 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2853055</wp:posOffset>
              </wp:positionH>
              <wp:positionV relativeFrom="page">
                <wp:posOffset>805180</wp:posOffset>
              </wp:positionV>
              <wp:extent cx="421513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51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4.65000000000001pt;margin-top:63.399999999999999pt;width:331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582295</wp:posOffset>
              </wp:positionH>
              <wp:positionV relativeFrom="page">
                <wp:posOffset>625475</wp:posOffset>
              </wp:positionV>
              <wp:extent cx="6172200" cy="21971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72200" cy="219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2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新紳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料法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Pediatr,Vol.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• 1691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5.850000000000001pt;margin-top:49.25pt;width:486.pt;height:17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2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新紳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t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料法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Pediatr,Vol.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  <w:tab/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• 1691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518160</wp:posOffset>
              </wp:positionH>
              <wp:positionV relativeFrom="page">
                <wp:posOffset>820420</wp:posOffset>
              </wp:positionV>
              <wp:extent cx="4212590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25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0.800000000000004pt;margin-top:64.599999999999994pt;width:331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2882265</wp:posOffset>
              </wp:positionH>
              <wp:positionV relativeFrom="page">
                <wp:posOffset>628650</wp:posOffset>
              </wp:positionV>
              <wp:extent cx="4090670" cy="16764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067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空防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向厩誌第X卷第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期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Pe£atr,Vol.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26.95000000000002pt;margin-top:49.5pt;width:322.10000000000002pt;height:13.2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空防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向厩誌第X卷第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期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Pe£atr,Vol.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784860</wp:posOffset>
              </wp:positionH>
              <wp:positionV relativeFrom="page">
                <wp:posOffset>777875</wp:posOffset>
              </wp:positionV>
              <wp:extent cx="426720" cy="9144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672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・1692・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61.800000000000004pt;margin-top:61.25pt;width:33.600000000000001pt;height:7.2000000000000002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・1692・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2818130</wp:posOffset>
              </wp:positionH>
              <wp:positionV relativeFrom="page">
                <wp:posOffset>820420</wp:posOffset>
              </wp:positionV>
              <wp:extent cx="4215130" cy="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51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1.90000000000001pt;margin-top:64.599999999999994pt;width:331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1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2.1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"/>
      <w:numFmt w:val="decimal"/>
      <w:lvlText w:val="2.2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  <w:lang w:val="en-US" w:eastAsia="en-US" w:bidi="en-US"/>
      </w:rPr>
    </w:lvl>
  </w:abstractNum>
  <w:abstractNum w:abstractNumId="6">
    <w:multiLevelType w:val="multilevel"/>
    <w:lvl w:ilvl="0">
      <w:start w:val="2"/>
      <w:numFmt w:val="decimal"/>
      <w:lvlText w:val="2.3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4_"/>
    <w:basedOn w:val="DefaultParagraphFont"/>
    <w:link w:val="Style11"/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6_"/>
    <w:basedOn w:val="DefaultParagraphFont"/>
    <w:link w:val="Style18"/>
    <w:rPr>
      <w:b/>
      <w:bCs/>
      <w:i/>
      <w:iCs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1">
    <w:name w:val="Body text|2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35">
    <w:name w:val="Heading #2|1_"/>
    <w:basedOn w:val="DefaultParagraphFont"/>
    <w:link w:val="Style34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41">
    <w:name w:val="Body text|5_"/>
    <w:basedOn w:val="DefaultParagraphFont"/>
    <w:link w:val="Style40"/>
    <w:rPr>
      <w:b/>
      <w:bCs/>
      <w:i/>
      <w:iCs/>
      <w:smallCaps w:val="0"/>
      <w:strike w:val="0"/>
      <w:color w:val="271D1B"/>
      <w:sz w:val="10"/>
      <w:szCs w:val="10"/>
      <w:u w:val="none"/>
      <w:shd w:val="clear" w:color="auto" w:fill="auto"/>
    </w:rPr>
  </w:style>
  <w:style w:type="character" w:customStyle="1" w:styleId="CharStyle56">
    <w:name w:val="Body text|3_"/>
    <w:basedOn w:val="DefaultParagraphFont"/>
    <w:link w:val="Style55"/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59">
    <w:name w:val="Picture caption|1_"/>
    <w:basedOn w:val="DefaultParagraphFont"/>
    <w:link w:val="Style58"/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68">
    <w:name w:val="Heading #3|1_"/>
    <w:basedOn w:val="DefaultParagraphFont"/>
    <w:link w:val="Style67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72">
    <w:name w:val="Other|1_"/>
    <w:basedOn w:val="DefaultParagraphFont"/>
    <w:link w:val="Style71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4"/>
    <w:basedOn w:val="Normal"/>
    <w:link w:val="CharStyle12"/>
    <w:pPr>
      <w:widowControl w:val="0"/>
      <w:shd w:val="clear" w:color="auto" w:fill="auto"/>
      <w:spacing w:after="40"/>
    </w:pPr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1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18">
    <w:name w:val="Body text|6"/>
    <w:basedOn w:val="Normal"/>
    <w:link w:val="CharStyle19"/>
    <w:pPr>
      <w:widowControl w:val="0"/>
      <w:shd w:val="clear" w:color="auto" w:fill="auto"/>
      <w:spacing w:after="20"/>
      <w:ind w:left="2980"/>
    </w:pPr>
    <w:rPr>
      <w:b/>
      <w:bCs/>
      <w:i/>
      <w:iCs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0">
    <w:name w:val="Body text|2"/>
    <w:basedOn w:val="Normal"/>
    <w:link w:val="CharStyle21"/>
    <w:pPr>
      <w:widowControl w:val="0"/>
      <w:shd w:val="clear" w:color="auto" w:fill="auto"/>
      <w:spacing w:line="228" w:lineRule="exact"/>
      <w:ind w:firstLine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34">
    <w:name w:val="Heading #2|1"/>
    <w:basedOn w:val="Normal"/>
    <w:link w:val="CharStyle35"/>
    <w:pPr>
      <w:widowControl w:val="0"/>
      <w:shd w:val="clear" w:color="auto" w:fill="auto"/>
      <w:ind w:firstLine="380"/>
      <w:outlineLvl w:val="1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40">
    <w:name w:val="Body text|5"/>
    <w:basedOn w:val="Normal"/>
    <w:link w:val="CharStyle41"/>
    <w:pPr>
      <w:widowControl w:val="0"/>
      <w:shd w:val="clear" w:color="auto" w:fill="auto"/>
      <w:ind w:left="600"/>
    </w:pPr>
    <w:rPr>
      <w:b/>
      <w:bCs/>
      <w:i/>
      <w:iCs/>
      <w:smallCaps w:val="0"/>
      <w:strike w:val="0"/>
      <w:color w:val="271D1B"/>
      <w:sz w:val="10"/>
      <w:szCs w:val="10"/>
      <w:u w:val="none"/>
      <w:shd w:val="clear" w:color="auto" w:fill="auto"/>
    </w:rPr>
  </w:style>
  <w:style w:type="paragraph" w:customStyle="1" w:styleId="Style55">
    <w:name w:val="Body text|3"/>
    <w:basedOn w:val="Normal"/>
    <w:link w:val="CharStyle56"/>
    <w:pPr>
      <w:widowControl w:val="0"/>
      <w:shd w:val="clear" w:color="auto" w:fill="auto"/>
      <w:spacing w:after="4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58">
    <w:name w:val="Picture caption|1"/>
    <w:basedOn w:val="Normal"/>
    <w:link w:val="CharStyle59"/>
    <w:pPr>
      <w:widowControl w:val="0"/>
      <w:shd w:val="clear" w:color="auto" w:fill="auto"/>
      <w:spacing w:line="182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67">
    <w:name w:val="Heading #3|1"/>
    <w:basedOn w:val="Normal"/>
    <w:link w:val="CharStyle68"/>
    <w:pPr>
      <w:widowControl w:val="0"/>
      <w:shd w:val="clear" w:color="auto" w:fill="auto"/>
      <w:spacing w:after="40"/>
      <w:ind w:firstLine="320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71">
    <w:name w:val="Other|1"/>
    <w:basedOn w:val="Normal"/>
    <w:link w:val="CharStyle72"/>
    <w:pPr>
      <w:widowControl w:val="0"/>
      <w:shd w:val="clear" w:color="auto" w:fill="auto"/>
      <w:spacing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image" Target="media/image1.jpeg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4.png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5.png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6.png" TargetMode="External"/><Relationship Id="rId22" Type="http://schemas.openxmlformats.org/officeDocument/2006/relationships/image" Target="media/image7.png"/><Relationship Id="rId23" Type="http://schemas.openxmlformats.org/officeDocument/2006/relationships/image" Target="media/image7.png" TargetMode="External"/><Relationship Id="rId24" Type="http://schemas.openxmlformats.org/officeDocument/2006/relationships/header" Target="header4.xml"/><Relationship Id="rId25" Type="http://schemas.openxmlformats.org/officeDocument/2006/relationships/footer" Target="footer3.xml"/><Relationship Id="rId26" Type="http://schemas.openxmlformats.org/officeDocument/2006/relationships/header" Target="header5.xml"/><Relationship Id="rId27" Type="http://schemas.openxmlformats.org/officeDocument/2006/relationships/footer" Target="footer4.xml"/></Relationships>
</file>