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53" w:after="5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r:id="rId5" w:type="default"/>
          <w:footerReference r:id="rId6" w:type="default"/>
          <w:footnotePr>
            <w:numFmt w:val="decimal"/>
          </w:footnotePr>
          <w:type w:val="continuous"/>
          <w:pgSz w:w="11900" w:h="16840"/>
          <w:pgMar w:top="1825" w:right="0" w:bottom="908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6"/>
      <w:bookmarkStart w:id="1" w:name="bookmark7"/>
      <w:bookmarkStart w:id="2" w:name="bookmark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年美国风湿病学会痛风治疗指南解读</w:t>
      </w:r>
      <w:bookmarkEnd w:id="0"/>
      <w:bookmarkEnd w:id="1"/>
      <w:bookmarkEnd w:id="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36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痛风是一种单钠尿酸盐沉积所致的晶体相关性 关节病，与嘩吟代谢紊乱及/或尿酸排泄减少所致的 高尿酸血症直接相关。痛风特指急性痛风性关节炎 和慢性痛风石疾病，可并发肾脏病变,重者可出现关 节破坏、肾功能损害，常伴有高血脂病、高血压病、糖</w:t>
      </w:r>
    </w:p>
    <w:p>
      <w:pPr>
        <w:spacing w:line="1" w:lineRule="exact"/>
        <w:rPr>
          <w:sz w:val="2"/>
          <w:szCs w:val="2"/>
        </w:r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4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尿病、动脉硬化及冠心病等。其发病率呈逐年增高 趋势。痛风治疗的目的是迅速有效的缓解和消除急 性发作症状、预防急性关节炎复发、降低血尿酸，消 除病因。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2012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10</w:t>
      </w:r>
      <w:r>
        <w:rPr>
          <w:color w:val="000000"/>
          <w:spacing w:val="0"/>
          <w:w w:val="100"/>
          <w:position w:val="0"/>
        </w:rPr>
        <w:t>月，美国风湿病学会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（American College of Rheumatology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ACR）</w:t>
      </w:r>
      <w:r>
        <w:rPr>
          <w:color w:val="000000"/>
          <w:spacing w:val="0"/>
          <w:w w:val="100"/>
          <w:position w:val="0"/>
        </w:rPr>
        <w:t xml:space="preserve">正式发布 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2012 </w:t>
      </w:r>
      <w:r>
        <w:rPr>
          <w:color w:val="000000"/>
          <w:spacing w:val="0"/>
          <w:w w:val="100"/>
          <w:position w:val="0"/>
        </w:rPr>
        <w:t xml:space="preserve">年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痛风治疗指南，下面就该指南作简要解读。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both"/>
      </w:pPr>
      <w:bookmarkStart w:id="3" w:name="bookmark10"/>
      <w:bookmarkStart w:id="4" w:name="bookmark9"/>
      <w:bookmarkStart w:id="5" w:name="bookmark11"/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高尿酸血症的非药物和药物治疗</w:t>
      </w:r>
      <w:bookmarkEnd w:id="3"/>
      <w:bookmarkEnd w:id="4"/>
      <w:bookmarkEnd w:id="5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360" w:lineRule="auto"/>
        <w:ind w:left="0" w:right="0" w:firstLine="0"/>
        <w:jc w:val="both"/>
        <w:sectPr>
          <w:footnotePr>
            <w:numFmt w:val="decimal"/>
          </w:footnotePr>
          <w:type w:val="continuous"/>
          <w:pgSz w:w="11900" w:h="16840"/>
          <w:pgMar w:top="1825" w:right="1320" w:bottom="908" w:left="1186" w:header="0" w:footer="3" w:gutter="0"/>
          <w:cols w:space="425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</w:rPr>
        <w:t>非药物治疗指南笫一部分首先在痛风的非药</w:t>
      </w:r>
    </w:p>
    <w:p>
      <w:pPr>
        <w:rPr>
          <w:sz w:val="2"/>
          <w:szCs w:val="2"/>
        </w:rPr>
        <w:sectPr>
          <w:footnotePr>
            <w:numFmt w:val="decimal"/>
          </w:footnotePr>
          <w:type w:val="continuous"/>
          <w:pgSz w:w="11900" w:h="16840"/>
          <w:pgMar w:top="1825" w:right="1320" w:bottom="908" w:left="1186" w:header="0" w:footer="3" w:gutter="0"/>
          <w:cols w:space="149" w:num="2"/>
          <w:rtlGutter w:val="0"/>
          <w:docGrid w:linePitch="360" w:charSpace="0"/>
        </w:sectPr>
      </w:pPr>
    </w:p>
    <w:p>
      <w:pPr>
        <w:widowControl w:val="0"/>
        <w:spacing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物降尿酸治疗作了详细的阐述,包括患者教育、饮食 及生活方式。调整生活方式和饮食结构是为了降低 痛风发作的风险和频率，降低血尿酸水平。建议肥 胖者降低体质量、戒烟、运动、多饮水。将痛风患者 的饮食分为三类:避免食用：动物内脏、高果糖饮料、 高热卡饮料、任何患者避免过量饮酒（男姓每天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份, 女性每天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份）,痛风急性发作期或控制不佳的患者 禁止饮酒；限制食用：牛肉、羊肉、猪肉、含高噤吟海 鲜（沙丁鱼、贝壳类动物）、甜果汁、甜点、甜饮料、酒 类、尤其啤酒;鼓励食用:低脂或无脂乳制品、蔬菜。 指南也指出单独饮食控制和生活方式的改变降尿酸 和预防痛风发作的作用是有限的。小剂量阿司匹林 可以抑制肾小管对尿酸的排泄，被认为是引起高尿 酸血症的重要诱因，但指南提出，对于已经发生痛风 的患者，阿司匹林所起的负面作用是可以忽略的，因 此不必中止用药或换药。在确定痛风诊断前，完善 相关检查，排除各种引起尿酸升高的原因°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50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1.2</w:t>
      </w:r>
      <w:r>
        <w:rPr>
          <w:color w:val="000000"/>
          <w:spacing w:val="0"/>
          <w:w w:val="100"/>
          <w:position w:val="0"/>
        </w:rPr>
        <w:t>降尿酸药物的选择在降尿酸治疗的药物选择 上,黄喋吟氧化酶抑制剂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（XOI）</w:t>
      </w:r>
      <w:r>
        <w:rPr>
          <w:color w:val="000000"/>
          <w:spacing w:val="0"/>
          <w:w w:val="100"/>
          <w:position w:val="0"/>
        </w:rPr>
        <w:t xml:space="preserve">别喋醇和非布索坦同 时被推荐为一线药物，但指出对慢性肾脏疾病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CKD）4</w:t>
      </w:r>
      <w:r>
        <w:rPr>
          <w:color w:val="000000"/>
          <w:spacing w:val="0"/>
          <w:w w:val="100"/>
          <w:position w:val="0"/>
        </w:rPr>
        <w:t>期及以上的患者，目前非布索坦缺乏安全 性数据。别喋醇的剂量:指南建议为了减少开始降尿 酸治疗后痛风复发，以及减少别嚟醇严重超敏反应综 合征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（AHS）</w:t>
      </w:r>
      <w:r>
        <w:rPr>
          <w:color w:val="000000"/>
          <w:spacing w:val="0"/>
          <w:w w:val="100"/>
          <w:position w:val="0"/>
        </w:rPr>
        <w:t>的发生，初始剂量必须不超过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100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mg/d, </w:t>
      </w:r>
      <w:r>
        <w:rPr>
          <w:color w:val="000000"/>
          <w:spacing w:val="0"/>
          <w:w w:val="100"/>
          <w:position w:val="0"/>
        </w:rPr>
        <w:t>如果有中度至重度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CKD,</w:t>
      </w:r>
      <w:r>
        <w:rPr>
          <w:color w:val="000000"/>
          <w:spacing w:val="0"/>
          <w:w w:val="100"/>
          <w:position w:val="0"/>
        </w:rPr>
        <w:t>初始剂量应小于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50mg/d, </w:t>
      </w:r>
      <w:r>
        <w:rPr>
          <w:color w:val="000000"/>
          <w:spacing w:val="0"/>
          <w:w w:val="100"/>
          <w:position w:val="0"/>
        </w:rPr>
        <w:t>然后逐渐增加剂量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,2 ~ 5</w:t>
      </w:r>
      <w:r>
        <w:rPr>
          <w:color w:val="000000"/>
          <w:spacing w:val="0"/>
          <w:w w:val="100"/>
          <w:position w:val="0"/>
        </w:rPr>
        <w:t>周达到合适的治疗量，每 个患者的剂量根据个体原则确定。指南指出，别喋 醇单药治疗,如剂量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＜300mg/d,</w:t>
      </w:r>
      <w:r>
        <w:rPr>
          <w:color w:val="000000"/>
          <w:spacing w:val="0"/>
          <w:w w:val="100"/>
          <w:position w:val="0"/>
        </w:rPr>
        <w:t xml:space="preserve">有一半以上的患者 不能将血尿酸降至目标值（＜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 xml:space="preserve">帽出或＜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mg/dl）,</w:t>
      </w:r>
      <w:r>
        <w:rPr>
          <w:color w:val="000000"/>
          <w:spacing w:val="0"/>
          <w:w w:val="100"/>
          <w:position w:val="0"/>
        </w:rPr>
        <w:t>因 此，别嘩醇的维持剂量可以超过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300mg/d,</w:t>
      </w:r>
      <w:r>
        <w:rPr>
          <w:color w:val="000000"/>
          <w:spacing w:val="0"/>
          <w:w w:val="100"/>
          <w:position w:val="0"/>
        </w:rPr>
        <w:t>即使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CKD </w:t>
      </w:r>
      <w:r>
        <w:rPr>
          <w:color w:val="000000"/>
          <w:spacing w:val="0"/>
          <w:w w:val="100"/>
          <w:position w:val="0"/>
        </w:rPr>
        <w:t>患者也如此，当然要对患者进行充分的教育及各种 不良反应的密切监测。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AHS</w:t>
      </w:r>
      <w:r>
        <w:rPr>
          <w:color w:val="000000"/>
          <w:spacing w:val="0"/>
          <w:w w:val="100"/>
          <w:position w:val="0"/>
        </w:rPr>
        <w:t>是影响别嘩醇用药的主 要原因，在美国的发生率约在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1 </w:t>
      </w:r>
      <w:r>
        <w:rPr>
          <w:color w:val="000000"/>
          <w:spacing w:val="0"/>
          <w:w w:val="100"/>
          <w:position w:val="0"/>
          <w:sz w:val="20"/>
          <w:szCs w:val="20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 1000,</w:t>
      </w:r>
      <w:r>
        <w:rPr>
          <w:color w:val="000000"/>
          <w:spacing w:val="0"/>
          <w:w w:val="100"/>
          <w:position w:val="0"/>
        </w:rPr>
        <w:t xml:space="preserve">其中严重的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AHS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20%~ 25%,</w:t>
      </w:r>
      <w:r>
        <w:rPr>
          <w:color w:val="000000"/>
          <w:spacing w:val="0"/>
          <w:w w:val="100"/>
          <w:position w:val="0"/>
        </w:rPr>
        <w:t>同时使用嚷嗪类利尿剂和肾脏 受累是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AHS</w:t>
      </w:r>
      <w:r>
        <w:rPr>
          <w:color w:val="000000"/>
          <w:spacing w:val="0"/>
          <w:w w:val="100"/>
          <w:position w:val="0"/>
        </w:rPr>
        <w:t>发生的危险因素,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AHS</w:t>
      </w:r>
      <w:r>
        <w:rPr>
          <w:color w:val="000000"/>
          <w:spacing w:val="0"/>
          <w:w w:val="100"/>
          <w:position w:val="0"/>
        </w:rPr>
        <w:t>常常发生在开始 治疗的前几个月，小剂量开始能减少其发生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 xml:space="preserve">由于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HLA-B*5801</w:t>
      </w:r>
      <w:r>
        <w:rPr>
          <w:color w:val="000000"/>
          <w:spacing w:val="0"/>
          <w:w w:val="100"/>
          <w:position w:val="0"/>
        </w:rPr>
        <w:t>基因阳性患者发生严重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AHS</w:t>
      </w:r>
      <w:r>
        <w:rPr>
          <w:color w:val="000000"/>
          <w:spacing w:val="0"/>
          <w:w w:val="100"/>
          <w:position w:val="0"/>
        </w:rPr>
        <w:t>的风险明 显增髙，指南建议在别噤醇开始治疗之前，对高危人 群（汉人、泰国人、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CKD3</w:t>
      </w:r>
      <w:r>
        <w:rPr>
          <w:color w:val="000000"/>
          <w:spacing w:val="0"/>
          <w:w w:val="100"/>
          <w:position w:val="0"/>
        </w:rPr>
        <w:t xml:space="preserve">期以上的韩国人）进行快速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PCR </w:t>
      </w:r>
      <w:r>
        <w:rPr>
          <w:color w:val="000000"/>
          <w:spacing w:val="0"/>
          <w:w w:val="100"/>
          <w:position w:val="0"/>
        </w:rPr>
        <w:t xml:space="preserve">筛查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HLA-B*5801 </w:t>
      </w:r>
      <w:r>
        <w:rPr>
          <w:color w:val="000000"/>
          <w:spacing w:val="0"/>
          <w:w w:val="100"/>
          <w:position w:val="0"/>
        </w:rPr>
        <w:t>基因。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5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指南建议如果患者对黄喋吟氧化酶抑制剂有禁 忌或不耐受，丙磺舒作为促尿酸排泄的一线药物用 于降尿酸治疗，但如果患</w:t>
      </w:r>
      <w:r>
        <w:rPr>
          <w:color w:val="000000"/>
          <w:spacing w:val="0"/>
          <w:w w:val="100"/>
          <w:position w:val="0"/>
          <w:lang w:val="zh-CN" w:eastAsia="zh-CN" w:bidi="zh-CN"/>
        </w:rPr>
        <w:t>者肌酊</w:t>
      </w:r>
      <w:r>
        <w:rPr>
          <w:color w:val="000000"/>
          <w:spacing w:val="0"/>
          <w:w w:val="100"/>
          <w:position w:val="0"/>
        </w:rPr>
        <w:t xml:space="preserve">清除率＜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50ml/min, </w:t>
      </w:r>
      <w:r>
        <w:rPr>
          <w:color w:val="000000"/>
          <w:spacing w:val="0"/>
          <w:w w:val="100"/>
          <w:position w:val="0"/>
        </w:rPr>
        <w:t>丙磺舒不被推荐为单独用于降尿酸治疗。有尿路结 石史禁用一线促尿酸排泄药物（因为给予丙磺舒或 苯漠马隆产生尿路结石的相关性风险是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9%~ 11%</w:t>
      </w:r>
      <w:r>
        <w:rPr>
          <w:color w:val="000000"/>
          <w:spacing w:val="0"/>
          <w:w w:val="100"/>
          <w:position w:val="0"/>
          <w:sz w:val="20"/>
          <w:szCs w:val="20"/>
        </w:rPr>
        <w:t>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.</w:t>
      </w:r>
      <w:r>
        <w:rPr>
          <w:color w:val="000000"/>
          <w:spacing w:val="0"/>
          <w:w w:val="100"/>
          <w:position w:val="0"/>
        </w:rPr>
        <w:t>为降低尿路结石的风险，指南建议在开始治 疗之前，应该监测尿尿酸的量，如果尿尿酸增高，提 示尿酸生成增多，禁用促尿酸排泄药物。在降尿酸治 疗过程中应增加液体的摄取，并碱化尿液（枸様酸钾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）-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50" w:lineRule="exact"/>
        <w:ind w:left="0" w:right="0" w:firstLine="4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>指南建议急性痛风发作期，在有效的抗炎治疗 开始后就可以开始降尿酸治疗。这有别于以前的指 南建议的急性关节炎症状缓解后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周开始降尿酸治 疗。血尿酸的目标值:对所有的患者,血尿酸的目标 值要求至少＜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6mg/dl,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对于痛风性关节炎症状长期 不缓解或有痛风石的患者,血尿酸要求降的更低，通 常在 ＜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mg/dL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5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对于治疗后血尿酸不能达标或痛风症状体征不 能控制，指南建议增加黄嘩吟氧化酶抑制剂的剂量， 可参考药物说明书,达到患者能耐受的最大剂量。如 果一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种黄喋</w:t>
      </w:r>
      <w:r>
        <w:rPr>
          <w:color w:val="000000"/>
          <w:spacing w:val="0"/>
          <w:w w:val="100"/>
          <w:position w:val="0"/>
        </w:rPr>
        <w:t>吟氧化酶抑制剂无效或不能耐受,可以换 用另一种黄嘩吟氣化酶抑制剂,或者联合促尿酸排泄 药物丙磺舒、非诺贝特、氯沙坦。在该指南中，非诺贝 特、氯沙坦作为有尿酸排泄作用的药物用于难治性痛 风的治疗■严重痛风患者，口服降尿酸药物无反应或 不能耐受，可使用聚乙二醇化重组尿酸氧化酶。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6" w:name="bookmark14"/>
      <w:bookmarkStart w:id="7" w:name="bookmark12"/>
      <w:bookmarkStart w:id="8" w:name="bookmark13"/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急性痛风性关节炎治疗和预防复发</w:t>
      </w:r>
      <w:bookmarkEnd w:id="6"/>
      <w:bookmarkEnd w:id="7"/>
      <w:bookmarkEnd w:id="8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51" w:lineRule="exact"/>
        <w:ind w:left="0" w:right="0" w:firstLine="460"/>
        <w:jc w:val="both"/>
        <w:sectPr>
          <w:headerReference r:id="rId7" w:type="default"/>
          <w:footerReference r:id="rId8" w:type="default"/>
          <w:footnotePr>
            <w:numFmt w:val="decimal"/>
          </w:footnotePr>
          <w:pgSz w:w="11900" w:h="16840"/>
          <w:pgMar w:top="1695" w:right="1162" w:bottom="259" w:left="1301" w:header="0" w:footer="3" w:gutter="0"/>
          <w:cols w:space="425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指南的第二部分是有关急性痛风的治疗及预 防。指南建议急性痛风性关节炎需要药物治疗，而 且治疗最好在起病后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24h</w:t>
      </w:r>
      <w:r>
        <w:rPr>
          <w:color w:val="000000"/>
          <w:spacing w:val="0"/>
          <w:w w:val="100"/>
          <w:position w:val="0"/>
        </w:rPr>
        <w:t>之内开始，越早治疗，效果 越好，在急性痛风发作期间继续已经开始的降尿酸 治疗。患者教育不仅包括饮食、避免任何的触发因 素，还要指导患者在痛风急性发作时给予及时的处 理，让患者知道，痛风是血尿酸过高引起，只有降低 血尿酸，才有可能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“治愈"痛</w:t>
      </w:r>
      <w:r>
        <w:rPr>
          <w:color w:val="000000"/>
          <w:spacing w:val="0"/>
          <w:w w:val="100"/>
          <w:position w:val="0"/>
        </w:rPr>
        <w:t>风。根据关节疼痛的程 度和受累关节的数量决定急性痛风性关节炎治疗药 物的选择。轻或中度疼痛，累及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个或少数几个小 关节、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个大关节，建议单用非會体抗炎药 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NSAIDs </w:t>
      </w:r>
      <w:r>
        <w:rPr>
          <w:color w:val="000000"/>
          <w:spacing w:val="0"/>
          <w:w w:val="100"/>
          <w:position w:val="0"/>
        </w:rPr>
        <w:t>）、全身糖皮质激素、口服秋水仙碱;严重疼</w:t>
      </w:r>
    </w:p>
    <w:p>
      <w:pPr>
        <w:widowControl w:val="0"/>
        <w:spacing w:line="105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headerReference r:id="rId10" w:type="first"/>
          <w:footerReference r:id="rId12" w:type="first"/>
          <w:headerReference r:id="rId9" w:type="default"/>
          <w:footerReference r:id="rId11" w:type="default"/>
          <w:footnotePr>
            <w:numFmt w:val="decimal"/>
          </w:footnotePr>
          <w:pgSz w:w="11900" w:h="16840"/>
          <w:pgMar w:top="1605" w:right="1224" w:bottom="1055" w:left="1258" w:header="0" w:footer="3" w:gutter="0"/>
          <w:cols w:space="132" w:num="2"/>
          <w:titlePg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50" w:lineRule="exact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</w:rPr>
        <w:t>痛，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＞4</w:t>
      </w:r>
      <w:r>
        <w:rPr>
          <w:color w:val="000000"/>
          <w:spacing w:val="0"/>
          <w:w w:val="100"/>
          <w:position w:val="0"/>
          <w:sz w:val="18"/>
          <w:szCs w:val="18"/>
        </w:rPr>
        <w:t>个关节累及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,1 ~ 2</w:t>
      </w:r>
      <w:r>
        <w:rPr>
          <w:color w:val="000000"/>
          <w:spacing w:val="0"/>
          <w:w w:val="100"/>
          <w:position w:val="0"/>
          <w:sz w:val="18"/>
          <w:szCs w:val="18"/>
        </w:rPr>
        <w:t>个大关节受累，建议联合 治疗。针对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</w:rPr>
        <w:t>类药物，指南没有优先推荐，建议医师 根据患者的偏好、以前治疗的反应、合并症综合考虑 药物的选择。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  <w:sz w:val="18"/>
          <w:szCs w:val="18"/>
        </w:rPr>
        <w:t>治疗强调足量，足疗程（直到 急性痛风性关节炎完全缓解），伴有合并症、肝肾功 能损害的患者减少剂量。如果患者在痛风发作时没 有使用秋水仙碱预防性治疗，或虽然使用秋水仙碱 预防性治疗，但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14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8"/>
          <w:szCs w:val="18"/>
        </w:rPr>
        <w:t>内没有使用负荷量的秋水仙碱 治疗急性痛风性关节炎，可以选择秋水仙碱治疗。负 荷量为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1.2mg（</w:t>
      </w:r>
      <w:r>
        <w:rPr>
          <w:color w:val="000000"/>
          <w:spacing w:val="0"/>
          <w:w w:val="100"/>
          <w:position w:val="0"/>
          <w:sz w:val="18"/>
          <w:szCs w:val="18"/>
        </w:rPr>
        <w:t>每片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0.6mg</w:t>
      </w:r>
      <w:r>
        <w:rPr>
          <w:color w:val="000000"/>
          <w:spacing w:val="0"/>
          <w:w w:val="100"/>
          <w:position w:val="0"/>
          <w:sz w:val="18"/>
          <w:szCs w:val="18"/>
        </w:rPr>
        <w:t>域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1.0mg（</w:t>
      </w:r>
      <w:r>
        <w:rPr>
          <w:color w:val="000000"/>
          <w:spacing w:val="0"/>
          <w:w w:val="100"/>
          <w:position w:val="0"/>
          <w:sz w:val="18"/>
          <w:szCs w:val="18"/>
        </w:rPr>
        <w:t>每片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0.5 mg）,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207"/>
        </w:tabs>
        <w:bidi w:val="0"/>
        <w:spacing w:before="0" w:after="0" w:line="350" w:lineRule="exact"/>
        <w:ind w:left="0" w:right="0" w:firstLine="0"/>
        <w:jc w:val="both"/>
        <w:rPr>
          <w:sz w:val="20"/>
          <w:szCs w:val="20"/>
        </w:rPr>
      </w:pPr>
      <w:bookmarkStart w:id="9" w:name="bookmark15"/>
      <w:bookmarkEnd w:id="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后服用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0.6mg（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或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0.5 mg）.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12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后按照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0.6mg, </w:t>
      </w:r>
      <w:r>
        <w:rPr>
          <w:color w:val="000000"/>
          <w:spacing w:val="0"/>
          <w:w w:val="100"/>
          <w:position w:val="0"/>
          <w:sz w:val="18"/>
          <w:szCs w:val="18"/>
        </w:rPr>
        <w:t>每天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1 ~ 2</w:t>
      </w:r>
      <w:r>
        <w:rPr>
          <w:color w:val="000000"/>
          <w:spacing w:val="0"/>
          <w:w w:val="100"/>
          <w:position w:val="0"/>
          <w:sz w:val="18"/>
          <w:szCs w:val="18"/>
        </w:rPr>
        <w:t>次服用，或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0.5 mg,</w:t>
      </w:r>
      <w:r>
        <w:rPr>
          <w:color w:val="000000"/>
          <w:spacing w:val="0"/>
          <w:w w:val="100"/>
          <w:position w:val="0"/>
          <w:sz w:val="18"/>
          <w:szCs w:val="18"/>
        </w:rPr>
        <w:t>每天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次维持至痛风 完全缓解。如果患者使用秋水仙碱预防性治疗，且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14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8"/>
          <w:szCs w:val="18"/>
        </w:rPr>
        <w:t>内使用过负荷量秋水仙碱，本次发作不再选用 秋水仙碱，而选择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  <w:sz w:val="18"/>
          <w:szCs w:val="18"/>
        </w:rPr>
        <w:t>或糖皮质激素。秋水仙 碱的使用在起病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36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8"/>
          <w:szCs w:val="18"/>
        </w:rPr>
        <w:t>之内，在使用时注意药物的相 互作用，特殊情况使用建议参考药物说明书。关于 全身和局部使用糖皮质激素，指南建议首先评估受 累关节数量，口服强的松剂量为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0.5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zh-CN" w:bidi="en-US"/>
        </w:rPr>
        <w:t>mg/kg/d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, </w:t>
      </w:r>
      <w:r>
        <w:rPr>
          <w:color w:val="000000"/>
          <w:spacing w:val="0"/>
          <w:w w:val="100"/>
          <w:position w:val="0"/>
          <w:sz w:val="18"/>
          <w:szCs w:val="18"/>
        </w:rPr>
        <w:t>疗程为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5 ~ 10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  <w:sz w:val="18"/>
          <w:szCs w:val="18"/>
        </w:rPr>
        <w:t>直接停药，或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0.5 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zh-CN" w:bidi="en-US"/>
        </w:rPr>
        <w:t>mg/kg/d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236"/>
        </w:tabs>
        <w:bidi w:val="0"/>
        <w:spacing w:before="0" w:after="0" w:line="350" w:lineRule="exact"/>
        <w:ind w:left="0" w:right="0" w:firstLine="0"/>
        <w:jc w:val="both"/>
      </w:pPr>
      <w:bookmarkStart w:id="10" w:name="bookmark16"/>
      <w:bookmarkEnd w:id="1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5d,</w:t>
      </w:r>
      <w:r>
        <w:rPr>
          <w:color w:val="000000"/>
          <w:spacing w:val="0"/>
          <w:w w:val="100"/>
          <w:position w:val="0"/>
        </w:rPr>
        <w:t>然后逐渐减量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,7 ~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10d</w:t>
      </w:r>
      <w:r>
        <w:rPr>
          <w:color w:val="000000"/>
          <w:spacing w:val="0"/>
          <w:w w:val="100"/>
          <w:position w:val="0"/>
        </w:rPr>
        <w:t>停药;也可以选择 甲基强的松龙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如果是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1 ~ 2</w:t>
      </w:r>
      <w:r>
        <w:rPr>
          <w:color w:val="000000"/>
          <w:spacing w:val="0"/>
          <w:w w:val="100"/>
          <w:position w:val="0"/>
        </w:rPr>
        <w:t>个大关节受累，可以 选择糖皮质激素关节腔注射，剂量根据受累关节大 小决定，同时联合口服糖皮质激素或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或秋 水仙碱。指南建议单次肌注曲安奈德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60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mg,</w:t>
      </w:r>
      <w:r>
        <w:rPr>
          <w:color w:val="000000"/>
          <w:spacing w:val="0"/>
          <w:w w:val="100"/>
          <w:position w:val="0"/>
        </w:rPr>
        <w:t>随后口 服强的松或强的松龙也是可以选择的方案。单独肌 注曲安奈德治疗痛风性关节炎以及能口服药物患者 皮下注射促肾上腺皮质激素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ACTH）</w:t>
      </w:r>
      <w:r>
        <w:rPr>
          <w:color w:val="000000"/>
          <w:spacing w:val="0"/>
          <w:w w:val="100"/>
          <w:position w:val="0"/>
        </w:rPr>
        <w:t>没有获得指南 一致同意。严重的急性痛风发作患者，指南建议联 合治疗，联合方案包括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NSAIDs+</w:t>
      </w:r>
      <w:r>
        <w:rPr>
          <w:color w:val="000000"/>
          <w:spacing w:val="0"/>
          <w:w w:val="100"/>
          <w:position w:val="0"/>
        </w:rPr>
        <w:t xml:space="preserve">秋水仙碱、口服糖皮 质激素+秋水仙碱、关节内糖皮质激素+秋水仙碱或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或口服糖皮质激素。对初始治疗没有充分 应答的急性痛风发作患者（定义为药物治疗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24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 xml:space="preserve">内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VAS</w:t>
      </w:r>
      <w:r>
        <w:rPr>
          <w:color w:val="000000"/>
          <w:spacing w:val="0"/>
          <w:w w:val="100"/>
          <w:position w:val="0"/>
        </w:rPr>
        <w:t xml:space="preserve">评分改善＜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20%,</w:t>
      </w:r>
      <w:r>
        <w:rPr>
          <w:color w:val="000000"/>
          <w:spacing w:val="0"/>
          <w:w w:val="100"/>
          <w:position w:val="0"/>
        </w:rPr>
        <w:t>或治疗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＞24h,VAS</w:t>
      </w:r>
      <w:r>
        <w:rPr>
          <w:color w:val="000000"/>
          <w:spacing w:val="0"/>
          <w:w w:val="100"/>
          <w:position w:val="0"/>
        </w:rPr>
        <w:t xml:space="preserve">评分改善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＜ 50%）</w:t>
      </w:r>
      <w:r>
        <w:rPr>
          <w:color w:val="000000"/>
          <w:spacing w:val="0"/>
          <w:w w:val="100"/>
          <w:position w:val="0"/>
        </w:rPr>
        <w:t>需重新考虑痛风诊断，治疗上考虑转换另一 种药物治疗，或者使用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IL-1</w:t>
      </w:r>
      <w:r>
        <w:rPr>
          <w:color w:val="000000"/>
          <w:spacing w:val="0"/>
          <w:w w:val="100"/>
          <w:position w:val="0"/>
        </w:rPr>
        <w:t>抑制剂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（anakinra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100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mg, </w:t>
      </w:r>
      <w:r>
        <w:rPr>
          <w:color w:val="000000"/>
          <w:spacing w:val="0"/>
          <w:w w:val="100"/>
          <w:position w:val="0"/>
        </w:rPr>
        <w:t>皮下注射，每天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次连用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3d）,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canakinumab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150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mg, </w:t>
      </w:r>
      <w:r>
        <w:rPr>
          <w:color w:val="000000"/>
          <w:spacing w:val="0"/>
          <w:w w:val="100"/>
          <w:position w:val="0"/>
        </w:rPr>
        <w:t>皮下注射。目前该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种生物制剂还没有痛风适应证° 指南建议，禁食患者,如果是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个关节受累，选择 关节腔内糖皮质激素注射，剂量根据关节大小决定。 指南建议也可以肌肉或静脉注射甲基强的松龙，起始 剂量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0.5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~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2mg/kg,</w:t>
      </w:r>
      <w:r>
        <w:rPr>
          <w:color w:val="000000"/>
          <w:spacing w:val="0"/>
          <w:w w:val="100"/>
          <w:position w:val="0"/>
        </w:rPr>
        <w:t>或者皮下注射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ACTH25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~ 40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IU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开始降尿酸治疗后，急性痛风发作频率增高，首 选的预防复发的药物是秋水仙碱，剂量为每次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0.5</w:t>
      </w:r>
      <w:r>
        <w:rPr>
          <w:color w:val="000000"/>
          <w:spacing w:val="0"/>
          <w:w w:val="100"/>
          <w:position w:val="0"/>
        </w:rPr>
        <w:t xml:space="preserve">或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0.6 mg,</w:t>
      </w:r>
      <w:r>
        <w:rPr>
          <w:color w:val="000000"/>
          <w:spacing w:val="0"/>
          <w:w w:val="100"/>
          <w:position w:val="0"/>
        </w:rPr>
        <w:t>每天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1 ~ 2</w:t>
      </w:r>
      <w:r>
        <w:rPr>
          <w:color w:val="000000"/>
          <w:spacing w:val="0"/>
          <w:w w:val="100"/>
          <w:position w:val="0"/>
        </w:rPr>
        <w:t>次,如有中重度肾功能损害或药 物相互作用，剂量进一步降低。小剂量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联 合质子泵抑制剂或其他消化性溃疡抑制药也可作为 一线选择。对秋水仙碱和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不能耐受、有禁 忌证、或无效的患者，指南建议用小剂量强的松或强 的松龙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（10mg/d）</w:t>
      </w:r>
      <w:r>
        <w:rPr>
          <w:color w:val="000000"/>
          <w:spacing w:val="0"/>
          <w:w w:val="100"/>
          <w:position w:val="0"/>
        </w:rPr>
        <w:t xml:space="preserve">预防痛风复发。疗程：指南建议,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（1）</w:t>
      </w:r>
      <w:r>
        <w:rPr>
          <w:color w:val="000000"/>
          <w:spacing w:val="0"/>
          <w:w w:val="100"/>
          <w:position w:val="0"/>
        </w:rPr>
        <w:t>至少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个月</w:t>
      </w:r>
      <w:r>
        <w:rPr>
          <w:color w:val="000000"/>
          <w:spacing w:val="0"/>
          <w:w w:val="100"/>
          <w:position w:val="0"/>
          <w:sz w:val="20"/>
          <w:szCs w:val="20"/>
        </w:rPr>
        <w:t>；（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2）</w:t>
      </w:r>
      <w:r>
        <w:rPr>
          <w:color w:val="000000"/>
          <w:spacing w:val="0"/>
          <w:w w:val="100"/>
          <w:position w:val="0"/>
        </w:rPr>
        <w:t>体检没有痛风石的患者,在达到 尿酸目标值后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个月；</w:t>
      </w:r>
      <w:r>
        <w:rPr>
          <w:color w:val="000000"/>
          <w:spacing w:val="0"/>
          <w:w w:val="100"/>
          <w:position w:val="0"/>
          <w:sz w:val="20"/>
          <w:szCs w:val="20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3）</w:t>
      </w:r>
      <w:r>
        <w:rPr>
          <w:color w:val="000000"/>
          <w:spacing w:val="0"/>
          <w:w w:val="100"/>
          <w:position w:val="0"/>
        </w:rPr>
        <w:t>以前有痛风石的患者，体 检痛风石消失，并达到尿酸目标值后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个月。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line="542" w:lineRule="exact"/>
        <w:ind w:left="0" w:right="0" w:firstLine="0"/>
        <w:jc w:val="both"/>
      </w:pPr>
      <w:bookmarkStart w:id="11" w:name="bookmark19"/>
      <w:bookmarkStart w:id="12" w:name="bookmark17"/>
      <w:bookmarkStart w:id="13" w:name="bookmark18"/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w w:val="100"/>
          <w:position w:val="0"/>
          <w:sz w:val="20"/>
          <w:szCs w:val="20"/>
        </w:rPr>
        <w:t>3 2012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痛风治疗指南和中华医学会风湿病 学分会痛风指南比较’</w:t>
      </w:r>
      <w:bookmarkEnd w:id="11"/>
      <w:bookmarkEnd w:id="12"/>
      <w:bookmarkEnd w:id="13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5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比较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2012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痛风治疗指南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指南） 和中华医学会风湿病学分会痛风诊疗指南（中国指 南），主要有以下不同。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466"/>
        </w:tabs>
        <w:bidi w:val="0"/>
        <w:spacing w:before="0" w:after="0" w:line="354" w:lineRule="exact"/>
        <w:ind w:left="0" w:right="0" w:firstLine="0"/>
        <w:jc w:val="both"/>
      </w:pPr>
      <w:bookmarkStart w:id="14" w:name="bookmark20"/>
      <w:bookmarkEnd w:id="1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指南推荐的一线降尿酸药物是别嘩醇和 非布索坦，非布索坦首次作为一线药物推荐，丙磺舒 是至少对一种黄嚎吟氧化酶抑制剂禁忌或不能耐 受，才作为一线的促尿</w:t>
      </w:r>
      <w:r>
        <w:rPr>
          <w:b/>
          <w:bCs/>
          <w:color w:val="000000"/>
          <w:spacing w:val="0"/>
          <w:w w:val="100"/>
          <w:position w:val="0"/>
        </w:rPr>
        <w:t>酸排泄</w:t>
      </w:r>
      <w:r>
        <w:rPr>
          <w:color w:val="000000"/>
          <w:spacing w:val="0"/>
          <w:w w:val="100"/>
          <w:position w:val="0"/>
        </w:rPr>
        <w:t>药用于</w:t>
      </w:r>
      <w:r>
        <w:rPr>
          <w:b/>
          <w:bCs/>
          <w:color w:val="000000"/>
          <w:spacing w:val="0"/>
          <w:w w:val="100"/>
          <w:position w:val="0"/>
        </w:rPr>
        <w:t>降尿酸</w:t>
      </w:r>
      <w:r>
        <w:rPr>
          <w:color w:val="000000"/>
          <w:spacing w:val="0"/>
          <w:w w:val="100"/>
          <w:position w:val="0"/>
        </w:rPr>
        <w:t>治疗;而 中国指南没有推荐非布索坦（中国未上市），中国指 南推荐的苯漠马隆,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指南没有推荐（美国没有被 批准上市）。有尿路结石史和尿尿酸升高者,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指 南推荐禁用促尿酸排泄药物；中国指南推荐前者慎 用，后者没有提及。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51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</w:rPr>
        <w:t>开始降尿酸时间,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指南建议在开始有效的 抗炎治疗后就可以开始降尿酸治疗；中国指南建议 在急性发作平熄至少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周后开始。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51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3.3 ACR</w:t>
      </w:r>
      <w:r>
        <w:rPr>
          <w:color w:val="000000"/>
          <w:spacing w:val="0"/>
          <w:w w:val="100"/>
          <w:position w:val="0"/>
        </w:rPr>
        <w:t>指南建议在高危人群（包括汉族人群）中， 开始别嘩醇治疗前检测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HLA-B*5801</w:t>
      </w:r>
      <w:r>
        <w:rPr>
          <w:color w:val="000000"/>
          <w:spacing w:val="0"/>
          <w:w w:val="100"/>
          <w:position w:val="0"/>
        </w:rPr>
        <w:t xml:space="preserve">基因，避免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AHS;</w:t>
      </w:r>
      <w:r>
        <w:rPr>
          <w:color w:val="000000"/>
          <w:spacing w:val="0"/>
          <w:w w:val="100"/>
          <w:position w:val="0"/>
        </w:rPr>
        <w:t>而中国指南没有提及。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51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3.4</w:t>
      </w:r>
      <w:r>
        <w:rPr>
          <w:color w:val="000000"/>
          <w:spacing w:val="0"/>
          <w:w w:val="100"/>
          <w:position w:val="0"/>
        </w:rPr>
        <w:t xml:space="preserve">在急性痛风性关节炎抗炎治疗药物选择上,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指南推荐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秋水仙碱和糖皮质激素，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3 </w:t>
      </w:r>
      <w:r>
        <w:rPr>
          <w:color w:val="000000"/>
          <w:spacing w:val="0"/>
          <w:w w:val="100"/>
          <w:position w:val="0"/>
        </w:rPr>
        <w:t>种药物作了同等推荐，建议医师根据患者的偏好、以 前治疗的反应、合并症综合考虑药物的选择;中国指 南建议糖皮质激素用于不能耐受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秋水仙碱 或肾功能不全者。</w:t>
      </w:r>
    </w:p>
    <w:p>
      <w:pPr>
        <w:pStyle w:val="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463"/>
        </w:tabs>
        <w:bidi w:val="0"/>
        <w:spacing w:before="0" w:after="0" w:line="358" w:lineRule="exact"/>
        <w:ind w:left="0" w:right="0" w:firstLine="0"/>
        <w:jc w:val="both"/>
      </w:pPr>
      <w:bookmarkStart w:id="15" w:name="bookmark21"/>
      <w:bookmarkEnd w:id="1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指南强调分层治疗,痛风性关节炎根据疼 痛的程度及受累关节数确定严重程度，决定选用单 药治疗还是联合治疗，对联合治疗方案也做了建议; 中国指南没有强调分层治疗。</w:t>
      </w:r>
      <w:bookmarkStart w:id="17" w:name="_GoBack"/>
      <w:bookmarkEnd w:id="17"/>
    </w:p>
    <w:p>
      <w:pPr>
        <w:pStyle w:val="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463"/>
        </w:tabs>
        <w:bidi w:val="0"/>
        <w:spacing w:before="0" w:after="0" w:line="355" w:lineRule="exact"/>
        <w:ind w:left="0" w:right="0" w:firstLine="0"/>
        <w:jc w:val="both"/>
      </w:pPr>
      <w:bookmarkStart w:id="16" w:name="bookmark22"/>
      <w:bookmarkEnd w:id="1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指南将小剂量强的松或强的松龙用于对 秋水仙碱和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不能耐受、有禁忌证、无效的患 者预防痛风复发;中国指南没有提及。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由于种族差异，生活方式的不同，医疗环境及可 供选择的药物不一样,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痛风指南是否能适用于 中国临床实践，还需要临床医生验证。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0" w:right="0" w:firstLine="0"/>
        <w:jc w:val="both"/>
      </w:pPr>
    </w:p>
    <w:p>
      <w:pPr>
        <w:widowControl w:val="0"/>
        <w:spacing w:before="85" w:after="8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1900" w:h="16840"/>
          <w:pgMar w:top="1599" w:right="0" w:bottom="1133" w:left="0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12" w:line="1" w:lineRule="exact"/>
      </w:pPr>
    </w:p>
    <w:p>
      <w:pPr>
        <w:widowControl w:val="0"/>
        <w:spacing w:line="1" w:lineRule="exact"/>
      </w:pPr>
    </w:p>
    <w:sectPr>
      <w:headerReference r:id="rId13" w:type="default"/>
      <w:footerReference r:id="rId14" w:type="default"/>
      <w:footnotePr>
        <w:numFmt w:val="decimal"/>
      </w:footnotePr>
      <w:pgSz w:w="11900" w:h="16840"/>
      <w:pgMar w:top="625" w:right="730" w:bottom="583" w:left="1268" w:header="197" w:footer="3" w:gutter="0"/>
      <w:pgNumType w:start="5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5756910</wp:posOffset>
              </wp:positionH>
              <wp:positionV relativeFrom="page">
                <wp:posOffset>10092055</wp:posOffset>
              </wp:positionV>
              <wp:extent cx="1313815" cy="164465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3815" cy="1644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" o:spid="_x0000_s1026" o:spt="202" type="#_x0000_t202" style="position:absolute;left:0pt;margin-left:453.3pt;margin-top:794.65pt;height:12.95pt;width:103.45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r8Aib9kAAAAO&#10;AQAADwAAAGRycy9kb3ducmV2LnhtbE2PPU/DMBCGdyT+g3WV2KjtVglpiNOhEgsbBSGxufE1juqP&#10;yHbT5N/jTrDd6X303nPNfraGTBji4J0AvmZA0HVeDa4X8PX59lwBiUk6JY13KGDBCPv28aGRtfI3&#10;94HTMfUkl7hYSwE6pbGmNHYarYxrP6LL2dkHK1NeQ09VkLdcbg3dMFZSKweXL2g54kFjdzlerYCX&#10;+dvjGPGAP+epC3pYKvO+CPG04uwVSMI5/cFw18/q0Gank786FYkRsGNlmdEcFNVuC+SOcL4tgJzy&#10;VPJiA7Rt6P832l9QSwMEFAAAAAgAh07iQE1MOBKuAQAAcgMAAA4AAABkcnMvZTJvRG9jLnhtbK1T&#10;TW/bMAy9D+h/EHRfHPcjKIw4xYagRYFhG9DuByiyFAuQREFUYuffj5KdtOguPewiUyT1yPdIrx9G&#10;Z9lRRTTgW14vlpwpL6Ezft/yP6+PX+85wyR8Jyx41fKTQv6wufqyHkKjrqEH26nICMRjM4SW9ymF&#10;pqpQ9soJXEBQnoIaohOJrnFfdVEMhO5sdb1crqoBYhciSIVI3u0U5DNi/AwgaG2k2oI8OOXThBqV&#10;FYkoYW8C8k3pVmsl0y+tUSVmW05MUzmpCNm7fFabtWj2UYTeyLkF8ZkWPnBywngqeoHaiiTYIZp/&#10;oJyRERB0Wkhw1USkKEIs6uUHbV56EVThQlJjuIiO/w9W/jz+jsx0tAk1Z144mngpy+hO4gwBG8p5&#10;CZSVxu8wUuLZj+TMnEcdXf4SG0ZxkvZ0kVaNicn86Ka+ua/vOJMUq1e3t6u7DFO9vQ4R05MCx7LR&#10;8kijK4qK4w9MU+o5JRfz8Giszf7c4tRKttK4G+e+d9CdqO2BpttyT8vMmX32JF5ehLMRz8ZuNjI4&#10;hm+HRAVK3Yw6Qc3FaBSl83lt8qzf30vW26+y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vwCJv&#10;2QAAAA4BAAAPAAAAAAAAAAEAIAAAACIAAABkcnMvZG93bnJldi54bWxQSwECFAAUAAAACACHTuJA&#10;TUw4Eq4BAAByAwAADgAAAAAAAAABACAAAAAo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5727700</wp:posOffset>
              </wp:positionH>
              <wp:positionV relativeFrom="page">
                <wp:posOffset>10317480</wp:posOffset>
              </wp:positionV>
              <wp:extent cx="1313815" cy="164465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3815" cy="1644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" o:spid="_x0000_s1026" o:spt="202" type="#_x0000_t202" style="position:absolute;left:0pt;margin-left:451pt;margin-top:812.4pt;height:12.95pt;width:103.45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jkXX2tgAAAAO&#10;AQAADwAAAGRycy9kb3ducmV2LnhtbE2PzU7DMBCE70i8g7WVuFE7EbRpiNNDJS7cKKgSNzfeJlH9&#10;E9lumrw9mxMcd2Y0O1+1n6xhI4bYeychWwtg6Bqve9dK+P56fy6AxaScVsY7lDBjhH39+FCpUvu7&#10;+8TxmFpGJS6WSkKX0lByHpsOrYprP6Aj7+KDVYnO0HId1J3KreG5EBtuVe/oQ6cGPHTYXI83K2E7&#10;nTwOEQ/4cxmb0PVzYT5mKZ9WmXgDlnBKf2FY5tN0qGnT2d+cjsxI2ImcWBIZm/yFIJZIJoodsPOi&#10;vYot8Lri/zHqX1BLAwQUAAAACACHTuJAT8VZE60BAAByAwAADgAAAGRycy9lMm9Eb2MueG1srVPB&#10;TuMwEL0j7T9Yvm/TAluhqCkCVayQECDBfoDr2I0l22N53Cb9+x07aVnBhcNenPHM+M2bN5PV7eAs&#10;O6iIBnzDF7M5Z8pLaI3fNfzP+8PPG84wCd8KC141/KiQ365/XKz6UKtL6MC2KjIC8Vj3oeFdSqGu&#10;KpSdcgJnEJSnoIboRKJr3FVtFD2hO1tdzufLqofYhghSIZJ3Mwb5hBi/AwhaG6k2IPdO+TSiRmVF&#10;opawMwH5urDVWsn0ojWqxGzDqdNUTipC9jaf1Xol6l0UoTNyoiC+Q+FTT04YT0XPUBuRBNtH8wXK&#10;GRkBQaeZBFeNjRRFqIvF/JM2b50IqvRCUmM4i47/D1Y+H14jMy1twi/OvHA08VKW0Z3E6QPWlPMW&#10;KCsN9zBQ4smP5Mw9Dzq6/KVuGMVJ2uNZWjUkJvOjq8XVTS4hKbZYXl8vC3z18TpETL8VOJaNhkca&#10;XVFUHJ4wERNKPaXkYh4ejLXZnymOVLKVhu0w8d5CeyTaPU234Z6WmTP76Em8vAgnI56M7WRkcAx3&#10;+0QFSt2MOkJNxWgUhc60NnnW/95L1sevsv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jkXX2tgA&#10;AAAOAQAADwAAAAAAAAABACAAAAAiAAAAZHJzL2Rvd25yZXYueG1sUEsBAhQAFAAAAAgAh07iQE/F&#10;WROtAQAAcgMAAA4AAAAAAAAAAQAgAAAAJw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674370</wp:posOffset>
              </wp:positionH>
              <wp:positionV relativeFrom="page">
                <wp:posOffset>10369550</wp:posOffset>
              </wp:positionV>
              <wp:extent cx="1033145" cy="191770"/>
              <wp:effectExtent l="0" t="0" r="0" b="0"/>
              <wp:wrapNone/>
              <wp:docPr id="17" name="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3145" cy="1917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万方</w:t>
                          </w:r>
                        </w:p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i/>
                              <w:iCs/>
                              <w:color w:val="33529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"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" o:spid="_x0000_s1026" o:spt="202" type="#_x0000_t202" style="position:absolute;left:0pt;margin-left:53.1pt;margin-top:816.5pt;height:15.1pt;width:81.35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6N3mhdcAAAAN&#10;AQAADwAAAGRycy9kb3ducmV2LnhtbE2PzU7DMBCE70i8g7VI3KjdRAohxOmhEhduFITUmxtv4wj/&#10;RLabJm/P9gS3nd3R7DftbnGWzRjTGLyE7UYAQ98HPfpBwtfn21MNLGXltbLBo4QVE+y6+7tWNTpc&#10;/QfOhzwwCvGpURJMzlPDeeoNOpU2YUJPt3OITmWSceA6qiuFO8sLISru1Ojpg1ET7g32P4eLk/C8&#10;fAecEu7xeJ77aMa1tu+rlI8PW/EKLOOS/8xwwyd06IjpFC5eJ2ZJi6ogKw1VWVIrshRV/QLsdFtV&#10;ZQG8a/n/Ft0vUEsDBBQAAAAIAIdO4kDmbjrBrwEAAHIDAAAOAAAAZHJzL2Uyb0RvYy54bWytU8Fu&#10;2zAMvQ/YPwi6L7bbbVmNOEWHoMOAYRvQ7QMUWYoFSKIgKrHz96NkJx26Sw+7yBRJPT4+0pv7yVl2&#10;UhEN+I43q5oz5SX0xh86/vvX47tPnGESvhcWvOr4WSG/3759sxlDq25gANuryAjEYzuGjg8phbaq&#10;UA7KCVxBUJ6CGqITia7xUPVRjITubHVT1x+rEWIfIkiFSN7dHOQLYnwNIGhtpNqBPDrl04walRWJ&#10;WsLBBOTbwlZrJdMPrVElZjtOnaZyUhGy9/msthvRHqIIg5ELBfEaCi96csJ4KnqF2okk2DGaf6Cc&#10;kREQdFpJcNXcSFGEumjqF9o8DSKo0gtJjeEqOv4/WPn99DMy09MmrDnzwtHES1lGdxJnDNhSzlOg&#10;rDR9hokSL34kZ+550tHlL3XDKE7Snq/SqikxmR/Vt7fN+w+cSYo1d816XbSvnl+HiOmLAsey0fFI&#10;oyuKitM3TMSEUi8puZiHR2Nt9meKM5VspWk/Lbz30J+J9kjT7binZebMfvUkXl6EixEvxn4xMjiG&#10;h2OiAqVuRp2hlmI0ikJnWZs867/vJev5V9n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jd5oXX&#10;AAAADQEAAA8AAAAAAAAAAQAgAAAAIgAAAGRycy9kb3ducmV2LnhtbFBLAQIUABQAAAAIAIdO4kDm&#10;bjrBrwEAAHI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万方</w:t>
                    </w:r>
                  </w:p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i/>
                        <w:iCs/>
                        <w:color w:val="335290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5863590</wp:posOffset>
              </wp:positionH>
              <wp:positionV relativeFrom="page">
                <wp:posOffset>10309860</wp:posOffset>
              </wp:positionV>
              <wp:extent cx="1313815" cy="167640"/>
              <wp:effectExtent l="0" t="0" r="0" b="0"/>
              <wp:wrapNone/>
              <wp:docPr id="21" name="Shap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3815" cy="1676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1" o:spid="_x0000_s1026" o:spt="202" type="#_x0000_t202" style="position:absolute;left:0pt;margin-left:461.7pt;margin-top:811.8pt;height:13.2pt;width:103.45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L0sL19gAAAAO&#10;AQAADwAAAGRycy9kb3ducmV2LnhtbE2PsU7DMBCGdyTewTokNmongVBCnA6VWNgoFRKbG1/jCPsc&#10;xW6avD3OBOPd/+m/7+rd7CybcAy9JwnZRgBDar3uqZNw/Hx72AILUZFW1hNKWDDArrm9qVWl/ZU+&#10;cDrEjqUSCpWSYGIcKs5Da9CpsPEDUsrOfnQqpnHsuB7VNZU7y3MhSu5UT+mCUQPuDbY/h4uT8Dx/&#10;eRwC7vH7PLWj6ZetfV+kvL/LxCuwiHP8g2HVT+rQJKeTv5AOzEp4yYvHhKagzIsS2IpkhSiAndbd&#10;kxDAm5r/f6P5BVBLAwQUAAAACACHTuJAlt/8QK8BAAByAwAADgAAAGRycy9lMm9Eb2MueG1srVPB&#10;btswDL0P2D8Iui+O0zUrjDjFhqDDgGEb0O4DFFmKBUiiICqx8/elZCctuksPu8gUST0+PtKb+9FZ&#10;dlIRDfiW14slZ8pL6Iw/tPzv08OnO84wCd8JC161/KyQ328/ftgMoVEr6MF2KjIC8dgMoeV9SqGp&#10;KpS9cgIXEJSnoIboRKJrPFRdFAOhO1utlst1NUDsQgSpEMm7m4J8RozvAQStjVQ7kEenfJpQo7Ii&#10;UUvYm4B8W9hqrWT6rTWqxGzLqdNUTipC9j6f1XYjmkMUoTdypiDeQ+FNT04YT0WvUDuRBDtG8w+U&#10;MzICgk4LCa6aGimKUBf18o02j70IqvRCUmO4io7/D1b+Ov2JzHQtX9WceeFo4qUsozuJMwRsKOcx&#10;UFYav8FIK3PxIzlzz6OOLn+pG0ZxkvZ8lVaNicn86Ka+uatvOZMUq9df1p+L9tXL6xAxfVfgWDZa&#10;Hml0RVFx+omJmFDqJSUX8/BgrM3+THGikq007seZ9x66M9EeaLot97TMnNkfnsTLi3Ax4sXYz0YG&#10;x/D1mKhAqZtRJ6i5GI2i0JnXJs/69b1kvfwq22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vSwvX&#10;2AAAAA4BAAAPAAAAAAAAAAEAIAAAACIAAABkcnMvZG93bnJldi54bWxQSwECFAAUAAAACACHTuJA&#10;lt/8QK8BAAByAwAADgAAAAAAAAABACAAAAAn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810260</wp:posOffset>
              </wp:positionH>
              <wp:positionV relativeFrom="page">
                <wp:posOffset>10377170</wp:posOffset>
              </wp:positionV>
              <wp:extent cx="1033145" cy="189230"/>
              <wp:effectExtent l="0" t="0" r="0" b="0"/>
              <wp:wrapNone/>
              <wp:docPr id="23" name="Shap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3145" cy="1892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万方</w:t>
                          </w:r>
                        </w:p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3" o:spid="_x0000_s1026" o:spt="202" type="#_x0000_t202" style="position:absolute;left:0pt;margin-left:63.8pt;margin-top:817.1pt;height:14.9pt;width:81.35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hagZR9gAAAAN&#10;AQAADwAAAGRycy9kb3ducmV2LnhtbE2PzW7CMBCE75X6DtYi9VZsAgo0jcMBqZfeSqtKvZl4iSP8&#10;E9kmJG/f5dTednZHs9/U+8lZNmJMffASVksBDH0bdO87CV+fb887YCkrr5UNHiXMmGDfPD7UqtLh&#10;5j9wPOaOUYhPlZJgch4qzlNr0Km0DAN6up1DdCqTjB3XUd0o3FleCFFyp3pPH4wa8GCwvRyvTsJ2&#10;+g44JDzgz3lso+nnnX2fpXxarMQrsIxT/jPDHZ/QoSGmU7h6nZglXWxLstJQrjcFMLIUL2IN7HRf&#10;lRsBvKn5/xbNL1BLAwQUAAAACACHTuJAHGlPzq8BAAByAwAADgAAAGRycy9lMm9Eb2MueG1srVPB&#10;btswDL0P6D8Iujd2km7ojDjFhqDFgGEb0O4DFFmKBUiiICqx8/ejZCcduksPu8gUST0+PtKbh9FZ&#10;dlIRDfiWLxc1Z8pL6Iw/tPz3y+PtPWeYhO+EBa9aflbIH7Y3HzZDaNQKerCdioxAPDZDaHmfUmiq&#10;CmWvnMAFBOUpqCE6kegaD1UXxUDozlaruv5UDRC7EEEqRPLupiCfEeN7AEFrI9UO5NEpnybUqKxI&#10;1BL2JiDfFrZaK5l+ao0qMdty6jSVk4qQvc9ntd2I5hBF6I2cKYj3UHjTkxPGU9Er1E4kwY7R/APl&#10;jIyAoNNCgqumRooi1MWyfqPNcy+CKr2Q1BiuouP/g5U/Tr8iM13LV2vOvHA08VKW0Z3EGQI2lPMc&#10;KCuNX2Gklbn4kZy551FHl7/UDaM4SXu+SqvGxGR+VK/Xy7uPnEmKLe8/r9ZF++r1dYiYnhQ4lo2W&#10;RxpdUVScvmMiJpR6ScnFPDwaa7M/U5yoZCuN+3HmvYfuTLQHmm7LPS0zZ/abJ/HyIlyMeDH2s5HB&#10;MXw5JipQ6mbUCWouRqModOa1ybP++16yXn+V7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FqBlH&#10;2AAAAA0BAAAPAAAAAAAAAAEAIAAAACIAAABkcnMvZG93bnJldi54bWxQSwECFAAUAAAACACHTuJA&#10;HGlPzq8BAAByAwAADgAAAAAAAAABACAAAAAn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万方</w:t>
                    </w:r>
                  </w:p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'medlive.cn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5756910</wp:posOffset>
              </wp:positionH>
              <wp:positionV relativeFrom="page">
                <wp:posOffset>10092055</wp:posOffset>
              </wp:positionV>
              <wp:extent cx="1313815" cy="164465"/>
              <wp:effectExtent l="0" t="0" r="0" b="0"/>
              <wp:wrapNone/>
              <wp:docPr id="25" name="Shap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3815" cy="1644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" o:spid="_x0000_s1026" o:spt="202" type="#_x0000_t202" style="position:absolute;left:0pt;margin-left:453.3pt;margin-top:794.65pt;height:12.95pt;width:103.45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r8Aib9kAAAAO&#10;AQAADwAAAGRycy9kb3ducmV2LnhtbE2PPU/DMBCGdyT+g3WV2KjtVglpiNOhEgsbBSGxufE1juqP&#10;yHbT5N/jTrDd6X303nPNfraGTBji4J0AvmZA0HVeDa4X8PX59lwBiUk6JY13KGDBCPv28aGRtfI3&#10;94HTMfUkl7hYSwE6pbGmNHYarYxrP6LL2dkHK1NeQ09VkLdcbg3dMFZSKweXL2g54kFjdzlerYCX&#10;+dvjGPGAP+epC3pYKvO+CPG04uwVSMI5/cFw18/q0Gank786FYkRsGNlmdEcFNVuC+SOcL4tgJzy&#10;VPJiA7Rt6P832l9QSwMEFAAAAAgAh07iQIRHucSuAQAAcgMAAA4AAABkcnMvZTJvRG9jLnhtbK1T&#10;wW7bMAy9D+g/CLo3jtMuKIw4xYagxYBhG9DtAxRZigVIoiAqsfP3o2QnLbpLD7vIFEk9Pj7Sm8fR&#10;WXZSEQ34lteLJWfKS+iMP7T8z++n2wfOMAnfCQtetfyskD9ubz5thtCoFfRgOxUZgXhshtDyPqXQ&#10;VBXKXjmBCwjKU1BDdCLRNR6qLoqB0J2tVsvluhogdiGCVIjk3U1BPiPGjwCC1kaqHcijUz5NqFFZ&#10;kagl7E1Avi1stVYy/dQaVWK25dRpKicVIXufz2q7Ec0hitAbOVMQH6HwricnjKeiV6idSIIdo/kH&#10;yhkZAUGnhQRXTY0URaiLevlOm5deBFV6IakxXEXH/wcrf5x+RWa6lq8+c+aFo4mXsozuJM4QsKGc&#10;l0BZafwKI63MxY/kzD2POrr8pW4YxUna81VaNSYm86O7+u6hphKSYvX6/n5d4KvX1yFielbgWDZa&#10;Hml0RVFx+o6JmFDqJSUX8/BkrM3+THGikq007seZ9x66M9EeaLot97TMnNlvnsTLi3Ax4sXYz0YG&#10;x/DlmKhAqZtRJ6i5GI2i0JnXJs/67b1kvf4q2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vwCJv&#10;2QAAAA4BAAAPAAAAAAAAAAEAIAAAACIAAABkcnMvZG93bnJldi54bWxQSwECFAAUAAAACACHTuJA&#10;hEe5xK4BAAByAwAADgAAAAAAAAABACAAAAAo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decimal"/>
      <w:lvlText w:val="3.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FFFFFF"/>
        <w:lang w:val="en-US" w:eastAsia="en-US" w:bidi="en-US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">
    <w:nsid w:val="59ADCABA"/>
    <w:multiLevelType w:val="singleLevel"/>
    <w:tmpl w:val="59ADCABA"/>
    <w:lvl w:ilvl="0" w:tentative="0">
      <w:start w:val="5"/>
      <w:numFmt w:val="decimal"/>
      <w:lvlText w:val="3.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docVars>
    <w:docVar w:name="commondata" w:val="eyJoZGlkIjoiYjJmMDJlOGVhZGVlZTQxZWU5NjVjNmQzNWYwZTU4N2IifQ=="/>
  </w:docVars>
  <w:rsids>
    <w:rsidRoot w:val="00000000"/>
    <w:rsid w:val="478E3F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Body text|1_"/>
    <w:basedOn w:val="3"/>
    <w:link w:val="5"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5">
    <w:name w:val="Body text|1"/>
    <w:basedOn w:val="1"/>
    <w:link w:val="4"/>
    <w:qFormat/>
    <w:uiPriority w:val="0"/>
    <w:pPr>
      <w:widowControl w:val="0"/>
      <w:shd w:val="clear" w:color="auto" w:fill="auto"/>
      <w:spacing w:line="403" w:lineRule="auto"/>
    </w:pPr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6">
    <w:name w:val="Header or footer|2_"/>
    <w:basedOn w:val="3"/>
    <w:link w:val="7"/>
    <w:uiPriority w:val="0"/>
    <w:rPr>
      <w:sz w:val="20"/>
      <w:szCs w:val="20"/>
      <w:u w:val="none"/>
      <w:shd w:val="clear" w:color="auto" w:fill="auto"/>
    </w:rPr>
  </w:style>
  <w:style w:type="paragraph" w:customStyle="1" w:styleId="7">
    <w:name w:val="Header or footer|2"/>
    <w:basedOn w:val="1"/>
    <w:link w:val="6"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  <w:style w:type="character" w:customStyle="1" w:styleId="8">
    <w:name w:val="Heading #2|1_"/>
    <w:basedOn w:val="3"/>
    <w:link w:val="9"/>
    <w:uiPriority w:val="0"/>
    <w:rPr>
      <w:rFonts w:ascii="宋体" w:hAnsi="宋体" w:eastAsia="宋体" w:cs="宋体"/>
      <w:b/>
      <w:bCs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9">
    <w:name w:val="Heading #2|1"/>
    <w:basedOn w:val="1"/>
    <w:link w:val="8"/>
    <w:uiPriority w:val="0"/>
    <w:pPr>
      <w:widowControl w:val="0"/>
      <w:shd w:val="clear" w:color="auto" w:fill="auto"/>
      <w:spacing w:after="140" w:line="360" w:lineRule="auto"/>
      <w:outlineLvl w:val="1"/>
    </w:pPr>
    <w:rPr>
      <w:rFonts w:ascii="宋体" w:hAnsi="宋体" w:eastAsia="宋体" w:cs="宋体"/>
      <w:b/>
      <w:bCs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10">
    <w:name w:val="Heading #1|1_"/>
    <w:basedOn w:val="3"/>
    <w:link w:val="11"/>
    <w:uiPriority w:val="0"/>
    <w:rPr>
      <w:rFonts w:ascii="宋体" w:hAnsi="宋体" w:eastAsia="宋体" w:cs="宋体"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11">
    <w:name w:val="Heading #1|1"/>
    <w:basedOn w:val="1"/>
    <w:link w:val="10"/>
    <w:uiPriority w:val="0"/>
    <w:pPr>
      <w:widowControl w:val="0"/>
      <w:shd w:val="clear" w:color="auto" w:fill="auto"/>
      <w:spacing w:after="380"/>
      <w:outlineLvl w:val="0"/>
    </w:pPr>
    <w:rPr>
      <w:rFonts w:ascii="宋体" w:hAnsi="宋体" w:eastAsia="宋体" w:cs="宋体"/>
      <w:sz w:val="40"/>
      <w:szCs w:val="40"/>
      <w:u w:val="none"/>
      <w:shd w:val="clear" w:color="auto" w:fill="auto"/>
      <w:lang w:val="zh-TW" w:eastAsia="zh-TW" w:bidi="zh-TW"/>
    </w:rPr>
  </w:style>
  <w:style w:type="character" w:customStyle="1" w:styleId="12">
    <w:name w:val="Body text|2_"/>
    <w:basedOn w:val="3"/>
    <w:link w:val="13"/>
    <w:uiPriority w:val="0"/>
    <w:rPr>
      <w:b/>
      <w:bCs/>
      <w:sz w:val="17"/>
      <w:szCs w:val="17"/>
      <w:u w:val="none"/>
      <w:shd w:val="clear" w:color="auto" w:fill="auto"/>
    </w:rPr>
  </w:style>
  <w:style w:type="paragraph" w:customStyle="1" w:styleId="13">
    <w:name w:val="Body text|2"/>
    <w:basedOn w:val="1"/>
    <w:link w:val="12"/>
    <w:uiPriority w:val="0"/>
    <w:pPr>
      <w:widowControl w:val="0"/>
      <w:shd w:val="clear" w:color="auto" w:fill="auto"/>
    </w:pPr>
    <w:rPr>
      <w:b/>
      <w:bCs/>
      <w:sz w:val="17"/>
      <w:szCs w:val="17"/>
      <w:u w:val="none"/>
      <w:shd w:val="clear" w:color="auto" w:fill="auto"/>
    </w:rPr>
  </w:style>
  <w:style w:type="character" w:customStyle="1" w:styleId="14">
    <w:name w:val="Body text|3_"/>
    <w:basedOn w:val="3"/>
    <w:link w:val="15"/>
    <w:uiPriority w:val="0"/>
    <w:rPr>
      <w:rFonts w:ascii="宋体" w:hAnsi="宋体" w:eastAsia="宋体" w:cs="宋体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15">
    <w:name w:val="Body text|3"/>
    <w:basedOn w:val="1"/>
    <w:link w:val="14"/>
    <w:uiPriority w:val="0"/>
    <w:pPr>
      <w:widowControl w:val="0"/>
      <w:shd w:val="clear" w:color="auto" w:fill="auto"/>
      <w:spacing w:after="100" w:line="271" w:lineRule="exact"/>
      <w:ind w:firstLine="320"/>
    </w:pPr>
    <w:rPr>
      <w:rFonts w:ascii="宋体" w:hAnsi="宋体" w:eastAsia="宋体" w:cs="宋体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16">
    <w:name w:val="Body text|4_"/>
    <w:basedOn w:val="3"/>
    <w:link w:val="17"/>
    <w:uiPriority w:val="0"/>
    <w:rPr>
      <w:b/>
      <w:bCs/>
      <w:i/>
      <w:iCs/>
      <w:sz w:val="11"/>
      <w:szCs w:val="11"/>
      <w:u w:val="none"/>
      <w:shd w:val="clear" w:color="auto" w:fill="auto"/>
    </w:rPr>
  </w:style>
  <w:style w:type="paragraph" w:customStyle="1" w:styleId="17">
    <w:name w:val="Body text|4"/>
    <w:basedOn w:val="1"/>
    <w:link w:val="16"/>
    <w:qFormat/>
    <w:uiPriority w:val="0"/>
    <w:pPr>
      <w:widowControl w:val="0"/>
      <w:shd w:val="clear" w:color="auto" w:fill="auto"/>
      <w:jc w:val="right"/>
    </w:pPr>
    <w:rPr>
      <w:b/>
      <w:bCs/>
      <w:i/>
      <w:iCs/>
      <w:sz w:val="11"/>
      <w:szCs w:val="11"/>
      <w:u w:val="none"/>
      <w:shd w:val="clear" w:color="auto" w:fill="auto"/>
    </w:rPr>
  </w:style>
  <w:style w:type="character" w:customStyle="1" w:styleId="18">
    <w:name w:val="Body text|5_"/>
    <w:basedOn w:val="3"/>
    <w:link w:val="19"/>
    <w:uiPriority w:val="0"/>
    <w:rPr>
      <w:rFonts w:ascii="宋体" w:hAnsi="宋体" w:eastAsia="宋体" w:cs="宋体"/>
      <w:b/>
      <w:bCs/>
      <w:u w:val="none"/>
      <w:shd w:val="clear" w:color="auto" w:fill="auto"/>
      <w:lang w:val="zh-TW" w:eastAsia="zh-TW" w:bidi="zh-TW"/>
    </w:rPr>
  </w:style>
  <w:style w:type="paragraph" w:customStyle="1" w:styleId="19">
    <w:name w:val="Body text|5"/>
    <w:basedOn w:val="1"/>
    <w:link w:val="18"/>
    <w:uiPriority w:val="0"/>
    <w:pPr>
      <w:widowControl w:val="0"/>
      <w:shd w:val="clear" w:color="auto" w:fill="auto"/>
      <w:spacing w:after="80"/>
    </w:pPr>
    <w:rPr>
      <w:rFonts w:ascii="宋体" w:hAnsi="宋体" w:eastAsia="宋体" w:cs="宋体"/>
      <w:b/>
      <w:bCs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5935</Words>
  <Characters>6767</Characters>
  <TotalTime>4</TotalTime>
  <ScaleCrop>false</ScaleCrop>
  <LinksUpToDate>false</LinksUpToDate>
  <CharactersWithSpaces>7094</CharactersWithSpaces>
  <Application>WPS Office_11.1.0.12116_F1E327BC-269C-435d-A152-05C5408002CA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2023-05-05T09:13:43Z</dcterms:created>
  <dc:creator>Admin</dc:creator>
  <cp:lastModifiedBy>祥_J</cp:lastModifiedBy>
  <dcterms:modified xsi:type="dcterms:W3CDTF">2023-05-05T09:17:55Z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017C979AC99D4583814EA0791FB8A1C9</vt:lpwstr>
  </property>
</Properties>
</file>