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丙戊酸镁缓释片治疗癫痼临床应用专家共识</w:t>
      </w:r>
      <w:bookmarkEnd w:id="0"/>
      <w:bookmarkEnd w:id="1"/>
      <w:bookmarkEnd w:id="2"/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left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2217" w:right="551" w:bottom="259" w:left="933" w:header="1789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黄希顺，廖卫平，李世绰，肖 波，黄远桂，秦 炯，周列民，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540" w:line="319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王学峰，韩 璞，孙红斌，高 丽，王为民，吴 逊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334" w:lineRule="auto"/>
        <w:ind w:left="0" w:right="0" w:firstLine="1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简介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160" w:right="0" w:firstLine="440"/>
        <w:jc w:val="both"/>
      </w:pPr>
      <w:r>
        <w:rPr>
          <w:color w:val="000000"/>
          <w:spacing w:val="0"/>
          <w:w w:val="100"/>
          <w:position w:val="0"/>
        </w:rPr>
        <w:t>丙戊酸类药物（丙戊酸钠、丙戊酸镁、丙颉草酰 胺等）自上世纪六十年代起应用于临床。大量的临 床资料显示，该类药物具有抗癫痼谱广、疗效好、不 良反应较少、发挥作用快、临床应用方便等优点。近 年文献报告还显示其对认知功能的影响少</w:t>
      </w:r>
      <w:r>
        <w:rPr>
          <w:color w:val="000000"/>
          <w:spacing w:val="0"/>
          <w:w w:val="100"/>
          <w:positio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5%</w:t>
      </w:r>
      <w:r>
        <w:rPr>
          <w:color w:val="000000"/>
          <w:spacing w:val="0"/>
          <w:w w:val="100"/>
          <w:position w:val="0"/>
        </w:rPr>
        <w:t>以 下），特别是对儿童患者，且该类药物很少导致某些 癫痼类型发作加重。据此，中国抗癫痼协会、中华医 学会神经内科分会脑电图与癫痼学组、国际抗癫痼 联盟等组织的癫痼治疗指南均将丙戊酸类药物列为 治疗全面性癫痼的一线药物。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319" w:lineRule="exact"/>
        <w:ind w:left="160" w:right="0" w:firstLine="440"/>
        <w:jc w:val="both"/>
      </w:pPr>
      <w:r>
        <w:rPr>
          <w:color w:val="000000"/>
          <w:spacing w:val="0"/>
          <w:w w:val="100"/>
          <w:position w:val="0"/>
        </w:rPr>
        <w:t>丙戊酸镁具有生物利用度高、安全性较好等优 点。而丙戊酸镁缓释片更具有血药浓度波动小、疗 效好、与剂量相关的不良反应少等优点。同时由于 每日服药次数少、服用方便，患者依从性好。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60" w:line="334" w:lineRule="auto"/>
        <w:ind w:left="0" w:right="0" w:firstLine="1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适应征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9" w:lineRule="auto"/>
        <w:ind w:left="0" w:right="0" w:firstLine="1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</w:rPr>
        <w:t>单药治疗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15" w:lineRule="exact"/>
        <w:ind w:left="160" w:right="0" w:firstLine="440"/>
        <w:jc w:val="both"/>
      </w:pPr>
      <w:r>
        <w:rPr>
          <w:color w:val="000000"/>
          <w:spacing w:val="0"/>
          <w:w w:val="100"/>
          <w:position w:val="0"/>
        </w:rPr>
        <w:t>丙戊酸镁缓释片适用于新诊断的各种类型癫痼 的单药治疗。对各种类型的全面性发作，如失神发 作、强直阵挛发作、肌阵挛发作、失张力发作等均可 作为首选。丙戊酸镁缓释片也可作为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West</w:t>
      </w:r>
      <w:r>
        <w:rPr>
          <w:color w:val="000000"/>
          <w:spacing w:val="0"/>
          <w:w w:val="100"/>
          <w:position w:val="0"/>
        </w:rPr>
        <w:t>综合 征、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Lennox-Gastaut</w:t>
      </w:r>
      <w:r>
        <w:rPr>
          <w:color w:val="000000"/>
          <w:spacing w:val="0"/>
          <w:w w:val="100"/>
          <w:position w:val="0"/>
        </w:rPr>
        <w:t xml:space="preserve">综合征、肌阵挛一失张力癫痼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（Doose</w:t>
      </w:r>
      <w:r>
        <w:rPr>
          <w:color w:val="000000"/>
          <w:spacing w:val="0"/>
          <w:w w:val="100"/>
          <w:position w:val="0"/>
        </w:rPr>
        <w:t>综合征）等癫痼综合征的一线治疗药物。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60" w:line="319" w:lineRule="exact"/>
        <w:ind w:left="160" w:right="0" w:firstLine="440"/>
        <w:jc w:val="both"/>
      </w:pPr>
      <w:r>
        <w:rPr>
          <w:color w:val="000000"/>
          <w:spacing w:val="0"/>
          <w:w w:val="100"/>
          <w:position w:val="0"/>
        </w:rPr>
        <w:t>丙戊酸镁缓释片因其抗癫痼谱广、很少导致某 些癫痼发作类型加重等优点，尤其适用于发作较为 频繁及发作类型不明的癫痛患者。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1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2.2</w:t>
      </w:r>
      <w:r>
        <w:rPr>
          <w:color w:val="000000"/>
          <w:spacing w:val="0"/>
          <w:w w:val="100"/>
          <w:position w:val="0"/>
        </w:rPr>
        <w:t>替换治疗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160" w:right="0" w:firstLine="440"/>
        <w:jc w:val="both"/>
      </w:pPr>
      <w:r>
        <w:rPr>
          <w:color w:val="000000"/>
          <w:spacing w:val="0"/>
          <w:w w:val="100"/>
          <w:position w:val="0"/>
        </w:rPr>
        <w:t>各种类型的癫痼发作和癫痼综合征在其他抗癫 痼药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（AED）</w:t>
      </w:r>
      <w:r>
        <w:rPr>
          <w:color w:val="000000"/>
          <w:spacing w:val="0"/>
          <w:w w:val="100"/>
          <w:position w:val="0"/>
        </w:rPr>
        <w:t>治疗无效或疗效欠佳时可加用丙戊酸 镁缓释片治疗。如果效果好，发作消失，稳定一段时 间后（至少经过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 xml:space="preserve">个原发作周期）可逐渐将原服用药 物缓慢撤去（可考虑每两周减去原服用药物剂量的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1/4）</w:t>
      </w:r>
      <w:r>
        <w:rPr>
          <w:color w:val="000000"/>
          <w:spacing w:val="0"/>
          <w:w w:val="100"/>
          <w:position w:val="0"/>
        </w:rPr>
        <w:t>，从而转换为用丙戊酸镁缓释片单药治疗。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48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因丙戊酸镁缓释片可明显提高苯巴比妥的血药 浓度，原服用苯巴比妥的患者,需用丙戊酸镁缓释片 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万方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i/>
          <w:iCs/>
          <w:color w:val="01479B"/>
          <w:spacing w:val="0"/>
          <w:w w:val="100"/>
          <w:position w:val="0"/>
          <w:lang w:val="zh-CN" w:eastAsia="zh-CN" w:bidi="zh-CN"/>
        </w:rPr>
        <w:t>戚</w:t>
      </w:r>
      <w:r>
        <w:rPr>
          <w:i/>
          <w:iCs/>
          <w:color w:val="01479B"/>
          <w:spacing w:val="0"/>
          <w:w w:val="100"/>
          <w:position w:val="0"/>
        </w:rPr>
        <w:t>斯疆</w:t>
      </w:r>
      <w:r>
        <w:fldChar w:fldCharType="end"/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80"/>
        <w:ind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1479B"/>
          <w:spacing w:val="0"/>
          <w:w w:val="100"/>
          <w:position w:val="0"/>
          <w:sz w:val="13"/>
          <w:szCs w:val="13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medlive.cn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br w:type="column"/>
      </w:r>
      <w:r>
        <w:rPr>
          <w:rStyle w:val="CharStyle8"/>
          <w:b w:val="0"/>
          <w:bCs w:val="0"/>
          <w:i w:val="0"/>
          <w:iCs w:val="0"/>
        </w:rPr>
        <w:t>替换治疗时，先将苯巴比妥剂量减少</w:t>
      </w:r>
      <w:r>
        <w:rPr>
          <w:rStyle w:val="CharStyle8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>1/3</w:t>
      </w:r>
      <w:r>
        <w:rPr>
          <w:rStyle w:val="CharStyle8"/>
          <w:b w:val="0"/>
          <w:bCs w:val="0"/>
          <w:i w:val="0"/>
          <w:iCs w:val="0"/>
          <w:sz w:val="20"/>
          <w:szCs w:val="20"/>
        </w:rPr>
        <w:t>〜</w:t>
      </w:r>
      <w:r>
        <w:rPr>
          <w:rStyle w:val="CharStyle8"/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  <w:t>1/2,</w:t>
      </w:r>
      <w:r>
        <w:rPr>
          <w:rStyle w:val="CharStyle8"/>
          <w:b w:val="0"/>
          <w:bCs w:val="0"/>
          <w:i w:val="0"/>
          <w:iCs w:val="0"/>
        </w:rPr>
        <w:t>以 免出现苯巴比妥过量或中毒症状。之后再考虑逐渐 撤停苯巴比妥。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</w:rPr>
        <w:t>联合用药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各种类型癫痛单药治疗失败或疗效欠佳时，可 考虑抗癫痼药联合治疗。某些难治性的癫痼综合征 或具有多种发作形式的癫痼可以在开始阶段即考虑 联合用药。丙戊酸镁缓释片可以与任何一种传统或 新型的抗癫痼药联合应用。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因丙戊酸镁缓释片对肝酶有抑制作用，与其他 抗癫痼药二者合用时可降低其他药物的代谢，使后 者血药浓度升高。而卡马西平等具有肝酶诱导作用 的药物与丙戊酸镁缓释片合用时，可使丙戊酸的血 药浓度降低。因此，在联合用药时应定期结合临床 反应及时调整药物剂量，必要时监测血药浓度。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丙戊酸镁缓释片与拉莫三嗪合用时可使后者的 半衰期延长、血药浓度增高、并增加后者的疗效。但 拉莫三嗪不良反应的发生率也可能相应增高。故二 者合用时应适当减少拉莫三嗪的用量。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丙戊酸镁缓释片与苯巴比妥合用时，可明显提 高后者的血药浓度，加重后者的不良反应，如嗜睡、 昏睡等，故一般不提倡二药合用，需要合用时应注意 减少苯巴比妥的用量。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334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药代动力学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丙戊酸镁缓释片每片含丙戊酸镁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250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</w:rPr>
        <w:t>口 服后较普通片吸收缓慢</w:t>
      </w:r>
      <w:r>
        <w:rPr>
          <w:color w:val="000000"/>
          <w:spacing w:val="0"/>
          <w:w w:val="100"/>
          <w:positio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左右血药浓度达峰 值，可以持续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16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左右。有效血药浓度为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50 ~ 100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pg/mL</w:t>
      </w:r>
      <w:r>
        <w:rPr>
          <w:color w:val="000000"/>
          <w:spacing w:val="0"/>
          <w:w w:val="100"/>
          <w:position w:val="0"/>
        </w:rPr>
        <w:t>主要分布在细胞外液和肝、肾、肠和脑等 组织。大部分由肝脏代谢，主要由肾脏排出。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40" w:line="334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用法及用量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4.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9"/>
          <w:szCs w:val="19"/>
        </w:rPr>
        <w:t>儿童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20" w:line="326" w:lineRule="exact"/>
        <w:ind w:left="0" w:right="0" w:firstLine="42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2217" w:right="699" w:bottom="259" w:left="933" w:header="0" w:footer="3" w:gutter="0"/>
          <w:cols w:num="2" w:space="10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适用于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>岁以上或体重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220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kg</w:t>
      </w:r>
      <w:r>
        <w:rPr>
          <w:color w:val="000000"/>
          <w:spacing w:val="0"/>
          <w:w w:val="100"/>
          <w:position w:val="0"/>
        </w:rPr>
        <w:t>的儿童，起始 剂量为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20</w:t>
      </w:r>
      <w:r>
        <w:rPr>
          <w:color w:val="000000"/>
          <w:spacing w:val="0"/>
          <w:w w:val="100"/>
          <w:position w:val="0"/>
          <w:sz w:val="20"/>
          <w:szCs w:val="20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mg/kg.d,</w:t>
      </w:r>
      <w:r>
        <w:rPr>
          <w:color w:val="000000"/>
          <w:spacing w:val="0"/>
          <w:w w:val="100"/>
          <w:position w:val="0"/>
        </w:rPr>
        <w:t>分两次服用。根据临床 疗效、不良反应及血药浓度调整剂量。体重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250 kg </w:t>
      </w:r>
      <w:r>
        <w:rPr>
          <w:color w:val="000000"/>
          <w:spacing w:val="0"/>
          <w:w w:val="100"/>
          <w:position w:val="0"/>
        </w:rPr>
        <w:t>的儿童服用丙戊酸镁缓释片的剂量同成人。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4.2</w:t>
      </w:r>
      <w:r>
        <w:rPr>
          <w:color w:val="000000"/>
          <w:spacing w:val="0"/>
          <w:w w:val="100"/>
          <w:position w:val="0"/>
        </w:rPr>
        <w:t>成人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成人开始剂量为每日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500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mg,</w:t>
      </w:r>
      <w:r>
        <w:rPr>
          <w:color w:val="000000"/>
          <w:spacing w:val="0"/>
          <w:w w:val="100"/>
          <w:position w:val="0"/>
        </w:rPr>
        <w:t>分两次服用。服 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周后可增加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 xml:space="preserve">250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以后根据临床疗效、不良 反应，必要时参考血药浓度调整剂量。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4.3</w:t>
      </w:r>
      <w:r>
        <w:rPr>
          <w:color w:val="000000"/>
          <w:spacing w:val="0"/>
          <w:w w:val="100"/>
          <w:position w:val="0"/>
        </w:rPr>
        <w:t>疗程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丙戊酸镁缓释片的疗程取决于癫痼疾病的性 质。预后较好的特发性癫痼（如失神发作、儿童中央 颛区棘波良性癫痼、原发性强直阵挛发作等），或病 程较短、用药后发作很快得到控制的癫痼患者，应服 用治疗剂量的丙戊酸镁缓释片。发作消失后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年， 结合脑电图的改变，可以开始减药。可考虑每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个 月减去原服药剂量的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1/4,1</w:t>
      </w:r>
      <w:r>
        <w:rPr>
          <w:color w:val="000000"/>
          <w:spacing w:val="0"/>
          <w:w w:val="100"/>
          <w:position w:val="0"/>
        </w:rPr>
        <w:t>年后可试停药。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症状性癫痼、癫痼病程较长或服药后未得到及 时控制的患者，发作完全控制后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3~5</w:t>
      </w:r>
      <w:r>
        <w:rPr>
          <w:color w:val="000000"/>
          <w:spacing w:val="0"/>
          <w:w w:val="100"/>
          <w:position w:val="0"/>
        </w:rPr>
        <w:t>年才可考虑减 药，至少经过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年的减药过程后才考虑停药，有些患 者</w:t>
      </w:r>
      <w:r>
        <w:rPr>
          <w:color w:val="000000"/>
          <w:spacing w:val="0"/>
          <w:w w:val="100"/>
          <w:position w:val="0"/>
          <w:sz w:val="20"/>
          <w:szCs w:val="20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30%</w:t>
      </w:r>
      <w:r>
        <w:rPr>
          <w:color w:val="000000"/>
          <w:spacing w:val="0"/>
          <w:w w:val="100"/>
          <w:position w:val="0"/>
          <w:sz w:val="20"/>
          <w:szCs w:val="20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50%）</w:t>
      </w:r>
      <w:r>
        <w:rPr>
          <w:color w:val="000000"/>
          <w:spacing w:val="0"/>
          <w:w w:val="100"/>
          <w:position w:val="0"/>
        </w:rPr>
        <w:t>需长期治疗。难治性癫痼、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West</w:t>
      </w:r>
      <w:r>
        <w:rPr>
          <w:color w:val="000000"/>
          <w:spacing w:val="0"/>
          <w:w w:val="100"/>
          <w:position w:val="0"/>
        </w:rPr>
        <w:t>综 合征、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Lennox-Gastaut</w:t>
      </w:r>
      <w:r>
        <w:rPr>
          <w:color w:val="000000"/>
          <w:spacing w:val="0"/>
          <w:w w:val="100"/>
          <w:position w:val="0"/>
        </w:rPr>
        <w:t>综合征等，一般需要长期治 疗。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4.4</w:t>
      </w:r>
      <w:r>
        <w:rPr>
          <w:color w:val="000000"/>
          <w:spacing w:val="0"/>
          <w:w w:val="100"/>
          <w:position w:val="0"/>
        </w:rPr>
        <w:t>随访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4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开始服用丙戊酸镁缓释片后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个月及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个月时 应各复诊一次。如果疗效好、无明显副作用，以后每 半年复诊一次。复诊时应了解患者发作控制情况、 不良反应，化验血常规、肝功能。必要时检测血丙戊 酸浓度，并根据疗效及不良反应调整药物剂量。减 药及停药前要做长程脑电图监测。治疗过程中如出 现癫痛发作明显增加或有不良反应，应随时就诊。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40" w:line="32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>注意事项及禁忌征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40" w:line="32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丙戊酸镁缓释片宜完整吞服，不宜研碎或嚼碎 服用。婴儿及不能完整吞服丙戊酸镁缓释片的幼儿 不宜服用。治疗期间计划怀孕、月经周期明显紊乱 及多囊卵巢综合征女性患者不推荐使用。体重严重 超标需服用本药者，应在医生指导下控制体重。有 乙型肝炎及其他肝病病史或乙型肝炎病毒阳性需服 用本药者要谨慎。肝炎活动期及肝酶明显升高者禁 用。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140" w:line="32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不良反应及处理对策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6.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消化道症状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服用丙戊酸镁缓释片早期可出现一些消化道症 状,如恶心、呕吐、腹痛、腹泻等，在儿童患者多见。 症状轻者可不予处理。一般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 xml:space="preserve">个月内可自行消 失。通过减少药物起始剂量、延长加量时间、药物与 </w:t>
      </w:r>
      <w:r>
        <w:rPr>
          <w:color w:val="000000"/>
          <w:spacing w:val="0"/>
          <w:w w:val="100"/>
          <w:position w:val="0"/>
        </w:rPr>
        <w:t>食物一起服用（不影响药物的吸收），多数患者症状 可缓解。绝大多数患者无须停药。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6.2</w:t>
      </w:r>
      <w:r>
        <w:rPr>
          <w:color w:val="000000"/>
          <w:spacing w:val="0"/>
          <w:w w:val="100"/>
          <w:position w:val="0"/>
        </w:rPr>
        <w:t>中枢神经系统症状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少数患者可出现头痛、头昏、头晕、无力、嗜睡、 思维缓慢、反应退钝及记忆力下降、震颤等中枢神经 系统症状，一般症状较轻，且常见于服药早期。通过 减少药物剂量、缓慢加量，症状多于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</w:rPr>
        <w:t>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 xml:space="preserve">个月内消 失。个别症状严重或长期不缓解者可考虑停药。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6.3</w:t>
      </w:r>
      <w:r>
        <w:rPr>
          <w:color w:val="000000"/>
          <w:spacing w:val="0"/>
          <w:w w:val="100"/>
          <w:position w:val="0"/>
        </w:rPr>
        <w:t>体重增加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31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少数癫痼患者服药后食欲明显增加，食量增加， 体重增加。应嘱患者自我控制食量、适当增加运动 量以控制体重。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34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6.4</w:t>
      </w:r>
      <w:r>
        <w:rPr>
          <w:color w:val="000000"/>
          <w:spacing w:val="0"/>
          <w:w w:val="100"/>
          <w:position w:val="0"/>
        </w:rPr>
        <w:t>脱发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317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少数癫瘋患者会出现脱发，但多数不严重。脱 发后可能重新长出新发，停药后一般可恢复，故一般 不需停药。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31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6.5</w:t>
      </w:r>
      <w:r>
        <w:rPr>
          <w:color w:val="000000"/>
          <w:spacing w:val="0"/>
          <w:w w:val="100"/>
          <w:position w:val="0"/>
        </w:rPr>
        <w:t>月经紊乱及多囊卵巢综合征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32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有临床报告提示丙戊酸类药物可引起育龄期女 性的月经紊乱和多囊卵巢综合征。育龄期女性癫痼 患者服药治疗期间应注意月经周期情况，如有异常， 应到妇科作进一步检查。如有多囊卵巢综合征的相 关改变则应停药。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36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6.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致畸性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322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 xml:space="preserve">有报告服用丙戊酸类药物的女性癫痼患者有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</w:rPr>
        <w:t>6%</w:t>
      </w:r>
      <w:r>
        <w:rPr>
          <w:color w:val="000000"/>
          <w:spacing w:val="0"/>
          <w:w w:val="100"/>
          <w:position w:val="0"/>
        </w:rPr>
        <w:t>左右的胎儿畸形发生率，多在剂量偏大时出现。 故育龄期女性癫痼患者如果近期内打算怀孕生育， 最好不要选用丙戊酸镁缓释片。正在服用该药的癫 痼患者，建议改为其他致畸率相对较低的抗癫痼药 或减少丙戊酸剂量。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6.7</w:t>
      </w:r>
      <w:r>
        <w:rPr>
          <w:color w:val="000000"/>
          <w:spacing w:val="0"/>
          <w:w w:val="100"/>
          <w:position w:val="0"/>
        </w:rPr>
        <w:t>造血系统异常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80" w:line="324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有少数报告提示丙戊酸类药物可引起血小板减 少和功能障碍。癫痼患者服用丙戊酸镁缓释片期间 应定期检查血常规及出凝血时间，以便及时发现和 纠正。出现血液系统改变的患者在准备外科治疗前 应换服其他抗癫痼药。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38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6.8</w:t>
      </w:r>
      <w:r>
        <w:rPr>
          <w:color w:val="000000"/>
          <w:spacing w:val="0"/>
          <w:w w:val="100"/>
          <w:position w:val="0"/>
        </w:rPr>
        <w:t>肝功能损害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323" w:lineRule="exact"/>
        <w:ind w:left="0" w:right="0" w:firstLine="42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977" w:right="1059" w:bottom="259" w:left="1170" w:header="1549" w:footer="3" w:gutter="0"/>
          <w:cols w:num="2" w:space="365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有少数患者服用丙戊酸类药物可引起肝酶升 高。一般在服用丙戊酸镁缓释片前应做肝功能检 查，服药期间也要定期复查（见前）。当出现肝脏受 损可疑症状时（如恶心、呕吐、厌油、无力、右上腹疼 痛等）应及时做肝功能化验和肝脏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>超等相关检 査。如有肝脏受损证据时应停用丙戊酸镁缓释片并 进行相应的治疗。</w:t>
      </w:r>
    </w:p>
    <w:p>
      <w:pPr>
        <w:widowControl w:val="0"/>
        <w:spacing w:before="16" w:after="1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77" w:right="0" w:bottom="259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万方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i/>
          <w:iCs/>
          <w:color w:val="01479B"/>
          <w:spacing w:val="0"/>
          <w:w w:val="100"/>
          <w:position w:val="0"/>
          <w:lang w:val="zh-CN" w:eastAsia="zh-CN" w:bidi="zh-CN"/>
        </w:rPr>
        <w:t>戚</w:t>
      </w:r>
      <w:r>
        <w:rPr>
          <w:i/>
          <w:iCs/>
          <w:color w:val="01479B"/>
          <w:spacing w:val="0"/>
          <w:w w:val="100"/>
          <w:position w:val="0"/>
        </w:rPr>
        <w:t>斯疆</w:t>
      </w:r>
      <w:r>
        <w:fldChar w:fldCharType="end"/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77" w:right="1058" w:bottom="259" w:left="934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1479B"/>
          <w:spacing w:val="0"/>
          <w:w w:val="100"/>
          <w:position w:val="0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medlive.cn</w:t>
      </w:r>
    </w:p>
    <w:p>
      <w:pPr>
        <w:pStyle w:val="Style19"/>
        <w:keepNext/>
        <w:keepLines/>
        <w:widowControl w:val="0"/>
        <w:shd w:val="clear" w:color="auto" w:fill="auto"/>
        <w:tabs>
          <w:tab w:pos="7608" w:val="left"/>
        </w:tabs>
        <w:bidi w:val="0"/>
        <w:spacing w:before="0" w:line="240" w:lineRule="auto"/>
        <w:ind w:left="0" w:right="0" w:firstLine="0"/>
        <w:jc w:val="left"/>
        <w:rPr>
          <w:sz w:val="19"/>
          <w:szCs w:val="19"/>
        </w:rPr>
      </w:pPr>
      <w:r>
        <w:fldChar w:fldCharType="begin"/>
      </w:r>
      <w:r>
        <w:rPr/>
        <w:instrText> HYPERLINK "http://d.g.wanfangdata.com.cn/Periodical_lcsjdslxzz201301020.aspx" </w:instrText>
      </w:r>
      <w:r>
        <w:fldChar w:fldCharType="separate"/>
      </w: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</w:rPr>
        <w:t>丙戊酸镁缓释片治疗癫（痫）临床应用专家共识</w:t>
      </w:r>
      <w:r>
        <w:fldChar w:fldCharType="end"/>
      </w:r>
      <w:r>
        <w:fldChar w:fldCharType="begin"/>
      </w:r>
      <w:r>
        <w:rPr/>
        <w:instrText> HYPERLINK "http://g.wanfangdata.com.cn/" </w:instrText>
      </w:r>
      <w:r>
        <w:fldChar w:fldCharType="separate"/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b w:val="0"/>
          <w:bCs w:val="0"/>
          <w:color w:val="EC141D"/>
          <w:spacing w:val="0"/>
          <w:w w:val="100"/>
          <w:position w:val="0"/>
          <w:sz w:val="19"/>
          <w:szCs w:val="19"/>
        </w:rPr>
        <w:t>田</w:t>
      </w:r>
      <w:r>
        <w:rPr>
          <w:b w:val="0"/>
          <w:bCs w:val="0"/>
          <w:color w:val="4B7CC9"/>
          <w:spacing w:val="0"/>
          <w:w w:val="100"/>
          <w:position w:val="0"/>
          <w:sz w:val="19"/>
          <w:szCs w:val="19"/>
        </w:rPr>
        <w:t>丈献链接</w:t>
      </w:r>
      <w:bookmarkEnd w:id="3"/>
      <w:bookmarkEnd w:id="4"/>
      <w:bookmarkEnd w:id="5"/>
      <w:r>
        <w:fldChar w:fldCharType="end"/>
      </w:r>
    </w:p>
    <w:tbl>
      <w:tblPr>
        <w:tblOverlap w:val="never"/>
        <w:jc w:val="center"/>
        <w:tblLayout w:type="fixed"/>
      </w:tblPr>
      <w:tblGrid>
        <w:gridCol w:w="1397"/>
        <w:gridCol w:w="8261"/>
      </w:tblGrid>
      <w:tr>
        <w:trPr>
          <w:trHeight w:val="78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作者： 作者单位： 刊名：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540"/>
              <w:jc w:val="left"/>
              <w:rPr>
                <w:sz w:val="15"/>
                <w:szCs w:val="15"/>
              </w:rPr>
            </w:pPr>
            <w:r>
              <w:fldChar w:fldCharType="begin"/>
            </w:r>
            <w:r>
              <w:rPr/>
              <w:instrText> HYPERLINK "http://s.g.wanfangdata.com.cn/Paper.aspx?q=Creator%3a%22%e9%bb%84%e5%b8%8c%e9%a1%ba%22+DBID%3aWF_QK"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</w:rPr>
              <w:t>黄希顺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,</w:t>
            </w:r>
            <w:r>
              <w:fldChar w:fldCharType="begin"/>
            </w:r>
            <w:r>
              <w:rPr/>
              <w:instrText> HYPERLINK "http://s.g.wanfangdata.com.cn/Paper.aspx?q=Creator%3a%22%e5%bb%96%e5%8d%ab%e5%b9%b3%22+DBID%3aWF_QK"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</w:rPr>
              <w:t>廖卫平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,</w:t>
            </w:r>
            <w:r>
              <w:fldChar w:fldCharType="begin"/>
            </w:r>
            <w:r>
              <w:rPr/>
              <w:instrText> HYPERLINK "http://s.g.wanfangdata.com.cn/Paper.aspx?q=Creator%3a%22%e6%9d%8e%e4%b8%96%e7%bb%b0%22+DBID%3aWF_QK"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</w:rPr>
              <w:t>李世绰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,</w:t>
            </w:r>
            <w:r>
              <w:fldChar w:fldCharType="begin"/>
            </w:r>
            <w:r>
              <w:rPr/>
              <w:instrText> HYPERLINK "http://s.g.wanfangdata.com.cn/Paper.aspx?q=Creator%3a%22%e8%82%96%e6%b3%a2%22+DBID%3aWF_QK"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</w:rPr>
              <w:t>肖波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,</w:t>
            </w:r>
            <w:r>
              <w:fldChar w:fldCharType="begin"/>
            </w:r>
            <w:r>
              <w:rPr/>
              <w:instrText> HYPERLINK "http://s.g.wanfangdata.com.cn/Paper.aspx?q=Creator%3a%22%e9%bb%84%e8%bf%9c%e6%a1%82%22+DBID%3aWF_QK"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</w:rPr>
              <w:t>黄远桂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,</w:t>
            </w:r>
            <w:r>
              <w:fldChar w:fldCharType="begin"/>
            </w:r>
            <w:r>
              <w:rPr/>
              <w:instrText> HYPERLINK "http://s.g.wanfangdata.com.cn/Paper.aspx?q=Creator%3a%22%e7%a7%a6%e7%82%af%22+DBID%3aWF_QK"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</w:rPr>
              <w:t>秦炯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,</w:t>
            </w:r>
            <w:r>
              <w:fldChar w:fldCharType="begin"/>
            </w:r>
            <w:r>
              <w:rPr/>
              <w:instrText> HYPERLINK "http://s.g.wanfangdata.com.cn/Paper.aspx?q=Creator%3a%22%e5%91%a8%e5%88%97%e6%b0%91%22+DBID%3aWF_QK"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</w:rPr>
              <w:t>周列民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,</w:t>
            </w:r>
            <w:r>
              <w:fldChar w:fldCharType="begin"/>
            </w:r>
            <w:r>
              <w:rPr/>
              <w:instrText> HYPERLINK "http://s.g.wanfangdata.com.cn/Paper.aspx?q=Creator%3a%22%e7%8e%8b%e5%ad%a6%e5%b3%b0%22+DBID%3aWF_QK"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</w:rPr>
              <w:t>王学峰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,</w:t>
            </w:r>
            <w:r>
              <w:fldChar w:fldCharType="begin"/>
            </w:r>
            <w:r>
              <w:rPr/>
              <w:instrText> HYPERLINK "http://s.g.wanfangdata.com.cn/Paper.aspx?q=Creator%3a%22%e9%9f%a9%e7%92%9e%22+DBID%3aWF_QK"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</w:rPr>
              <w:t>韩璞</w:t>
            </w:r>
            <w:r>
              <w:fldChar w:fldCharType="end"/>
            </w:r>
          </w:p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40"/>
              <w:jc w:val="left"/>
              <w:rPr>
                <w:sz w:val="20"/>
                <w:szCs w:val="20"/>
              </w:rPr>
            </w:pPr>
            <w:r>
              <w:fldChar w:fldCharType="begin"/>
            </w:r>
            <w:r>
              <w:rPr/>
              <w:instrText> HYPERLINK "http://c.g.wanfangdata.com.cn/periodical-lcsjdslxzz.aspx"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</w:rPr>
              <w:t>癫癇与神经电生理学杂志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color w:val="7F5D4E"/>
                <w:spacing w:val="0"/>
                <w:w w:val="100"/>
                <w:position w:val="0"/>
                <w:sz w:val="20"/>
                <w:szCs w:val="20"/>
                <w:vertAlign w:val="superscript"/>
              </w:rPr>
              <w:t>||:</w:t>
            </w:r>
            <w:r>
              <w:rPr>
                <w:rFonts w:ascii="Times New Roman" w:eastAsia="Times New Roman" w:hAnsi="Times New Roman" w:cs="Times New Roman"/>
                <w:color w:val="7F5D4E"/>
                <w:spacing w:val="0"/>
                <w:w w:val="100"/>
                <w:position w:val="0"/>
                <w:sz w:val="20"/>
                <w:szCs w:val="20"/>
              </w:rPr>
              <w:t>3</w:t>
            </w:r>
          </w:p>
        </w:tc>
      </w:tr>
      <w:tr>
        <w:trPr>
          <w:trHeight w:val="46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</w:rPr>
              <w:t>英文刊名： 年，卷（期）：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4" w:lineRule="auto"/>
              <w:ind w:left="540" w:right="0" w:firstLine="0"/>
              <w:jc w:val="left"/>
              <w:rPr>
                <w:sz w:val="16"/>
                <w:szCs w:val="16"/>
              </w:rPr>
            </w:pPr>
            <w:r>
              <w:fldChar w:fldCharType="begin"/>
            </w:r>
            <w:r>
              <w:rPr/>
              <w:instrText> HYPERLINK "http://c.g.wanfangdata.com.cn/periodical-lcsjdslxzz.aspx" </w:instrText>
            </w:r>
            <w:r>
              <w:fldChar w:fldCharType="separate"/>
            </w:r>
            <w:r>
              <w:rPr>
                <w:rFonts w:ascii="Times New Roman" w:eastAsia="Times New Roman" w:hAnsi="Times New Roman" w:cs="Times New Roman"/>
                <w:color w:val="034481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Journal of Epileptology and Electroneurophysiology(CHINA)</w:t>
            </w:r>
            <w:r>
              <w:fldChar w:fldCharType="end"/>
            </w:r>
            <w:r>
              <w:rPr>
                <w:rFonts w:ascii="Times New Roman" w:eastAsia="Times New Roman" w:hAnsi="Times New Roman" w:cs="Times New Roman"/>
                <w:color w:val="034481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2013,22(1)</w:t>
            </w:r>
          </w:p>
        </w:tc>
      </w:tr>
    </w:tbl>
    <w:p>
      <w:pPr>
        <w:widowControl w:val="0"/>
        <w:spacing w:after="739" w:line="1" w:lineRule="exact"/>
      </w:pPr>
    </w:p>
    <w:p>
      <w:pPr>
        <w:pStyle w:val="Style3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SimSun" w:eastAsia="SimSun" w:hAnsi="SimSun" w:cs="SimSun"/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本文链接： </w:t>
      </w:r>
      <w:r>
        <w:fldChar w:fldCharType="begin"/>
      </w:r>
      <w:r>
        <w:rPr/>
        <w:instrText> HYPERLINK "http://d.g.wanfangdata.com.cn/Periodical_lcsjdslxzz201301020.aspx" </w:instrText>
      </w:r>
      <w:r>
        <w:fldChar w:fldCharType="separate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http://d.g.wanfangdata.com.cn/Periodical</w:t>
      </w:r>
      <w:r>
        <w:fldChar w:fldCharType="end"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_lcsjdslxzz201301020.aspx</w:t>
      </w:r>
    </w:p>
    <w:p>
      <w:pPr>
        <w:widowControl w:val="0"/>
        <w:jc w:val="left"/>
        <w:rPr>
          <w:sz w:val="2"/>
          <w:szCs w:val="2"/>
        </w:rPr>
      </w:pPr>
      <w:r>
        <w:drawing>
          <wp:inline>
            <wp:extent cx="774065" cy="323215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ext cx="774065" cy="32321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footnotePr>
        <w:pos w:val="pageBottom"/>
        <w:numFmt w:val="decimal"/>
        <w:numRestart w:val="continuous"/>
      </w:footnotePr>
      <w:pgSz w:w="11900" w:h="16840"/>
      <w:pgMar w:top="470" w:right="1119" w:bottom="259" w:left="1123" w:header="42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5865495</wp:posOffset>
              </wp:positionH>
              <wp:positionV relativeFrom="page">
                <wp:posOffset>10362565</wp:posOffset>
              </wp:positionV>
              <wp:extent cx="1316990" cy="16446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699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61.85000000000002pt;margin-top:815.95000000000005pt;width:103.7pt;height:12.9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8">
    <w:name w:val="Body text|1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14">
    <w:name w:val="Body text|3_"/>
    <w:basedOn w:val="DefaultParagraphFont"/>
    <w:link w:val="Style13"/>
    <w:rPr>
      <w:b/>
      <w:bCs/>
      <w:i/>
      <w:iCs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character" w:customStyle="1" w:styleId="CharStyle17">
    <w:name w:val="Body text|4_"/>
    <w:basedOn w:val="DefaultParagraphFont"/>
    <w:link w:val="Style16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0">
    <w:name w:val="Heading #2|1_"/>
    <w:basedOn w:val="DefaultParagraphFont"/>
    <w:link w:val="Style19"/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24">
    <w:name w:val="Other|1_"/>
    <w:basedOn w:val="DefaultParagraphFont"/>
    <w:link w:val="Style23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32">
    <w:name w:val="Body text|2_"/>
    <w:basedOn w:val="DefaultParagraphFont"/>
    <w:link w:val="Style31"/>
    <w:rPr>
      <w:b w:val="0"/>
      <w:bCs w:val="0"/>
      <w:i w:val="0"/>
      <w:iCs w:val="0"/>
      <w:smallCaps w:val="0"/>
      <w:strike w:val="0"/>
      <w:color w:val="034481"/>
      <w:sz w:val="16"/>
      <w:szCs w:val="16"/>
      <w:u w:val="none"/>
      <w:shd w:val="clear" w:color="auto" w:fill="auto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380"/>
      <w:ind w:firstLine="16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7">
    <w:name w:val="Body text|1"/>
    <w:basedOn w:val="Normal"/>
    <w:link w:val="CharStyle8"/>
    <w:pPr>
      <w:widowControl w:val="0"/>
      <w:shd w:val="clear" w:color="auto" w:fill="auto"/>
      <w:spacing w:line="353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13">
    <w:name w:val="Body text|3"/>
    <w:basedOn w:val="Normal"/>
    <w:link w:val="CharStyle14"/>
    <w:pPr>
      <w:widowControl w:val="0"/>
      <w:shd w:val="clear" w:color="auto" w:fill="auto"/>
      <w:spacing w:after="50" w:line="180" w:lineRule="auto"/>
      <w:ind w:left="1040"/>
    </w:pPr>
    <w:rPr>
      <w:b/>
      <w:bCs/>
      <w:i/>
      <w:iCs/>
      <w:smallCaps w:val="0"/>
      <w:strike w:val="0"/>
      <w:sz w:val="13"/>
      <w:szCs w:val="13"/>
      <w:u w:val="none"/>
      <w:shd w:val="clear" w:color="auto" w:fill="auto"/>
      <w:lang w:val="zh-TW" w:eastAsia="zh-TW" w:bidi="zh-TW"/>
    </w:rPr>
  </w:style>
  <w:style w:type="paragraph" w:customStyle="1" w:styleId="Style16">
    <w:name w:val="Body text|4"/>
    <w:basedOn w:val="Normal"/>
    <w:link w:val="CharStyle17"/>
    <w:pPr>
      <w:widowControl w:val="0"/>
      <w:shd w:val="clear" w:color="auto" w:fill="auto"/>
      <w:spacing w:line="341" w:lineRule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19">
    <w:name w:val="Heading #2|1"/>
    <w:basedOn w:val="Normal"/>
    <w:link w:val="CharStyle20"/>
    <w:pPr>
      <w:widowControl w:val="0"/>
      <w:shd w:val="clear" w:color="auto" w:fill="auto"/>
      <w:spacing w:after="80"/>
      <w:outlineLvl w:val="1"/>
    </w:pPr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23">
    <w:name w:val="Other|1"/>
    <w:basedOn w:val="Normal"/>
    <w:link w:val="CharStyle24"/>
    <w:pPr>
      <w:widowControl w:val="0"/>
      <w:shd w:val="clear" w:color="auto" w:fill="auto"/>
      <w:spacing w:line="353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31">
    <w:name w:val="Body text|2"/>
    <w:basedOn w:val="Normal"/>
    <w:link w:val="CharStyle32"/>
    <w:pPr>
      <w:widowControl w:val="0"/>
      <w:shd w:val="clear" w:color="auto" w:fill="auto"/>
      <w:spacing w:after="12840"/>
    </w:pPr>
    <w:rPr>
      <w:b w:val="0"/>
      <w:bCs w:val="0"/>
      <w:i w:val="0"/>
      <w:iCs w:val="0"/>
      <w:smallCaps w:val="0"/>
      <w:strike w:val="0"/>
      <w:color w:val="034481"/>
      <w:sz w:val="16"/>
      <w:szCs w:val="16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/Relationships>
</file>