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zh-CN" w:eastAsia="zh-CN" w:bidi="zh-CN"/>
        </w:rPr>
        <w:t xml:space="preserve">2013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WFSBP</w:t>
      </w:r>
      <w:r>
        <w:rPr>
          <w:spacing w:val="0"/>
          <w:w w:val="100"/>
          <w:position w:val="0"/>
        </w:rPr>
        <w:t>单相抑郁障碍生物治疗指南（一）：总论</w:t>
      </w:r>
      <w:bookmarkEnd w:id="0"/>
      <w:bookmarkEnd w:id="1"/>
      <w:bookmarkEnd w:id="2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right"/>
      </w:pP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rFonts w:ascii="SimSun" w:eastAsia="SimSun" w:hAnsi="SimSun" w:cs="SimSun"/>
          <w:color w:val="0000FF"/>
          <w:spacing w:val="0"/>
          <w:w w:val="100"/>
          <w:position w:val="0"/>
          <w:sz w:val="18"/>
          <w:szCs w:val="18"/>
          <w:u w:val="single"/>
          <w:lang w:val="zh-TW" w:eastAsia="zh-TW" w:bidi="zh-TW"/>
        </w:rPr>
        <w:t>医脉通</w:t>
      </w:r>
      <w:r>
        <w:rPr>
          <w:rFonts w:ascii="SimSun" w:eastAsia="SimSun" w:hAnsi="SimSun" w:cs="SimSun"/>
          <w:color w:val="0000FF"/>
          <w:spacing w:val="0"/>
          <w:w w:val="100"/>
          <w:position w:val="0"/>
          <w:sz w:val="18"/>
          <w:szCs w:val="18"/>
          <w:lang w:val="zh-TW" w:eastAsia="zh-TW" w:bidi="zh-TW"/>
        </w:rPr>
        <w:t xml:space="preserve"> 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2014-10-11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 Federation of Societies of Biological Psychiatry （WFSBP） Guidelines for</w:t>
        <w:br/>
        <w:t>Biological Treatment of Unipolar Depressive Disorders, Part 1: Update 2013 onthe acute</w:t>
        <w:br/>
        <w:t>and continuation treatment of unipolar depressive disorders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18" w:lineRule="exact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世界生物精神病学会联合会（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WFSBP</w:t>
      </w:r>
      <w:r>
        <w:rPr>
          <w:b/>
          <w:bCs/>
          <w:color w:val="000000"/>
          <w:spacing w:val="0"/>
          <w:w w:val="100"/>
          <w:position w:val="0"/>
        </w:rPr>
        <w:t>）单相抑郁障碍生物治疗指南</w:t>
        <w:br/>
        <w:t>第1部分：单相抑郁障碍的急性期及持续期治疗（2013年更新版）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/>
        <w:ind w:left="0" w:right="0"/>
        <w:jc w:val="both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摘要</w:t>
      </w:r>
      <w:bookmarkEnd w:id="3"/>
      <w:bookmarkEnd w:id="4"/>
      <w:bookmarkEnd w:id="5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目标：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2013</w:t>
      </w:r>
      <w:r>
        <w:rPr>
          <w:color w:val="000000"/>
          <w:spacing w:val="0"/>
          <w:w w:val="100"/>
          <w:position w:val="0"/>
        </w:rPr>
        <w:t>年更新版由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WFSBP</w:t>
      </w:r>
      <w:r>
        <w:rPr>
          <w:color w:val="000000"/>
          <w:spacing w:val="0"/>
          <w:w w:val="100"/>
          <w:position w:val="0"/>
        </w:rPr>
        <w:t>国际工作组开发完成，旨在系统地回顾所有与单相 抑郁障碍治疗相关的可用证据，并基于现有证据制定一系列具有临床及科学意义的临床推 荐。本指南力求为所有接诊及治疗抑郁患者的医师所用。方法：系统更新了文献检索及评 估，所有推荐建议均由指南工作组所批准。结果：本指南的第一部分涵盖了单相抑郁障碍 的定义、分类、流行病学及病程，以及急性期及维持期的治疗。本指南主要涉及成人抑郁 的生物学治疗，包括抗抑郁药、其他精神药物治疗、电休克治疗（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）、</w:t>
      </w:r>
      <w:r>
        <w:rPr>
          <w:color w:val="000000"/>
          <w:spacing w:val="0"/>
          <w:w w:val="100"/>
          <w:position w:val="0"/>
        </w:rPr>
        <w:t>光疗、联合治 疗及新型治疗手段。结论：目前为止，有很多具有循证学证据的抗抑郁治疗选择。然而， 仍有很多患者无法实现完全缓解。另外，躯体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/</w:t>
      </w:r>
      <w:r>
        <w:rPr>
          <w:color w:val="000000"/>
          <w:spacing w:val="0"/>
          <w:w w:val="100"/>
          <w:position w:val="0"/>
        </w:rPr>
        <w:t>精神科共病与其他特定状况尚需更透彻的研 究，因此，我们需要进一步开展高质量的有益的随机对照研究。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/>
        <w:ind w:left="0" w:right="0"/>
        <w:jc w:val="both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关键词</w:t>
      </w:r>
      <w:bookmarkEnd w:id="6"/>
      <w:bookmarkEnd w:id="7"/>
      <w:bookmarkEnd w:id="8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重性抑郁障碍，急性期治疗，维持期治疗，药物治疗，抗抑郁药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/>
        <w:ind w:left="0" w:right="0"/>
        <w:jc w:val="both"/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</w:rPr>
        <w:t>一般建议</w:t>
      </w:r>
      <w:bookmarkEnd w:id="10"/>
      <w:bookmarkEnd w:id="11"/>
      <w:bookmarkEnd w:id="9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4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一般而言，对于满足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ICD-10</w:t>
      </w:r>
      <w:r>
        <w:rPr>
          <w:color w:val="000000"/>
          <w:spacing w:val="0"/>
          <w:w w:val="100"/>
          <w:position w:val="0"/>
        </w:rPr>
        <w:t>中抑郁发作及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DSM-IV-TR</w:t>
      </w:r>
      <w:r>
        <w:rPr>
          <w:color w:val="000000"/>
          <w:spacing w:val="0"/>
          <w:w w:val="100"/>
          <w:position w:val="0"/>
        </w:rPr>
        <w:t>中重性抑郁障碍诊断标准的 患者，生物学治疗应加以考虑，包括药物及非药物治疗。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治疗开始前，医师应基于患者的病史、当前临床亚型、当前精神检查结果、疾病严重 度及自杀风险制定详尽的治疗方案。精神科及躯体共病、非精神科药物及心理社会因素同 样需要充分考虑，因为这些因素可能参与了抑郁综合征的发生发展，或对治疗构成干扰。 应评估心境障碍家族史及治疗反应。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无论选用了何种生物学干预方式，精神科管理即应启动，并持续整个治疗过程。这些 管理措施包括确定治疗方案及设置，建立及维持治疗同盟，监测及再次评估患者包括自杀 风险在内的精神状况，再次评估诊断效力，监测患者对治疗的应答，副作用及一般躯体状 况，并就治疗依从性的重要性教育患者及其家人。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急性期治疗的最终目的在于症状缓解。在大约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2</w:t>
      </w:r>
      <w:r>
        <w:rPr>
          <w:color w:val="000000"/>
          <w:spacing w:val="0"/>
          <w:w w:val="100"/>
          <w:position w:val="0"/>
        </w:rPr>
        <w:t>周的抗抑郁药治疗后，医师应评估患 者的治疗应答；若疗效欠佳，应优化治疗策略。在进入维持期之前，实现最大限度的症状 缓解可能至少需要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8-10</w:t>
      </w:r>
      <w:r>
        <w:rPr>
          <w:color w:val="000000"/>
          <w:spacing w:val="0"/>
          <w:w w:val="100"/>
          <w:position w:val="0"/>
        </w:rPr>
        <w:t>周。抑郁越严重，患者从足效治疗中所获得的潜在受益越大。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巩固期治疗的目的为预防复发、消除一切残余症状、使患者的心理社会及职业功能恢 复到病前状态。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维持期（预防）治疗的目标为预防新的抑郁发作及自杀。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成功的抗抑郁同时治疗包括针对患者及其家人的教育，包括可行的治疗选择、治疗起 效时间及可观察到的征象、早期副作用及应对策略、预期治疗进程。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line="430" w:lineRule="exact"/>
        <w:ind w:left="0" w:right="0"/>
        <w:jc w:val="both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</w:rPr>
        <w:t>生物学治疗推荐</w:t>
      </w:r>
      <w:bookmarkEnd w:id="12"/>
      <w:bookmarkEnd w:id="13"/>
      <w:bookmarkEnd w:id="14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2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抗抑郁药为重性抑郁（中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-</w:t>
      </w:r>
      <w:r>
        <w:rPr>
          <w:color w:val="000000"/>
          <w:spacing w:val="0"/>
          <w:w w:val="100"/>
          <w:position w:val="0"/>
        </w:rPr>
        <w:t>重度）发作的一线治疗。根据个体特征和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/</w:t>
      </w:r>
      <w:r>
        <w:rPr>
          <w:color w:val="000000"/>
          <w:spacing w:val="0"/>
          <w:w w:val="100"/>
          <w:position w:val="0"/>
        </w:rPr>
        <w:t>或患者的需求， 抗抑郁药或可同样用于轻度抑郁发作；但对于很多类似个案，单用心理及社会治疗或已足 够。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选择抗抑郁药时需要考虑的因素包括：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患者先前的用药经历（应答、耐受性、副作用）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当前躯体状况及非精神科药物的使用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特定药物的短期及长期副作用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对于存在自杀风险的患者而言，特定药物过量的毒性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医师个体用药经验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患者既往用药依从性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患者一级亲属对药物的应答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患者喜好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经济条件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使用特定抗抑郁药的机会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480"/>
        <w:jc w:val="both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药物批准情况</w:t>
      </w: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both"/>
      </w:pPr>
      <w:bookmarkStart w:id="15" w:name="bookmark15"/>
      <w:bookmarkStart w:id="16" w:name="bookmark16"/>
      <w:bookmarkStart w:id="17" w:name="bookmark17"/>
      <w:r>
        <w:rPr>
          <w:spacing w:val="0"/>
          <w:w w:val="100"/>
          <w:position w:val="0"/>
        </w:rPr>
        <w:t>尚无证据证明，某一类抗抑郁药在疗效及起效时间方面优于其他类型的抗抑郁药，但 对于某些病情严重的住院患者，包括阿米替林及氯米帕明在内的某些三环类抗抑郁药</w:t>
      </w:r>
      <w:bookmarkEnd w:id="15"/>
      <w:bookmarkEnd w:id="16"/>
      <w:bookmarkEnd w:id="17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4" w:lineRule="exact"/>
        <w:ind w:left="0" w:right="0" w:firstLine="0"/>
        <w:jc w:val="both"/>
      </w:pPr>
      <w:r>
        <w:rPr>
          <w:b/>
          <w:bCs/>
          <w:color w:val="C00000"/>
          <w:spacing w:val="0"/>
          <w:w w:val="100"/>
          <w:position w:val="0"/>
          <w:lang w:val="en-US" w:eastAsia="en-US" w:bidi="en-US"/>
        </w:rPr>
        <w:t>（TCAs</w:t>
      </w:r>
      <w:r>
        <w:rPr>
          <w:b/>
          <w:bCs/>
          <w:color w:val="C00000"/>
          <w:spacing w:val="0"/>
          <w:w w:val="100"/>
          <w:position w:val="0"/>
        </w:rPr>
        <w:t>）及文拉法辛的疗效稍优于</w:t>
      </w:r>
      <w:r>
        <w:rPr>
          <w:b/>
          <w:bCs/>
          <w:color w:val="C00000"/>
          <w:spacing w:val="0"/>
          <w:w w:val="100"/>
          <w:position w:val="0"/>
          <w:lang w:val="en-US" w:eastAsia="en-US" w:bidi="en-US"/>
        </w:rPr>
        <w:t>SSRIs。</w:t>
      </w:r>
      <w:r>
        <w:rPr>
          <w:color w:val="000000"/>
          <w:spacing w:val="0"/>
          <w:w w:val="100"/>
          <w:position w:val="0"/>
        </w:rPr>
        <w:t>抗抑郁药的副作用属性、与其他药物发生相 互作用的潜力及过量服用的危险差异甚大。第二代抗抑郁药（安非他酮、马普替林、米安 色林、曲唑酮）及第三代抗抑郁药（如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SNRIs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米氮平），即所谓新型抗抑郁药 的耐受性总体优于第一代的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TCAs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而服用这些药物的患者停药的可能性也较低。对于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真 </w:t>
      </w:r>
      <w:r>
        <w:rPr>
          <w:color w:val="000000"/>
          <w:spacing w:val="0"/>
          <w:w w:val="100"/>
          <w:position w:val="0"/>
        </w:rPr>
        <w:t>实生活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中</w:t>
      </w:r>
      <w:r>
        <w:rPr>
          <w:color w:val="000000"/>
          <w:spacing w:val="0"/>
          <w:w w:val="100"/>
          <w:position w:val="0"/>
        </w:rPr>
        <w:t>的疗效而言，这一点或许至关重要。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9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在至少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30%</w:t>
      </w:r>
      <w:r>
        <w:rPr>
          <w:color w:val="000000"/>
          <w:spacing w:val="0"/>
          <w:w w:val="100"/>
          <w:position w:val="0"/>
        </w:rPr>
        <w:t>的抑郁发作中，患者对足量足疗程的一线药物治疗应答不佳。一旦岀现这 种情况，医师需要认真回顾诊断的准确性、药物剂量及服用依从性。理论上的应对策略包 括：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增加（最大化）初始抗抑郁药的剂量;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换用另一类抗抑郁药，例如从一种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SSRI</w:t>
      </w:r>
      <w:r>
        <w:rPr>
          <w:color w:val="000000"/>
          <w:spacing w:val="0"/>
          <w:w w:val="100"/>
          <w:position w:val="0"/>
        </w:rPr>
        <w:t>换为一种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TCA</w:t>
      </w:r>
      <w:r>
        <w:rPr>
          <w:color w:val="000000"/>
          <w:spacing w:val="0"/>
          <w:w w:val="100"/>
          <w:position w:val="0"/>
        </w:rPr>
        <w:t>或双通道抗抑郁药；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换用另一种同类抗抑郁药，例如从一种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SSRI</w:t>
      </w:r>
      <w:r>
        <w:rPr>
          <w:color w:val="000000"/>
          <w:spacing w:val="0"/>
          <w:w w:val="100"/>
          <w:position w:val="0"/>
        </w:rPr>
        <w:t>换为另一种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SSRI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联用两种不同类别的抗抑郁药，例如一种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SSRI</w:t>
      </w:r>
      <w:r>
        <w:rPr>
          <w:color w:val="000000"/>
          <w:spacing w:val="0"/>
          <w:w w:val="100"/>
          <w:position w:val="0"/>
        </w:rPr>
        <w:t>或双通道抗抑郁药联用米氮平；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增效治疗，如锂盐、甲状腺素或非典型抗精神病药；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抗抑郁药联合心理干预；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b/>
          <w:bCs/>
          <w:color w:val="000000"/>
          <w:spacing w:val="0"/>
          <w:w w:val="100"/>
          <w:position w:val="0"/>
        </w:rPr>
        <w:t>△</w:t>
      </w:r>
      <w:r>
        <w:rPr>
          <w:color w:val="000000"/>
          <w:spacing w:val="0"/>
          <w:w w:val="100"/>
          <w:position w:val="0"/>
        </w:rPr>
        <w:t>抗抑郁药联合非药物性的生物学疗法，如觉醒疗法、光照疗法、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ECT</w:t>
      </w: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其中，使用锂盐、喹硫平及阿立哌唑进行增效治疗是当前证据最为充分的治疗策略。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ECT</w:t>
      </w:r>
      <w:r>
        <w:rPr>
          <w:color w:val="000000"/>
          <w:spacing w:val="0"/>
          <w:w w:val="100"/>
          <w:position w:val="0"/>
        </w:rPr>
        <w:t>仅在需要快速缓解严重抑郁症状时被视为一线治疗，例如伴精神病性症状的抑 郁、存在精神运动性迟滞的抑郁、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真性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难治</w:t>
      </w:r>
      <w:r>
        <w:rPr>
          <w:color w:val="000000"/>
          <w:spacing w:val="0"/>
          <w:w w:val="100"/>
          <w:position w:val="0"/>
        </w:rPr>
        <w:t>性抑郁、持续拒食、严重自杀倾向等。此前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ECT</w:t>
      </w:r>
      <w:r>
        <w:rPr>
          <w:color w:val="000000"/>
          <w:spacing w:val="0"/>
          <w:w w:val="100"/>
          <w:position w:val="0"/>
        </w:rPr>
        <w:t>治疗应答较好及妊娠期妇女（尤其是前三个月）适用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0" w:lineRule="exact"/>
        <w:ind w:left="0" w:right="0" w:firstLine="480"/>
        <w:jc w:val="lef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431" w:right="1309" w:bottom="1797" w:left="1529" w:header="1003" w:footer="3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</w:rPr>
        <w:t>附：抗抑郁药分类及剂量</w:t>
      </w:r>
    </w:p>
    <w:tbl>
      <w:tblPr>
        <w:tblOverlap w:val="never"/>
        <w:jc w:val="center"/>
        <w:tblLayout w:type="fixed"/>
      </w:tblPr>
      <w:tblGrid>
        <w:gridCol w:w="1776"/>
        <w:gridCol w:w="1382"/>
        <w:gridCol w:w="1526"/>
        <w:gridCol w:w="1402"/>
        <w:gridCol w:w="1565"/>
        <w:gridCol w:w="1411"/>
      </w:tblGrid>
      <w:tr>
        <w:trPr>
          <w:trHeight w:val="72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3E3E3E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化学名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exact"/>
              <w:ind w:left="160" w:right="0" w:firstLine="0"/>
              <w:jc w:val="left"/>
              <w:rPr>
                <w:sz w:val="22"/>
                <w:szCs w:val="22"/>
              </w:rPr>
            </w:pPr>
            <w:r>
              <w:rPr>
                <w:color w:val="3E3E3E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传统结构 分类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3E3E3E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作用机制</w:t>
            </w:r>
          </w:p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color w:val="3E3E3E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分类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color w:val="3E3E3E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起始剂量</w:t>
            </w:r>
          </w:p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b/>
                <w:bCs/>
                <w:color w:val="3E3E3E"/>
                <w:spacing w:val="0"/>
                <w:w w:val="100"/>
                <w:position w:val="0"/>
                <w:lang w:val="en-US" w:eastAsia="en-US" w:bidi="en-US"/>
              </w:rPr>
              <w:t>(mg/d 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exact"/>
              <w:ind w:left="0" w:right="0" w:firstLine="0"/>
              <w:jc w:val="center"/>
            </w:pPr>
            <w:r>
              <w:rPr>
                <w:color w:val="3E3E3E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 xml:space="preserve">标准剂量 </w:t>
            </w:r>
            <w:r>
              <w:rPr>
                <w:b/>
                <w:bCs/>
                <w:color w:val="3E3E3E"/>
                <w:spacing w:val="0"/>
                <w:w w:val="100"/>
                <w:position w:val="0"/>
                <w:lang w:val="en-US" w:eastAsia="en-US" w:bidi="en-US"/>
              </w:rPr>
              <w:t xml:space="preserve">C </w:t>
            </w:r>
            <w:r>
              <w:rPr>
                <w:b/>
                <w:bCs/>
                <w:color w:val="271F37"/>
                <w:spacing w:val="0"/>
                <w:w w:val="100"/>
                <w:position w:val="0"/>
                <w:lang w:val="en-US" w:eastAsia="en-US" w:bidi="en-US"/>
              </w:rPr>
              <w:t xml:space="preserve">mg/d </w:t>
            </w:r>
            <w:r>
              <w:rPr>
                <w:b/>
                <w:bCs/>
                <w:color w:val="3E3E3E"/>
                <w:spacing w:val="0"/>
                <w:w w:val="100"/>
                <w:position w:val="0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color w:val="3E3E3E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治疗窗</w:t>
            </w:r>
          </w:p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3E3E3E"/>
                <w:spacing w:val="0"/>
                <w:w w:val="100"/>
                <w:position w:val="0"/>
                <w:lang w:val="en-US" w:eastAsia="en-US" w:bidi="en-US"/>
              </w:rPr>
              <w:t>(</w:t>
            </w:r>
            <w:r>
              <w:rPr>
                <w:b/>
                <w:bCs/>
                <w:color w:val="271F37"/>
                <w:spacing w:val="0"/>
                <w:w w:val="100"/>
                <w:position w:val="0"/>
                <w:lang w:val="en-US" w:eastAsia="en-US" w:bidi="en-US"/>
              </w:rPr>
              <w:t>ng/ml)</w:t>
            </w:r>
          </w:p>
        </w:tc>
      </w:tr>
      <w:tr>
        <w:trPr>
          <w:trHeight w:val="37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阿戈美拉汀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MT</w:t>
            </w: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激动剂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00E3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阿米庚酸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阿米替林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80-200*</w:t>
            </w: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阿和沙平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Tetra 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100-400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安非他酮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NDRI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150-450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西敵普兰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20-40</w:t>
            </w:r>
            <w:r>
              <w:rPr>
                <w:color w:val="584A5B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584A5B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60</w:t>
            </w:r>
            <w:r>
              <w:rPr>
                <w:color w:val="584A5B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584A5B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氣米帕明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100-250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175-450*</w:t>
            </w: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3B386D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地</w:t>
            </w: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昔帕明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100-300</w:t>
            </w: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888888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二</w:t>
            </w: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苯西平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120-180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240-720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Doslepine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75-150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度硫平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4"/>
                <w:szCs w:val="24"/>
              </w:rPr>
            </w:pPr>
            <w:r>
              <w:rPr>
                <w:color w:val="504C77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多塞平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度洛西汀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SNRI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30-60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60-120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艾司西猷普兰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10-20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氟西汀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00E3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氟伏沙明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丙咪嗪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175-300*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异卡波职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00E3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洛非帕明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140-210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马普替林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Tetra 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150-225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米安色林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Tetra CA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D6774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§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00E3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60-120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米那普仑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SNRI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50-100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1512"/>
        <w:gridCol w:w="1397"/>
        <w:gridCol w:w="1387"/>
        <w:gridCol w:w="1522"/>
        <w:gridCol w:w="1690"/>
        <w:gridCol w:w="1238"/>
      </w:tblGrid>
      <w:tr>
        <w:trPr>
          <w:trHeight w:val="322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米氮平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其他</w:t>
            </w:r>
            <w:r>
              <w:rPr>
                <w:color w:val="353048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$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15-45</w:t>
            </w: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325292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吗</w:t>
            </w: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氯贝胺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RIMA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300-600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票法哩酮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300-600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去甲替林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00E3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75-200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70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170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帕罗西汀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00E3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20-40 </w:t>
            </w:r>
            <w:r>
              <w:rPr>
                <w:rFonts w:ascii="Times New Roman" w:eastAsia="Times New Roman" w:hAnsi="Times New Roman" w:cs="Times New Roman"/>
                <w:color w:val="4366BD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60)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888888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苯乙麟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MAOI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30-90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普罗替林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00E3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B386D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瑞波西汀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NARI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4-8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8-12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舍曲林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SSRI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50-150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司普替林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Tetra 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3-6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噬禁普汀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其他#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12.5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25-37.5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反茶环丙胺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MAOI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20-60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曲哩酮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50-100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200-600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三甲</w:t>
            </w:r>
            <w:r>
              <w:rPr>
                <w:color w:val="504C77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丙咪嗪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25-50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100-300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584A5B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文</w:t>
            </w:r>
            <w:r>
              <w:rPr>
                <w:color w:val="6D6774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拉法辛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SNRI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37.5-75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75-375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71F37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195-400*</w:t>
            </w:r>
          </w:p>
        </w:tc>
      </w:tr>
      <w:tr>
        <w:trPr>
          <w:trHeight w:val="317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504C77"/>
                <w:spacing w:val="0"/>
                <w:w w:val="100"/>
                <w:position w:val="0"/>
                <w:sz w:val="22"/>
                <w:szCs w:val="22"/>
                <w:lang w:val="zh-TW" w:eastAsia="zh-TW" w:bidi="zh-TW"/>
              </w:rPr>
              <w:t>维洛沙嗪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100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353048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200-500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7"/>
        <w:keepNext w:val="0"/>
        <w:keepLines w:val="0"/>
        <w:widowControl w:val="0"/>
        <w:shd w:val="clear" w:color="auto" w:fill="auto"/>
        <w:tabs>
          <w:tab w:pos="744" w:val="left"/>
        </w:tabs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褪黑素受体；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§</w:t>
      </w:r>
      <w:r>
        <w:rPr>
          <w:color w:val="000000"/>
          <w:spacing w:val="0"/>
          <w:w w:val="100"/>
          <w:position w:val="0"/>
        </w:rPr>
        <w:t>：去甲肾上腺素再摄取抑制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+</w:t>
      </w:r>
      <w:r>
        <w:rPr>
          <w:color w:val="000000"/>
          <w:spacing w:val="0"/>
          <w:w w:val="100"/>
          <w:position w:val="0"/>
        </w:rPr>
        <w:t>突触前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a2</w:t>
      </w:r>
      <w:r>
        <w:rPr>
          <w:color w:val="000000"/>
          <w:spacing w:val="0"/>
          <w:w w:val="100"/>
          <w:position w:val="0"/>
        </w:rPr>
        <w:t>受体阻断；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$</w:t>
      </w:r>
      <w:r>
        <w:rPr>
          <w:color w:val="000000"/>
          <w:spacing w:val="0"/>
          <w:w w:val="100"/>
          <w:position w:val="0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a2</w:t>
      </w:r>
      <w:r>
        <w:rPr>
          <w:color w:val="000000"/>
          <w:spacing w:val="0"/>
          <w:w w:val="100"/>
          <w:position w:val="0"/>
        </w:rPr>
        <w:t>受体拮 抗；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#</w:t>
      </w:r>
      <w:r>
        <w:rPr>
          <w:color w:val="000000"/>
          <w:spacing w:val="0"/>
          <w:w w:val="100"/>
          <w:position w:val="0"/>
        </w:rPr>
        <w:t>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5-HT</w:t>
      </w:r>
      <w:r>
        <w:rPr>
          <w:color w:val="000000"/>
          <w:spacing w:val="0"/>
          <w:w w:val="100"/>
          <w:position w:val="0"/>
        </w:rPr>
        <w:t>再摄取增强</w:t>
      </w:r>
    </w:p>
    <w:p>
      <w:pPr>
        <w:widowControl w:val="0"/>
        <w:spacing w:after="41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60" w:line="446" w:lineRule="exact"/>
        <w:ind w:left="220" w:right="0" w:hanging="220"/>
        <w:jc w:val="left"/>
      </w:pPr>
      <w:r>
        <w:rPr>
          <w:color w:val="000000"/>
          <w:spacing w:val="0"/>
          <w:w w:val="100"/>
          <w:position w:val="0"/>
        </w:rPr>
        <w:t>对于老年（〉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60</w:t>
      </w:r>
      <w:r>
        <w:rPr>
          <w:color w:val="000000"/>
          <w:spacing w:val="0"/>
          <w:w w:val="100"/>
          <w:position w:val="0"/>
        </w:rPr>
        <w:t xml:space="preserve">岁）或共病躯体疾病（尤其是心血管疾病）的患者，起始剂量或需降低。 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b/>
          <w:bCs/>
          <w:color w:val="0000FF"/>
          <w:spacing w:val="0"/>
          <w:w w:val="100"/>
          <w:position w:val="0"/>
        </w:rPr>
        <w:t>医脉通</w:t>
      </w:r>
      <w:r>
        <w:rPr>
          <w:b/>
          <w:bCs/>
          <w:color w:val="C00000"/>
          <w:spacing w:val="0"/>
          <w:w w:val="100"/>
          <w:position w:val="0"/>
        </w:rPr>
        <w:t>编</w:t>
      </w:r>
      <w:r>
        <w:fldChar w:fldCharType="end"/>
      </w:r>
      <w:r>
        <w:rPr>
          <w:b/>
          <w:bCs/>
          <w:color w:val="C00000"/>
          <w:spacing w:val="0"/>
          <w:w w:val="100"/>
          <w:position w:val="0"/>
        </w:rPr>
        <w:t>译，转载请注明出处。）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</w:rPr>
        <w:t>相关阅读：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"http://news.medlive.cn/psy/info-progress/show-68837_60.html" </w:instrText>
      </w:r>
      <w:r>
        <w:fldChar w:fldCharType="separate"/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单相抑郁障碍生物治疗指南（二）：图表汇总</w:t>
      </w:r>
      <w:r>
        <w:fldChar w:fldCharType="end"/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"http://news.medlive.cn/psy/info-progress/show-68898_60.html" </w:instrText>
      </w:r>
      <w:r>
        <w:fldChar w:fldCharType="separate"/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单相抑郁障碍生物治疗指南（三）：抗抑郁药</w:t>
      </w:r>
      <w:r>
        <w:fldChar w:fldCharType="end"/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"http://news.medlive.cn/psy/info-progress/show-68923_60.html" </w:instrText>
      </w:r>
      <w:r>
        <w:fldChar w:fldCharType="separate"/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单相抑郁障碍生物治疗指南（四）：疗效</w:t>
      </w:r>
      <w:r>
        <w:fldChar w:fldCharType="end"/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"http://news.medlive.cn/psy/info-progress/show-68984_60.html" </w:instrText>
      </w:r>
      <w:r>
        <w:fldChar w:fldCharType="separate"/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单相抑郁障碍生物治疗指南（五）：其他治疗</w:t>
      </w:r>
      <w:r>
        <w:fldChar w:fldCharType="end"/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500"/>
        <w:jc w:val="left"/>
      </w:pPr>
      <w:r>
        <w:fldChar w:fldCharType="begin"/>
      </w:r>
      <w:r>
        <w:rPr/>
        <w:instrText> HYPERLINK "http://news.medlive.cn/psy/info-progress/show-68988_60.html" </w:instrText>
      </w:r>
      <w:r>
        <w:fldChar w:fldCharType="separate"/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>单相抑郁障碍生物治疗指南（六）：特殊情况</w:t>
      </w:r>
      <w:r>
        <w:fldChar w:fldCharType="end"/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line="432" w:lineRule="exact"/>
        <w:ind w:left="0" w:right="0" w:firstLine="500"/>
        <w:jc w:val="left"/>
      </w:pPr>
      <w:r>
        <w:rPr>
          <w:b/>
          <w:bCs/>
          <w:color w:val="000000"/>
          <w:spacing w:val="0"/>
          <w:w w:val="100"/>
          <w:position w:val="0"/>
        </w:rPr>
        <w:t>指南全文下载：</w:t>
      </w:r>
      <w:r>
        <w:rPr>
          <w:b/>
          <w:bCs/>
          <w:color w:val="1D4B87"/>
          <w:spacing w:val="0"/>
          <w:w w:val="100"/>
          <w:position w:val="0"/>
          <w:u w:val="single"/>
          <w:lang w:val="en-US" w:eastAsia="en-US" w:bidi="en-US"/>
        </w:rPr>
        <w:t>WFSBP</w:t>
      </w:r>
      <w:r>
        <w:rPr>
          <w:b/>
          <w:bCs/>
          <w:color w:val="1D4B87"/>
          <w:spacing w:val="0"/>
          <w:w w:val="100"/>
          <w:position w:val="0"/>
          <w:u w:val="single"/>
        </w:rPr>
        <w:t xml:space="preserve">单相抑郁障碍生物学治疗指南，第一部分：单相抑郁障碍的 </w:t>
      </w:r>
      <w:r>
        <w:rPr>
          <w:b/>
          <w:bCs/>
          <w:color w:val="1D4B87"/>
          <w:spacing w:val="0"/>
          <w:w w:val="100"/>
          <w:position w:val="0"/>
        </w:rPr>
        <w:t>急性和持续性治疗（2013更新版）</w:t>
      </w:r>
    </w:p>
    <w:sectPr>
      <w:footerReference w:type="default" r:id="rId6"/>
      <w:footnotePr>
        <w:pos w:val="pageBottom"/>
        <w:numFmt w:val="decimal"/>
        <w:numRestart w:val="continuous"/>
      </w:footnotePr>
      <w:pgSz w:w="11900" w:h="16840"/>
      <w:pgMar w:top="1431" w:right="1309" w:bottom="1797" w:left="1529" w:header="1003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1340485</wp:posOffset>
              </wp:positionH>
              <wp:positionV relativeFrom="page">
                <wp:posOffset>10351770</wp:posOffset>
              </wp:positionV>
              <wp:extent cx="5821680" cy="2406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21680" cy="240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5.55pt;margin-top:815.10000000000002pt;width:458.40000000000003pt;height:18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5646420</wp:posOffset>
              </wp:positionH>
              <wp:positionV relativeFrom="page">
                <wp:posOffset>10351770</wp:posOffset>
              </wp:positionV>
              <wp:extent cx="1313815" cy="1644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381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44.60000000000002pt;margin-top:815.10000000000002pt;width:103.45pt;height:12.9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10531475</wp:posOffset>
              </wp:positionV>
              <wp:extent cx="374650" cy="609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74650" cy="609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32529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3191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89.650000000000006pt;margin-top:829.25pt;width:29.5pt;height:4.7999999999999998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325292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3191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1">
    <w:name w:val="Body text|3_"/>
    <w:basedOn w:val="DefaultParagraphFont"/>
    <w:link w:val="Style10"/>
    <w:rPr>
      <w:b w:val="0"/>
      <w:bCs w:val="0"/>
      <w:i w:val="0"/>
      <w:iCs w:val="0"/>
      <w:smallCaps w:val="0"/>
      <w:strike w:val="0"/>
      <w:color w:val="888888"/>
      <w:sz w:val="19"/>
      <w:szCs w:val="19"/>
      <w:u w:val="none"/>
      <w:shd w:val="clear" w:color="auto" w:fill="auto"/>
    </w:rPr>
  </w:style>
  <w:style w:type="character" w:customStyle="1" w:styleId="CharStyle15">
    <w:name w:val="Body text|2_"/>
    <w:basedOn w:val="DefaultParagraphFont"/>
    <w:link w:val="Style14"/>
    <w:rPr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17">
    <w:name w:val="Body text|1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0">
    <w:name w:val="Heading #2|1_"/>
    <w:basedOn w:val="DefaultParagraphFont"/>
    <w:link w:val="Style19"/>
    <w:rPr>
      <w:rFonts w:ascii="SimSun" w:eastAsia="SimSun" w:hAnsi="SimSun" w:cs="SimSun"/>
      <w:b/>
      <w:bCs/>
      <w:i w:val="0"/>
      <w:iCs w:val="0"/>
      <w:smallCaps w:val="0"/>
      <w:strike w:val="0"/>
      <w:color w:val="C0000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6">
    <w:name w:val="Other|1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44">
    <w:name w:val="Header or footer|1_"/>
    <w:basedOn w:val="DefaultParagraphFont"/>
    <w:link w:val="Style43"/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character" w:customStyle="1" w:styleId="CharStyle48">
    <w:name w:val="Table caption|1_"/>
    <w:basedOn w:val="DefaultParagraphFont"/>
    <w:link w:val="Style47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460" w:after="280"/>
      <w:ind w:firstLine="480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0">
    <w:name w:val="Body text|3"/>
    <w:basedOn w:val="Normal"/>
    <w:link w:val="CharStyle11"/>
    <w:pPr>
      <w:widowControl w:val="0"/>
      <w:shd w:val="clear" w:color="auto" w:fill="auto"/>
      <w:spacing w:after="220" w:line="434" w:lineRule="exact"/>
      <w:jc w:val="right"/>
    </w:pPr>
    <w:rPr>
      <w:b w:val="0"/>
      <w:bCs w:val="0"/>
      <w:i w:val="0"/>
      <w:iCs w:val="0"/>
      <w:smallCaps w:val="0"/>
      <w:strike w:val="0"/>
      <w:color w:val="888888"/>
      <w:sz w:val="19"/>
      <w:szCs w:val="19"/>
      <w:u w:val="none"/>
      <w:shd w:val="clear" w:color="auto" w:fill="auto"/>
    </w:rPr>
  </w:style>
  <w:style w:type="paragraph" w:customStyle="1" w:styleId="Style14">
    <w:name w:val="Body text|2"/>
    <w:basedOn w:val="Normal"/>
    <w:link w:val="CharStyle15"/>
    <w:pPr>
      <w:widowControl w:val="0"/>
      <w:shd w:val="clear" w:color="auto" w:fill="auto"/>
      <w:spacing w:after="220" w:line="410" w:lineRule="auto"/>
      <w:jc w:val="center"/>
    </w:pPr>
    <w:rPr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16">
    <w:name w:val="Body text|1"/>
    <w:basedOn w:val="Normal"/>
    <w:link w:val="CharStyle17"/>
    <w:pPr>
      <w:widowControl w:val="0"/>
      <w:shd w:val="clear" w:color="auto" w:fill="auto"/>
      <w:spacing w:after="420" w:line="45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9">
    <w:name w:val="Heading #2|1"/>
    <w:basedOn w:val="Normal"/>
    <w:link w:val="CharStyle20"/>
    <w:pPr>
      <w:widowControl w:val="0"/>
      <w:shd w:val="clear" w:color="auto" w:fill="auto"/>
      <w:spacing w:after="420" w:line="434" w:lineRule="exact"/>
      <w:ind w:firstLine="48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color w:val="C0000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5">
    <w:name w:val="Other|1"/>
    <w:basedOn w:val="Normal"/>
    <w:link w:val="CharStyle26"/>
    <w:pPr>
      <w:widowControl w:val="0"/>
      <w:shd w:val="clear" w:color="auto" w:fill="auto"/>
      <w:spacing w:after="420" w:line="451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43">
    <w:name w:val="Header or footer|1"/>
    <w:basedOn w:val="Normal"/>
    <w:link w:val="CharStyle4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paragraph" w:customStyle="1" w:styleId="Style47">
    <w:name w:val="Table caption|1"/>
    <w:basedOn w:val="Normal"/>
    <w:link w:val="CharStyle48"/>
    <w:pPr>
      <w:widowControl w:val="0"/>
      <w:shd w:val="clear" w:color="auto" w:fill="auto"/>
      <w:spacing w:line="427" w:lineRule="exact"/>
      <w:ind w:firstLine="4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Administrator</dc:creator>
  <cp:keywords/>
</cp:coreProperties>
</file>