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CN" w:eastAsia="zh-CN" w:bidi="zh-CN"/>
        </w:rPr>
        <w:t xml:space="preserve">2013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WFSBP</w:t>
      </w:r>
      <w:r>
        <w:rPr>
          <w:spacing w:val="0"/>
          <w:w w:val="100"/>
          <w:position w:val="0"/>
        </w:rPr>
        <w:t>单相抑郁障碍生物治疗指南（三）：抗抑郁药</w:t>
      </w:r>
      <w:bookmarkEnd w:id="0"/>
      <w:bookmarkEnd w:id="1"/>
      <w:bookmarkEnd w:id="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right"/>
      </w:pP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SimSun" w:eastAsia="SimSun" w:hAnsi="SimSun" w:cs="SimSun"/>
          <w:color w:val="0000FF"/>
          <w:spacing w:val="0"/>
          <w:w w:val="100"/>
          <w:position w:val="0"/>
          <w:sz w:val="18"/>
          <w:szCs w:val="18"/>
          <w:u w:val="single"/>
          <w:lang w:val="zh-TW" w:eastAsia="zh-TW" w:bidi="zh-TW"/>
        </w:rPr>
        <w:t>医脉通</w:t>
      </w:r>
      <w:r>
        <w:rPr>
          <w:rFonts w:ascii="SimSun" w:eastAsia="SimSun" w:hAnsi="SimSun" w:cs="SimSun"/>
          <w:color w:val="0000FF"/>
          <w:spacing w:val="0"/>
          <w:w w:val="100"/>
          <w:position w:val="0"/>
          <w:sz w:val="18"/>
          <w:szCs w:val="18"/>
          <w:lang w:val="zh-TW" w:eastAsia="zh-TW" w:bidi="zh-TW"/>
        </w:rPr>
        <w:t xml:space="preserve"> 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2014-10-13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fldChar w:fldCharType="begin"/>
      </w:r>
      <w:r>
        <w:rPr/>
        <w:instrText> HYPERLINK "http://news.medlive.cn/psy/info-progress/show-68804_60.html" </w:instrText>
      </w:r>
      <w:r>
        <w:fldChar w:fldCharType="separate"/>
      </w: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WFSBP</w:t>
      </w:r>
      <w:r>
        <w:rPr>
          <w:spacing w:val="0"/>
          <w:w w:val="100"/>
          <w:position w:val="0"/>
        </w:rPr>
        <w:t>单相抑郁障碍生物治疗指南（一）：总论</w:t>
      </w:r>
      <w:bookmarkEnd w:id="3"/>
      <w:bookmarkEnd w:id="4"/>
      <w:bookmarkEnd w:id="5"/>
      <w:r>
        <w:fldChar w:fldCharType="end"/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600"/>
        <w:ind w:left="0" w:right="0"/>
        <w:jc w:val="both"/>
      </w:pPr>
      <w:r>
        <w:fldChar w:fldCharType="begin"/>
      </w:r>
      <w:r>
        <w:rPr/>
        <w:instrText> HYPERLINK "http://news.medlive.cn/psy/info-progress/show-68837_60.html" </w:instrText>
      </w:r>
      <w:r>
        <w:fldChar w:fldCharType="separate"/>
      </w:r>
      <w:bookmarkStart w:id="3" w:name="bookmark3"/>
      <w:bookmarkStart w:id="4" w:name="bookmark4"/>
      <w:bookmarkStart w:id="6" w:name="bookmark6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WFSBP</w:t>
      </w:r>
      <w:r>
        <w:rPr>
          <w:spacing w:val="0"/>
          <w:w w:val="100"/>
          <w:position w:val="0"/>
        </w:rPr>
        <w:t>单相抑郁障碍生物治疗指南（二）：图表汇总</w:t>
      </w:r>
      <w:bookmarkEnd w:id="3"/>
      <w:bookmarkEnd w:id="4"/>
      <w:bookmarkEnd w:id="6"/>
      <w:r>
        <w:fldChar w:fldCharType="end"/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260" w:line="410" w:lineRule="auto"/>
        <w:ind w:left="0" w:right="0"/>
        <w:jc w:val="both"/>
      </w:pPr>
      <w:bookmarkStart w:id="7" w:name="bookmark7"/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sz w:val="22"/>
          <w:szCs w:val="22"/>
          <w:u w:val="none"/>
          <w:lang w:val="en-US" w:eastAsia="en-US" w:bidi="en-US"/>
        </w:rPr>
        <w:t>2.2</w:t>
      </w:r>
      <w:r>
        <w:rPr>
          <w:color w:val="C00000"/>
          <w:spacing w:val="0"/>
          <w:w w:val="100"/>
          <w:position w:val="0"/>
          <w:u w:val="none"/>
        </w:rPr>
        <w:t>抗抑郁药</w:t>
      </w:r>
      <w:bookmarkEnd w:id="7"/>
      <w:bookmarkEnd w:id="8"/>
      <w:bookmarkEnd w:id="9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2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研发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新型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抗</w:t>
      </w:r>
      <w:r>
        <w:rPr>
          <w:color w:val="000000"/>
          <w:spacing w:val="0"/>
          <w:w w:val="100"/>
          <w:position w:val="0"/>
        </w:rPr>
        <w:t>抑郁药的主要目的在于减少副作用。目前，各种类型的抗抑郁药疗效相 差无几，治疗应答率均在</w:t>
      </w:r>
      <w:r>
        <w:rPr>
          <w:b/>
          <w:bCs/>
          <w:color w:val="000000"/>
          <w:spacing w:val="0"/>
          <w:w w:val="100"/>
          <w:position w:val="0"/>
        </w:rPr>
        <w:t>50-75%</w:t>
      </w:r>
      <w:r>
        <w:rPr>
          <w:color w:val="000000"/>
          <w:spacing w:val="0"/>
          <w:w w:val="100"/>
          <w:position w:val="0"/>
        </w:rPr>
        <w:t>之间。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抗抑郁药的选择主要基于以下因素：患者既往用药经历、当前可能被抗抑郁药所加重 的躯体状况（如代谢综合征）、可能导致有害的药物间相互作用的非精神科用药、某种药 物的短期及长期副作用、医生用药经验、患者既往用药依从性、一级亲属对药物的应答、 患者个人喜好及特定药物的价格及可用性。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关于治疗收益是否与抑郁严重程度成比例，目前尚存争议。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bookmarkStart w:id="10" w:name="bookmark10"/>
      <w:bookmarkStart w:id="11" w:name="bookmark11"/>
      <w:bookmarkStart w:id="12" w:name="bookmark12"/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sz w:val="22"/>
          <w:szCs w:val="22"/>
          <w:u w:val="none"/>
          <w:lang w:val="en-US" w:eastAsia="en-US" w:bidi="en-US"/>
        </w:rPr>
        <w:t>2.2.1</w:t>
      </w:r>
      <w:r>
        <w:rPr>
          <w:color w:val="C00000"/>
          <w:spacing w:val="0"/>
          <w:w w:val="100"/>
          <w:position w:val="0"/>
          <w:u w:val="none"/>
        </w:rPr>
        <w:t>分类与疗效</w:t>
      </w:r>
      <w:bookmarkEnd w:id="10"/>
      <w:bookmarkEnd w:id="11"/>
      <w:bookmarkEnd w:id="12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传统抗抑郁药包括三环类、四环类及不可逆性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MAOI</w:t>
      </w:r>
      <w:r>
        <w:rPr>
          <w:color w:val="000000"/>
          <w:spacing w:val="0"/>
          <w:w w:val="100"/>
          <w:position w:val="0"/>
        </w:rPr>
        <w:t>。针对中重度抑郁，此类药物的 应答率为</w:t>
      </w:r>
      <w:r>
        <w:rPr>
          <w:b/>
          <w:bCs/>
          <w:color w:val="000000"/>
          <w:spacing w:val="0"/>
          <w:w w:val="100"/>
          <w:position w:val="0"/>
        </w:rPr>
        <w:t xml:space="preserve">50-75% </w:t>
      </w:r>
      <w:r>
        <w:rPr>
          <w:color w:val="000000"/>
          <w:spacing w:val="0"/>
          <w:w w:val="100"/>
          <w:position w:val="0"/>
        </w:rPr>
        <w:t>（安慰剂为</w:t>
      </w:r>
      <w:r>
        <w:rPr>
          <w:b/>
          <w:bCs/>
          <w:color w:val="000000"/>
          <w:spacing w:val="0"/>
          <w:w w:val="100"/>
          <w:position w:val="0"/>
        </w:rPr>
        <w:t>25-33%</w:t>
      </w:r>
      <w:r>
        <w:rPr>
          <w:color w:val="000000"/>
          <w:spacing w:val="0"/>
          <w:w w:val="100"/>
          <w:position w:val="0"/>
        </w:rPr>
        <w:t xml:space="preserve">）,而针对轻度抑郁患者的疗效与安慰剂差异很小。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SNRI</w:t>
      </w:r>
      <w:r>
        <w:rPr>
          <w:color w:val="000000"/>
          <w:spacing w:val="0"/>
          <w:w w:val="100"/>
          <w:position w:val="0"/>
        </w:rPr>
        <w:t>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NRI</w:t>
      </w:r>
      <w:r>
        <w:rPr>
          <w:color w:val="000000"/>
          <w:spacing w:val="0"/>
          <w:w w:val="100"/>
          <w:position w:val="0"/>
        </w:rPr>
        <w:t>等药物均显示岀相对于安慰剂的优势。虽然疗效与三环类药物相仿， 但不可逆性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MAOI </w:t>
      </w:r>
      <w:r>
        <w:rPr>
          <w:color w:val="000000"/>
          <w:spacing w:val="0"/>
          <w:w w:val="100"/>
          <w:position w:val="0"/>
        </w:rPr>
        <w:t>（反苯环丙胺及苯乙肼）并不被视为一线治疗。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据估计，抗抑郁药相比于安慰剂的效应值为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0.39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CI 0.24-0.54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/>
        <w:ind w:left="0" w:right="0"/>
        <w:jc w:val="both"/>
      </w:pPr>
      <w:bookmarkStart w:id="13" w:name="bookmark13"/>
      <w:bookmarkStart w:id="14" w:name="bookmark14"/>
      <w:bookmarkStart w:id="15" w:name="bookmark15"/>
      <w:r>
        <w:rPr>
          <w:rFonts w:ascii="Times New Roman" w:eastAsia="Times New Roman" w:hAnsi="Times New Roman" w:cs="Times New Roman"/>
          <w:color w:val="C00000"/>
          <w:spacing w:val="0"/>
          <w:w w:val="100"/>
          <w:position w:val="0"/>
          <w:sz w:val="22"/>
          <w:szCs w:val="22"/>
          <w:u w:val="none"/>
          <w:lang w:val="en-US" w:eastAsia="en-US" w:bidi="en-US"/>
        </w:rPr>
        <w:t>2.2.2</w:t>
      </w:r>
      <w:r>
        <w:rPr>
          <w:color w:val="C00000"/>
          <w:spacing w:val="0"/>
          <w:w w:val="100"/>
          <w:position w:val="0"/>
          <w:u w:val="none"/>
        </w:rPr>
        <w:t>相对疗效及副作用</w:t>
      </w:r>
      <w:bookmarkEnd w:id="13"/>
      <w:bookmarkEnd w:id="14"/>
      <w:bookmarkEnd w:id="15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有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分析显示，米氮平、艾司西酞普兰、文拉法辛及舍曲林的疗效显著优于度洛 西汀、氟西汀、氟伏沙明、帕罗西汀及瑞波西汀，而瑞波西汀的效能显著劣于其他药物。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5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TCAs</w:t>
      </w:r>
      <w:r>
        <w:rPr>
          <w:color w:val="000000"/>
          <w:spacing w:val="0"/>
          <w:w w:val="100"/>
          <w:position w:val="0"/>
        </w:rPr>
        <w:t>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的效能及疗效并无具有临床意义的显著差异；米氮平的效能同样与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TCA </w:t>
      </w:r>
      <w:r>
        <w:rPr>
          <w:color w:val="000000"/>
          <w:spacing w:val="0"/>
          <w:w w:val="100"/>
          <w:position w:val="0"/>
        </w:rPr>
        <w:t>相仿。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42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的耐受性总体优于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TCAs</w:t>
      </w:r>
      <w:r>
        <w:rPr>
          <w:color w:val="000000"/>
          <w:spacing w:val="0"/>
          <w:w w:val="100"/>
          <w:position w:val="0"/>
        </w:rPr>
        <w:t>，安全性较好，抗胆碱能效应及心血管毒性较轻，治 疗中止率较低。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对于存在特定躯体问题的患者而言，某些类型的药物或尤为适合，如对于冠心病患者 而言，应优先考虑使用不降低血压及不影响心电传导的药物（如安非他酮及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  <w:r>
        <w:rPr>
          <w:color w:val="000000"/>
          <w:spacing w:val="0"/>
          <w:w w:val="100"/>
          <w:position w:val="0"/>
        </w:rPr>
        <w:t>三 环类药物中，仲胺类药物（如地昔帕明、去甲替林）的副作用较季胺类药物（如阿米替 林、丙咪嗪）少。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的常见副作用包括胃肠道反应、激活</w:t>
      </w:r>
      <w:r>
        <w:rPr>
          <w:b/>
          <w:bCs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 xml:space="preserve">不安、性功能障碍及神经系统副作用。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可影响血小板功能，尤其是在与其他具有此效应的药物联用时，因此建议监测岀血 的临床征象及相关指标。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同时存在抗利尿激素分泌异常综合征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SIADH</w:t>
      </w:r>
      <w:r>
        <w:rPr>
          <w:color w:val="000000"/>
          <w:spacing w:val="0"/>
          <w:w w:val="100"/>
          <w:position w:val="0"/>
        </w:rPr>
        <w:t>）的风险， 而高剂量的此类药物与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QT</w:t>
      </w:r>
      <w:r>
        <w:rPr>
          <w:color w:val="000000"/>
          <w:spacing w:val="0"/>
          <w:w w:val="100"/>
          <w:position w:val="0"/>
        </w:rPr>
        <w:t>间期延长相关（如西酞普兰）。另外，须警惕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5-HT</w:t>
      </w:r>
      <w:r>
        <w:rPr>
          <w:color w:val="000000"/>
          <w:spacing w:val="0"/>
          <w:w w:val="100"/>
          <w:position w:val="0"/>
        </w:rPr>
        <w:t>综合征风 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SNRIs</w:t>
      </w:r>
      <w:r>
        <w:rPr>
          <w:color w:val="000000"/>
          <w:spacing w:val="0"/>
          <w:w w:val="100"/>
          <w:position w:val="0"/>
        </w:rPr>
        <w:t>类药物文拉法辛及度洛西汀的副作用较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类药物艾司西酞普兰和舍曲林 更常见，使用此类药物应注意血压情况。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米氮平停药率与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相仿，体重增加和镇静较为显著，但恶心及性功能障碍的发 生频率较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阿戈美拉汀的肝功能损害风险须加以警惕，转氨酶可能上升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倍，某些病例可能岀 现肝衰竭、肝炎、黄疸，故而在治疗起始及加量过程中须规律监测肝功能。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7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性功能障碍方面，与度洛西汀和瑞波西汀相比，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TCAs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及文拉法辛岀现这一 副作用的风险更高；米氮平的风险低于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而安非他酮则低于氟西汀、帕罗西汀、舍 曲林及艾司西酞普兰。阿戈美拉汀的性功能副作用与安慰剂相仿。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</w:rPr>
        <w:t>抗抑郁药的使用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40" w:line="434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通常被视为一线治疗选择，其次为米氮平、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SNRIs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四环类药物、安非他酮、 噻奈普汀和阿戈美拉汀。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TCA</w:t>
      </w:r>
      <w:r>
        <w:rPr>
          <w:color w:val="000000"/>
          <w:spacing w:val="0"/>
          <w:w w:val="100"/>
          <w:position w:val="0"/>
        </w:rPr>
        <w:t>应被视为二线治疗选择，可逆性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MAOIs</w:t>
      </w:r>
      <w:r>
        <w:rPr>
          <w:color w:val="000000"/>
          <w:spacing w:val="0"/>
          <w:w w:val="100"/>
          <w:position w:val="0"/>
        </w:rPr>
        <w:t>吗氯贝胺常被作为 一线治疗选择，而其他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MAOIs</w:t>
      </w:r>
      <w:r>
        <w:rPr>
          <w:color w:val="000000"/>
          <w:spacing w:val="0"/>
          <w:w w:val="100"/>
          <w:position w:val="0"/>
        </w:rPr>
        <w:t>则被视为二线或三线选择。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320" w:line="293" w:lineRule="exact"/>
        <w:ind w:left="0" w:right="0" w:firstLine="640"/>
        <w:jc w:val="left"/>
        <w:rPr>
          <w:sz w:val="24"/>
          <w:szCs w:val="24"/>
        </w:rPr>
      </w:pPr>
      <w:bookmarkStart w:id="16" w:name="bookmark16"/>
      <w:bookmarkStart w:id="17" w:name="bookmark17"/>
      <w:bookmarkStart w:id="18" w:name="bookmark1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WFSBP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推荐：</w:t>
      </w:r>
      <w:bookmarkEnd w:id="16"/>
      <w:bookmarkEnd w:id="17"/>
      <w:bookmarkEnd w:id="18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320"/>
        <w:ind w:left="160" w:right="0" w:firstLine="480"/>
        <w:jc w:val="left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z w:val="24"/>
          <w:szCs w:val="24"/>
        </w:rPr>
        <w:t>轻度抑郁发作：针对中重度抑郁的心理教育及心理治疗可替代抗抑郁药。如需 用药，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sz w:val="24"/>
          <w:szCs w:val="24"/>
        </w:rPr>
        <w:t>及其他新型抗抑郁药应被视为一线选择。</w:t>
      </w:r>
      <w:bookmarkEnd w:id="19"/>
      <w:bookmarkEnd w:id="20"/>
      <w:bookmarkEnd w:id="21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320"/>
        <w:ind w:left="0" w:right="0"/>
        <w:jc w:val="left"/>
      </w:pPr>
      <w:bookmarkStart w:id="22" w:name="bookmark22"/>
      <w:bookmarkStart w:id="23" w:name="bookmark23"/>
      <w:bookmarkStart w:id="24" w:name="bookmark24"/>
      <w:r>
        <w:rPr>
          <w:color w:val="000000"/>
          <w:spacing w:val="0"/>
          <w:w w:val="100"/>
          <w:position w:val="0"/>
          <w:sz w:val="24"/>
          <w:szCs w:val="24"/>
        </w:rPr>
        <w:t>中度抑郁发作：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sz w:val="24"/>
          <w:szCs w:val="24"/>
        </w:rPr>
        <w:t>及其他新型抗抑郁药应被视为一线选择。</w:t>
      </w:r>
      <w:bookmarkEnd w:id="22"/>
      <w:bookmarkEnd w:id="23"/>
      <w:bookmarkEnd w:id="24"/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320" w:line="293" w:lineRule="exact"/>
        <w:ind w:left="0" w:right="0" w:firstLine="640"/>
        <w:jc w:val="left"/>
        <w:rPr>
          <w:sz w:val="24"/>
          <w:szCs w:val="24"/>
        </w:rPr>
      </w:pPr>
      <w:bookmarkStart w:id="25" w:name="bookmark25"/>
      <w:bookmarkStart w:id="26" w:name="bookmark26"/>
      <w:bookmarkStart w:id="27" w:name="bookmark2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重度抑郁发作：推荐使用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TCAs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SSRIs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SNRIs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bookmarkEnd w:id="25"/>
      <w:bookmarkEnd w:id="26"/>
      <w:bookmarkEnd w:id="27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540"/>
        <w:ind w:left="0" w:right="0"/>
        <w:jc w:val="left"/>
      </w:pPr>
      <w:bookmarkStart w:id="28" w:name="bookmark28"/>
      <w:bookmarkStart w:id="29" w:name="bookmark29"/>
      <w:bookmarkStart w:id="30" w:name="bookmark30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</w:rPr>
        <w:t>级证据，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级推荐）</w:t>
      </w:r>
      <w:bookmarkEnd w:id="28"/>
      <w:bookmarkEnd w:id="29"/>
      <w:bookmarkEnd w:id="30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针对起始治疗应采用单药治疗或是联合治疗，研究结果并不一致。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40" w:line="43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b/>
          <w:bCs/>
          <w:color w:val="C00000"/>
          <w:spacing w:val="0"/>
          <w:w w:val="100"/>
          <w:position w:val="0"/>
          <w:sz w:val="22"/>
          <w:szCs w:val="22"/>
          <w:lang w:val="en-US" w:eastAsia="en-US" w:bidi="en-US"/>
        </w:rPr>
        <w:t>2.2.3</w:t>
      </w:r>
      <w:r>
        <w:rPr>
          <w:b/>
          <w:bCs/>
          <w:color w:val="C00000"/>
          <w:spacing w:val="0"/>
          <w:w w:val="100"/>
          <w:position w:val="0"/>
        </w:rPr>
        <w:t>其他影响治疗方案的临床特征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420" w:line="293" w:lineRule="exact"/>
        <w:ind w:left="0" w:right="0" w:firstLine="480"/>
        <w:jc w:val="left"/>
        <w:rPr>
          <w:sz w:val="20"/>
          <w:szCs w:val="20"/>
        </w:rPr>
      </w:pPr>
      <w:bookmarkStart w:id="31" w:name="bookmark31"/>
      <w:bookmarkStart w:id="32" w:name="bookmark32"/>
      <w:bookmarkStart w:id="33" w:name="bookmark33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2.2.3.1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伴忧郁（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melancholic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en-US" w:eastAsia="en-US" w:bidi="en-US"/>
        </w:rPr>
        <w:t>）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特质的抑郁</w:t>
      </w:r>
      <w:bookmarkEnd w:id="31"/>
      <w:bookmarkEnd w:id="32"/>
      <w:bookmarkEnd w:id="33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忧郁特质包括对大部分或所有活动失去兴趣、和</w:t>
      </w:r>
      <w:r>
        <w:rPr>
          <w:b/>
          <w:bCs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或缺乏对通常能感到愉悅的事件的 心境反应、早醒、晨重暮轻、体重显著下降、精神运动性迟滞</w:t>
      </w:r>
      <w:r>
        <w:rPr>
          <w:b/>
          <w:bCs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激越等。大部分存在上述特 征的患者均为严重抑郁，但并非所有严重抑郁患者均存在上述特征。住院患者多存在上述 症状。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34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针对此类患者，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分析显示，帕罗西汀、文拉法辛及吗氯贝胺较安慰剂有效，且 与三环类对照相仿。有证据显示，与帕罗西汀、西酞普兰及吗氯贝胺相比，使用氯米帕明 的住院抑郁患者（多具有忧郁特质）缓解率更高；还有证据显示，阿米替林、氯米帕明及 文拉法辛治疗严重忧郁性抑郁患者的疗效优于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13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b/>
          <w:bCs/>
          <w:color w:val="C00000"/>
          <w:spacing w:val="0"/>
          <w:w w:val="100"/>
          <w:position w:val="0"/>
          <w:sz w:val="22"/>
          <w:szCs w:val="22"/>
        </w:rPr>
        <w:t>2.2.3.2</w:t>
      </w:r>
      <w:r>
        <w:rPr>
          <w:b/>
          <w:bCs/>
          <w:color w:val="C00000"/>
          <w:spacing w:val="0"/>
          <w:w w:val="100"/>
          <w:position w:val="0"/>
        </w:rPr>
        <w:t>伴精神病性症状的抑郁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0" w:line="437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抗抑郁药联合抗精神病药疗效优于单用抗抑郁药或抗精神病药。如文拉法辛联用喹硫 平治疗伴精神病性症状抑郁的疗效优于单用文拉法辛。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640"/>
        <w:jc w:val="left"/>
        <w:rPr>
          <w:sz w:val="24"/>
          <w:szCs w:val="24"/>
        </w:rPr>
      </w:pPr>
      <w:bookmarkStart w:id="34" w:name="bookmark34"/>
      <w:bookmarkStart w:id="35" w:name="bookmark35"/>
      <w:bookmarkStart w:id="36" w:name="bookmark3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WFSBP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推荐：</w:t>
      </w:r>
      <w:bookmarkEnd w:id="34"/>
      <w:bookmarkEnd w:id="35"/>
      <w:bookmarkEnd w:id="36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/>
        <w:jc w:val="left"/>
      </w:pPr>
      <w:bookmarkStart w:id="37" w:name="bookmark37"/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  <w:sz w:val="24"/>
          <w:szCs w:val="24"/>
        </w:rPr>
        <w:t>针对此类患者，建议在起始治疗时联用抗抑郁药及抗精神病药。</w:t>
      </w:r>
      <w:bookmarkEnd w:id="37"/>
      <w:bookmarkEnd w:id="38"/>
      <w:bookmarkEnd w:id="39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520" w:line="240" w:lineRule="auto"/>
        <w:ind w:left="0" w:right="0"/>
        <w:jc w:val="left"/>
      </w:pPr>
      <w:bookmarkStart w:id="40" w:name="bookmark40"/>
      <w:bookmarkStart w:id="41" w:name="bookmark41"/>
      <w:bookmarkStart w:id="42" w:name="bookmark42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</w:rPr>
        <w:t>级证据，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级推荐）</w:t>
      </w:r>
      <w:bookmarkEnd w:id="40"/>
      <w:bookmarkEnd w:id="41"/>
      <w:bookmarkEnd w:id="42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32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治疗伴精神病性症状的抑郁时，抗精神病药的用量应低于治疗精神分裂症时。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480"/>
        <w:jc w:val="left"/>
        <w:rPr>
          <w:sz w:val="20"/>
          <w:szCs w:val="20"/>
        </w:rPr>
      </w:pPr>
      <w:bookmarkStart w:id="43" w:name="bookmark43"/>
      <w:bookmarkStart w:id="44" w:name="bookmark44"/>
      <w:bookmarkStart w:id="45" w:name="bookmark45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2.2.3.3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非典型特征</w:t>
      </w:r>
      <w:bookmarkEnd w:id="43"/>
      <w:bookmarkEnd w:id="44"/>
      <w:bookmarkEnd w:id="45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非典型特征包括针对某些事件的心境提升、睡眠过多、体重增加、显著疲劳、肢体灌 铅样乏力、对拒绝的高度敏感等。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32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有大量证据显示，可逆性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MAOIs</w:t>
      </w:r>
      <w:r>
        <w:rPr>
          <w:color w:val="000000"/>
          <w:spacing w:val="0"/>
          <w:w w:val="100"/>
          <w:position w:val="0"/>
        </w:rPr>
        <w:t>对非典型抑郁有效。研究显示，苯乙肼与反苯环丙 胺的疗效均优于丙咪嗪，但目前尚无针对包括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在内的新型抗抑郁药的比较。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480"/>
        <w:jc w:val="left"/>
        <w:rPr>
          <w:sz w:val="20"/>
          <w:szCs w:val="20"/>
        </w:rPr>
      </w:pPr>
      <w:bookmarkStart w:id="46" w:name="bookmark46"/>
      <w:bookmarkStart w:id="47" w:name="bookmark47"/>
      <w:bookmarkStart w:id="48" w:name="bookmark48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2.2.3.4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自杀倾向</w:t>
      </w:r>
      <w:bookmarkEnd w:id="46"/>
      <w:bookmarkEnd w:id="47"/>
      <w:bookmarkEnd w:id="48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与自杀风险相关的危险因素包括：情感障碍、冲动控制能力较差、绝望及无望、年龄 及性别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20-30</w:t>
      </w:r>
      <w:r>
        <w:rPr>
          <w:color w:val="000000"/>
          <w:spacing w:val="0"/>
          <w:w w:val="100"/>
          <w:position w:val="0"/>
        </w:rPr>
        <w:t>岁之间的男性；</w:t>
      </w:r>
      <w:r>
        <w:rPr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岁以上尤其是特别高龄的男性；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40-60</w:t>
      </w:r>
      <w:r>
        <w:rPr>
          <w:color w:val="000000"/>
          <w:spacing w:val="0"/>
          <w:w w:val="100"/>
          <w:position w:val="0"/>
        </w:rPr>
        <w:t>岁的女性）、先 前自杀史（相关性最高的因素）、自杀家族史、早发情感障碍家族史、物质滥用（尤其是 酒精）、婚姻状态（单身、离异、寡居）、社会经济状态的骤变（事业、经济问题、非意 愿退休等）、缺乏支持。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目前尚无特异性快速起效的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抗</w:t>
      </w:r>
      <w:r>
        <w:rPr>
          <w:color w:val="000000"/>
          <w:spacing w:val="0"/>
          <w:w w:val="100"/>
          <w:position w:val="0"/>
        </w:rPr>
        <w:t>自杀药物</w:t>
      </w:r>
      <w:r>
        <w:rPr>
          <w:b/>
          <w:bCs/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>。联用苯二氮卓类药物可提高短期内对自杀 冲动的控制。预防性使用锂盐可降低自杀未遂及成功的风险，而该药是否具有急性抗自杀 效应，目前尚不明确。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870" w:right="918" w:bottom="606" w:left="1435" w:header="442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所有指南中，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ECT</w:t>
      </w:r>
      <w:r>
        <w:rPr>
          <w:color w:val="000000"/>
          <w:spacing w:val="0"/>
          <w:w w:val="100"/>
          <w:position w:val="0"/>
        </w:rPr>
        <w:t>均被视为存在高度自杀风险患者的一线治疗。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33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抗抑郁药过量服用的毒性同样需要考虑。文拉法辛及米氮平过量致死的风险高于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3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但显著低于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TCAs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中，西酞普兰过量的毒性最大。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20" w:line="311" w:lineRule="exact"/>
        <w:ind w:left="0" w:right="0" w:firstLine="660"/>
        <w:jc w:val="both"/>
        <w:rPr>
          <w:sz w:val="24"/>
          <w:szCs w:val="24"/>
        </w:rPr>
      </w:pPr>
      <w:bookmarkStart w:id="49" w:name="bookmark49"/>
      <w:bookmarkStart w:id="50" w:name="bookmark50"/>
      <w:bookmarkStart w:id="51" w:name="bookmark51"/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  <w:lang w:val="en-US" w:eastAsia="en-US" w:bidi="en-US"/>
        </w:rPr>
        <w:t>△</w:t>
      </w:r>
      <w:r>
        <w:rPr>
          <w:color w:val="000000"/>
          <w:spacing w:val="0"/>
          <w:w w:val="100"/>
          <w:position w:val="0"/>
          <w:sz w:val="24"/>
          <w:szCs w:val="24"/>
          <w:u w:val="none"/>
          <w:lang w:val="en-US" w:eastAsia="en-US" w:bidi="en-US"/>
        </w:rPr>
        <w:t xml:space="preserve">WFSBP 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</w:rPr>
        <w:t>推荐：</w:t>
      </w:r>
      <w:bookmarkEnd w:id="49"/>
      <w:bookmarkEnd w:id="50"/>
      <w:bookmarkEnd w:id="51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20" w:line="310" w:lineRule="exact"/>
        <w:ind w:left="180" w:right="0"/>
        <w:jc w:val="both"/>
        <w:rPr>
          <w:sz w:val="24"/>
          <w:szCs w:val="24"/>
        </w:rPr>
      </w:pPr>
      <w:bookmarkStart w:id="52" w:name="bookmark52"/>
      <w:bookmarkStart w:id="53" w:name="bookmark53"/>
      <w:bookmarkStart w:id="54" w:name="bookmark54"/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</w:rPr>
        <w:t>如果患者存在自杀风险或企图，需要进行密切监测及专业治疗，同时建议收入 精神科病房。在缺乏患者知情同意的前提下强制住院可能是必需的。应立即开展高 强度的医疗，包括药物治疗和针对社会心理因素的心理治疗。</w:t>
      </w:r>
      <w:bookmarkEnd w:id="52"/>
      <w:bookmarkEnd w:id="53"/>
      <w:bookmarkEnd w:id="54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20" w:line="312" w:lineRule="exact"/>
        <w:ind w:left="180" w:right="0"/>
        <w:jc w:val="both"/>
        <w:rPr>
          <w:sz w:val="24"/>
          <w:szCs w:val="24"/>
        </w:rPr>
      </w:pPr>
      <w:bookmarkStart w:id="55" w:name="bookmark55"/>
      <w:bookmarkStart w:id="56" w:name="bookmark56"/>
      <w:bookmarkStart w:id="57" w:name="bookmark57"/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针对可能过量服用抗抑郁药自杀的患者，建议医师开具潜在致命的药物（如 </w:t>
      </w:r>
      <w:r>
        <w:rPr>
          <w:color w:val="000000"/>
          <w:spacing w:val="0"/>
          <w:w w:val="100"/>
          <w:position w:val="0"/>
          <w:sz w:val="24"/>
          <w:szCs w:val="24"/>
          <w:u w:val="none"/>
          <w:lang w:val="en-US" w:eastAsia="en-US" w:bidi="en-US"/>
        </w:rPr>
        <w:t>TCAs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</w:rPr>
        <w:t>或不可逆</w:t>
      </w:r>
      <w:r>
        <w:rPr>
          <w:color w:val="000000"/>
          <w:spacing w:val="0"/>
          <w:w w:val="100"/>
          <w:position w:val="0"/>
          <w:sz w:val="24"/>
          <w:szCs w:val="24"/>
          <w:u w:val="none"/>
          <w:lang w:val="en-US" w:eastAsia="en-US" w:bidi="en-US"/>
        </w:rPr>
        <w:t>MAOIs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  <w:lang w:val="en-US" w:eastAsia="en-US" w:bidi="en-US"/>
        </w:rPr>
        <w:t>）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</w:rPr>
        <w:t>时限定总量（如开具一周所需剂量）；应选择过量服用时 相对安全的抗抑郁药。</w:t>
      </w:r>
      <w:bookmarkEnd w:id="55"/>
      <w:bookmarkEnd w:id="56"/>
      <w:bookmarkEnd w:id="57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500" w:line="311" w:lineRule="exact"/>
        <w:ind w:left="0" w:right="0" w:firstLine="660"/>
        <w:jc w:val="left"/>
        <w:rPr>
          <w:sz w:val="24"/>
          <w:szCs w:val="24"/>
        </w:rPr>
      </w:pPr>
      <w:bookmarkStart w:id="58" w:name="bookmark58"/>
      <w:bookmarkStart w:id="59" w:name="bookmark59"/>
      <w:bookmarkStart w:id="60" w:name="bookmark60"/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u w:val="none"/>
        </w:rPr>
        <w:t>（临床共识）</w:t>
      </w:r>
      <w:bookmarkEnd w:id="58"/>
      <w:bookmarkEnd w:id="59"/>
      <w:bookmarkEnd w:id="60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33" w:lineRule="exact"/>
        <w:ind w:left="0" w:right="0" w:firstLine="5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有研究称，使用抗抑郁药后不久自杀风险较为突岀；但也有证据显示，服用抗抑郁药 的前一个月自杀风险最高，治疗第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</w:rPr>
        <w:t>周急剧下降，此后维持下降状态，直至稳定。与安慰 剂相比，抗抑郁药与自杀相关行为之间的相关性并不具有统计学意义。但同时有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  <w:sz w:val="20"/>
          <w:szCs w:val="20"/>
        </w:rPr>
        <w:t>分 析研究显示，抗抑郁药与儿童及青少年自杀观念及尝试（但不包括自杀成功）风险的升高 相关。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b/>
          <w:bCs/>
          <w:color w:val="C00000"/>
          <w:spacing w:val="0"/>
          <w:w w:val="100"/>
          <w:position w:val="0"/>
          <w:sz w:val="20"/>
          <w:szCs w:val="20"/>
          <w:u w:val="single"/>
        </w:rPr>
        <w:t>（</w:t>
      </w:r>
      <w:r>
        <w:rPr>
          <w:b/>
          <w:bCs/>
          <w:color w:val="0000FF"/>
          <w:spacing w:val="0"/>
          <w:w w:val="100"/>
          <w:position w:val="0"/>
          <w:sz w:val="20"/>
          <w:szCs w:val="20"/>
          <w:u w:val="single"/>
        </w:rPr>
        <w:t>医脉通</w:t>
      </w:r>
      <w:r>
        <w:rPr>
          <w:b/>
          <w:bCs/>
          <w:color w:val="C00000"/>
          <w:spacing w:val="0"/>
          <w:w w:val="100"/>
          <w:position w:val="0"/>
          <w:sz w:val="20"/>
          <w:szCs w:val="20"/>
        </w:rPr>
        <w:t>编</w:t>
      </w:r>
      <w:r>
        <w:fldChar w:fldCharType="end"/>
      </w:r>
      <w:r>
        <w:rPr>
          <w:b/>
          <w:bCs/>
          <w:color w:val="C00000"/>
          <w:spacing w:val="0"/>
          <w:w w:val="100"/>
          <w:position w:val="0"/>
          <w:sz w:val="20"/>
          <w:szCs w:val="20"/>
        </w:rPr>
        <w:t>译，转载请注明出处。</w:t>
      </w:r>
      <w:r>
        <w:rPr>
          <w:rFonts w:ascii="Times New Roman" w:eastAsia="Times New Roman" w:hAnsi="Times New Roman" w:cs="Times New Roman"/>
          <w:b/>
          <w:bCs/>
          <w:color w:val="C00000"/>
          <w:spacing w:val="0"/>
          <w:w w:val="100"/>
          <w:position w:val="0"/>
          <w:sz w:val="22"/>
          <w:szCs w:val="22"/>
        </w:rPr>
        <w:t>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"http://news.medlive.cn/psy/info-progress/show-68923_60.html"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单相抑郁障碍生物治疗指南（四）：疗效</w:t>
      </w:r>
      <w:r>
        <w:fldChar w:fldCharType="end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"http://news.medlive.cn/psy/info-progress/show-68984_60.html"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单相抑郁障碍生物治疗指南（五）：其他治疗</w:t>
      </w:r>
      <w:r>
        <w:fldChar w:fldCharType="end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10" w:lineRule="auto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"http://news.medlive.cn/psy/info-progress/show-68988_60.html"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单相抑郁障碍生物治疗指南（六）：特殊情况</w:t>
      </w:r>
      <w:r>
        <w:fldChar w:fldCharType="end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33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</w:rPr>
        <w:t>指南全文下载：</w:t>
      </w:r>
      <w:r>
        <w:fldChar w:fldCharType="begin"/>
      </w:r>
      <w:r>
        <w:rPr/>
        <w:instrText> HYPERLINK "http://guide.medlive.cn/guideline/6968"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单相抑郁障碍生物学治疗指南，第一部分：单相抑郁障碍的</w:t>
      </w:r>
      <w:r>
        <w:fldChar w:fldCharType="end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280" w:line="433" w:lineRule="exact"/>
        <w:ind w:left="0" w:right="0" w:firstLine="0"/>
        <w:jc w:val="left"/>
      </w:pPr>
      <w:r>
        <w:fldChar w:fldCharType="begin"/>
      </w:r>
      <w:r>
        <w:rPr/>
        <w:instrText> HYPERLINK "http://guide.medlive.cn/guideline/6968" </w:instrText>
      </w:r>
      <w:r>
        <w:fldChar w:fldCharType="separate"/>
      </w:r>
      <w:r>
        <w:rPr>
          <w:b/>
          <w:bCs/>
          <w:color w:val="1D4B87"/>
          <w:spacing w:val="0"/>
          <w:w w:val="100"/>
          <w:position w:val="0"/>
          <w:u w:val="single"/>
        </w:rPr>
        <w:t>急性和持续性治疗（</w:t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sz w:val="22"/>
          <w:szCs w:val="22"/>
          <w:u w:val="single"/>
        </w:rPr>
        <w:t>2013</w:t>
      </w:r>
      <w:r>
        <w:rPr>
          <w:b/>
          <w:bCs/>
          <w:color w:val="1D4B87"/>
          <w:spacing w:val="0"/>
          <w:w w:val="100"/>
          <w:position w:val="0"/>
          <w:u w:val="single"/>
        </w:rPr>
        <w:t>更新版）</w:t>
      </w:r>
      <w:r>
        <w:fldChar w:fldCharType="end"/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right"/>
        <w:rPr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1075690</wp:posOffset>
                </wp:positionH>
                <wp:positionV relativeFrom="paragraph">
                  <wp:posOffset>177800</wp:posOffset>
                </wp:positionV>
                <wp:extent cx="445135" cy="140335"/>
                <wp:wrapSquare wrapText="righ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513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25292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medlive.cn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84.700000000000003pt;margin-top:14.pt;width:35.050000000000004pt;height:11.05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color w:val="325292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medlive.cn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bookmarkStart w:id="61" w:name="bookmark61"/>
      <w:bookmarkStart w:id="62" w:name="bookmark62"/>
      <w:bookmarkStart w:id="63" w:name="bookmark63"/>
      <w:r>
        <w:rPr>
          <w:rFonts w:ascii="Times New Roman" w:eastAsia="Times New Roman" w:hAnsi="Times New Roman" w:cs="Times New Roman"/>
          <w:b w:val="0"/>
          <w:bCs w:val="0"/>
          <w:color w:val="0000FF"/>
          <w:spacing w:val="0"/>
          <w:w w:val="100"/>
          <w:position w:val="0"/>
          <w:sz w:val="30"/>
          <w:szCs w:val="30"/>
          <w:lang w:val="en-US" w:eastAsia="en-US" w:bidi="en-US"/>
        </w:rPr>
        <w:t>guide.medlive.cn</w:t>
      </w:r>
      <w:bookmarkEnd w:id="61"/>
      <w:bookmarkEnd w:id="62"/>
      <w:bookmarkEnd w:id="63"/>
      <w:r>
        <w:fldChar w:fldCharType="end"/>
      </w:r>
    </w:p>
    <w:sectPr>
      <w:footerReference w:type="default" r:id="rId6"/>
      <w:footnotePr>
        <w:pos w:val="pageBottom"/>
        <w:numFmt w:val="decimal"/>
        <w:numRestart w:val="continuous"/>
      </w:footnotePr>
      <w:type w:val="continuous"/>
      <w:pgSz w:w="11900" w:h="16840"/>
      <w:pgMar w:top="870" w:right="918" w:bottom="606" w:left="1435" w:header="442" w:footer="178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1459230</wp:posOffset>
              </wp:positionH>
              <wp:positionV relativeFrom="page">
                <wp:posOffset>10383520</wp:posOffset>
              </wp:positionV>
              <wp:extent cx="5821680" cy="2406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1D4B87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90000000000001pt;margin-top:817.60000000000002pt;width:458.40000000000003pt;height:18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1D4B87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3_"/>
    <w:basedOn w:val="DefaultParagraphFont"/>
    <w:link w:val="Style2"/>
    <w:rPr>
      <w:b/>
      <w:bCs/>
      <w:i/>
      <w:iCs/>
      <w:smallCaps w:val="0"/>
      <w:strike w:val="0"/>
      <w:color w:val="231916"/>
      <w:sz w:val="11"/>
      <w:szCs w:val="11"/>
      <w:u w:val="none"/>
      <w:shd w:val="clear" w:color="auto" w:fill="auto"/>
    </w:rPr>
  </w:style>
  <w:style w:type="character" w:customStyle="1" w:styleId="CharStyle6">
    <w:name w:val="Heading #1|1_"/>
    <w:basedOn w:val="DefaultParagraphFont"/>
    <w:link w:val="Style5"/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9">
    <w:name w:val="Header or footer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Body text|2_"/>
    <w:basedOn w:val="DefaultParagraphFont"/>
    <w:link w:val="Style13"/>
    <w:rPr>
      <w:b w:val="0"/>
      <w:bCs w:val="0"/>
      <w:i w:val="0"/>
      <w:iCs w:val="0"/>
      <w:smallCaps w:val="0"/>
      <w:strike w:val="0"/>
      <w:color w:val="888888"/>
      <w:sz w:val="19"/>
      <w:szCs w:val="19"/>
      <w:u w:val="none"/>
      <w:shd w:val="clear" w:color="auto" w:fill="auto"/>
    </w:rPr>
  </w:style>
  <w:style w:type="character" w:customStyle="1" w:styleId="CharStyle18">
    <w:name w:val="Heading #4|1_"/>
    <w:basedOn w:val="DefaultParagraphFont"/>
    <w:link w:val="Style17"/>
    <w:rPr>
      <w:rFonts w:ascii="SimSun" w:eastAsia="SimSun" w:hAnsi="SimSun" w:cs="SimSun"/>
      <w:b/>
      <w:bCs/>
      <w:i w:val="0"/>
      <w:iCs w:val="0"/>
      <w:smallCaps w:val="0"/>
      <w:strike w:val="0"/>
      <w:color w:val="1D4B87"/>
      <w:sz w:val="20"/>
      <w:szCs w:val="20"/>
      <w:u w:val="single"/>
      <w:shd w:val="clear" w:color="auto" w:fill="auto"/>
      <w:lang w:val="zh-TW" w:eastAsia="zh-TW" w:bidi="zh-TW"/>
    </w:rPr>
  </w:style>
  <w:style w:type="character" w:customStyle="1" w:styleId="CharStyle23">
    <w:name w:val="Body text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6">
    <w:name w:val="Heading #2|1_"/>
    <w:basedOn w:val="DefaultParagraphFont"/>
    <w:link w:val="Style25"/>
    <w:rPr>
      <w:b/>
      <w:bCs/>
      <w:i w:val="0"/>
      <w:iCs w:val="0"/>
      <w:smallCaps w:val="0"/>
      <w:strike w:val="0"/>
      <w:color w:val="C00000"/>
      <w:sz w:val="22"/>
      <w:szCs w:val="22"/>
      <w:u w:val="none"/>
      <w:shd w:val="clear" w:color="auto" w:fill="auto"/>
    </w:rPr>
  </w:style>
  <w:style w:type="character" w:customStyle="1" w:styleId="CharStyle30">
    <w:name w:val="Heading #3|1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auto"/>
    </w:pPr>
    <w:rPr>
      <w:b/>
      <w:bCs/>
      <w:i/>
      <w:iCs/>
      <w:smallCaps w:val="0"/>
      <w:strike w:val="0"/>
      <w:color w:val="231916"/>
      <w:sz w:val="11"/>
      <w:szCs w:val="11"/>
      <w:u w:val="none"/>
      <w:shd w:val="clear" w:color="auto" w:fill="auto"/>
    </w:rPr>
  </w:style>
  <w:style w:type="paragraph" w:customStyle="1" w:styleId="Style5">
    <w:name w:val="Heading #1|1"/>
    <w:basedOn w:val="Normal"/>
    <w:link w:val="CharStyle6"/>
    <w:pPr>
      <w:widowControl w:val="0"/>
      <w:shd w:val="clear" w:color="auto" w:fill="auto"/>
      <w:spacing w:before="200" w:after="260"/>
      <w:jc w:val="center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8">
    <w:name w:val="Header or footer|2"/>
    <w:basedOn w:val="Normal"/>
    <w:link w:val="CharStyle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auto"/>
      <w:spacing w:after="40" w:line="432" w:lineRule="exact"/>
      <w:jc w:val="right"/>
    </w:pPr>
    <w:rPr>
      <w:b w:val="0"/>
      <w:bCs w:val="0"/>
      <w:i w:val="0"/>
      <w:iCs w:val="0"/>
      <w:smallCaps w:val="0"/>
      <w:strike w:val="0"/>
      <w:color w:val="888888"/>
      <w:sz w:val="19"/>
      <w:szCs w:val="19"/>
      <w:u w:val="none"/>
      <w:shd w:val="clear" w:color="auto" w:fill="auto"/>
    </w:rPr>
  </w:style>
  <w:style w:type="paragraph" w:customStyle="1" w:styleId="Style17">
    <w:name w:val="Heading #4|1"/>
    <w:basedOn w:val="Normal"/>
    <w:link w:val="CharStyle18"/>
    <w:pPr>
      <w:widowControl w:val="0"/>
      <w:shd w:val="clear" w:color="auto" w:fill="auto"/>
      <w:spacing w:after="420" w:line="432" w:lineRule="exact"/>
      <w:ind w:firstLine="480"/>
      <w:outlineLvl w:val="3"/>
    </w:pPr>
    <w:rPr>
      <w:rFonts w:ascii="SimSun" w:eastAsia="SimSun" w:hAnsi="SimSun" w:cs="SimSun"/>
      <w:b/>
      <w:bCs/>
      <w:i w:val="0"/>
      <w:iCs w:val="0"/>
      <w:smallCaps w:val="0"/>
      <w:strike w:val="0"/>
      <w:color w:val="1D4B87"/>
      <w:sz w:val="20"/>
      <w:szCs w:val="20"/>
      <w:u w:val="single"/>
      <w:shd w:val="clear" w:color="auto" w:fill="auto"/>
      <w:lang w:val="zh-TW" w:eastAsia="zh-TW" w:bidi="zh-TW"/>
    </w:rPr>
  </w:style>
  <w:style w:type="paragraph" w:customStyle="1" w:styleId="Style22">
    <w:name w:val="Body text|1"/>
    <w:basedOn w:val="Normal"/>
    <w:link w:val="CharStyle23"/>
    <w:pPr>
      <w:widowControl w:val="0"/>
      <w:shd w:val="clear" w:color="auto" w:fill="auto"/>
      <w:spacing w:after="420" w:line="45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5">
    <w:name w:val="Heading #2|1"/>
    <w:basedOn w:val="Normal"/>
    <w:link w:val="CharStyle26"/>
    <w:pPr>
      <w:widowControl w:val="0"/>
      <w:shd w:val="clear" w:color="auto" w:fill="auto"/>
      <w:spacing w:after="380" w:line="247" w:lineRule="auto"/>
      <w:ind w:firstLine="560"/>
      <w:outlineLvl w:val="1"/>
    </w:pPr>
    <w:rPr>
      <w:b/>
      <w:bCs/>
      <w:i w:val="0"/>
      <w:iCs w:val="0"/>
      <w:smallCaps w:val="0"/>
      <w:strike w:val="0"/>
      <w:color w:val="C00000"/>
      <w:sz w:val="22"/>
      <w:szCs w:val="22"/>
      <w:u w:val="none"/>
      <w:shd w:val="clear" w:color="auto" w:fill="auto"/>
    </w:rPr>
  </w:style>
  <w:style w:type="paragraph" w:customStyle="1" w:styleId="Style29">
    <w:name w:val="Heading #3|1"/>
    <w:basedOn w:val="Normal"/>
    <w:link w:val="CharStyle30"/>
    <w:pPr>
      <w:widowControl w:val="0"/>
      <w:shd w:val="clear" w:color="auto" w:fill="auto"/>
      <w:spacing w:after="330" w:line="293" w:lineRule="exact"/>
      <w:ind w:firstLine="64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Administrator</dc:creator>
  <cp:keywords/>
</cp:coreProperties>
</file>