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迟或避免外科介入，从而降低并发症发生率和病死率。（有 条件推荐，低质量证据）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不推荐在治疗性或预防性使用抗生素时常规联用抗真 菌药物。（有条件推荐，低质量证据）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急性胰腺炎的营养支持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轻症胰腺炎患者如果腹痛缓解且无恶心呕吐，应立即 开始经口进食。（有条件推荐，中等质量证据）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1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轻症胰腺炎患者，早期进食低脂固体饮食与进食清流 质一样安全。（有条件推荐，中等质量证据）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对于重症胰腺炎患者，推荐行肠内营养以预防感染性 并发症。除非肠内营养通路不能建立、肠内营养不耐受或 达不到热卡需求，否则应避免行肠外营养。（强烈推荐，高 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经鼻胃管和鼻空肠管营养在有效性和安全性上相当。 （强烈推荐，中等质量证据）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急性胰腺炎的外科手术治疗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伴有胆囊结石的轻症急性胰腺炎患者，出院之前应接 </w:t>
      </w:r>
      <w:r>
        <w:rPr>
          <w:color w:val="000000"/>
          <w:spacing w:val="0"/>
          <w:w w:val="100"/>
          <w:position w:val="0"/>
        </w:rPr>
        <w:t>受胆囊切除术以预防急性胰腺炎再发。（强烈推荐，中等质 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对于胆源性的急性坏死性胰腺炎患者，应在急性炎症 好转、胰周积液吸收或稳定后再行胆囊切除术，以避免感 染。（强烈推荐，中等质量证据）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当出现无症状性胰腺假性囊肿、胰腺和/或胰腺外无菌 性坏死时，不论病灶大小、位置、范围，不需外科干预。 （强烈推荐，中等质量证据）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对于病情稳定的并发感染坏死的患者，手术、放射介 入和/或内镜下引流应延迟至病程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周以上，在坏死物液 化、周围形成纤维包裹（包裹性坏死）后进行。（强烈推 荐，低质量证据）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对于有症状的并发感染坏死的患者，微创的坏死组织 清除术优于开放手术。（强烈推荐，低质量证据）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/>
        <w:ind w:left="0" w:right="380" w:firstLine="0"/>
        <w:jc w:val="right"/>
        <w:rPr>
          <w:sz w:val="17"/>
          <w:szCs w:val="17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（收稿日期: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2513-12-25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380" w:firstLine="0"/>
        <w:jc w:val="right"/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635" w:right="1026" w:bottom="1597" w:left="1097" w:header="0" w:footer="3" w:gutter="0"/>
          <w:pgNumType w:start="1"/>
          <w:cols w:num="2" w:space="283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（本文编辑：何小军）</w:t>
      </w: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35" w:right="0" w:bottom="159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2013</w:t>
      </w:r>
      <w:r>
        <w:rPr>
          <w:color w:val="000000"/>
          <w:spacing w:val="0"/>
          <w:w w:val="100"/>
          <w:position w:val="0"/>
        </w:rPr>
        <w:t>年美国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成年患者疼痛、躁动和谵妄 处理指南</w:t>
      </w:r>
      <w:bookmarkEnd w:id="6"/>
      <w:bookmarkEnd w:id="7"/>
      <w:bookmarkEnd w:id="8"/>
    </w:p>
    <w:p>
      <w:pPr>
        <w:pStyle w:val="Style23"/>
        <w:keepNext w:val="0"/>
        <w:keepLines w:val="0"/>
        <w:widowControl w:val="0"/>
        <w:shd w:val="clear" w:color="auto" w:fill="auto"/>
        <w:tabs>
          <w:tab w:pos="2011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35" w:right="1026" w:bottom="1597" w:left="1097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</w:rPr>
        <w:t>杨磊 张茂 编译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Crit Care Med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41 （1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</w:rPr>
        <w:t xml:space="preserve">） 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223-306</w:t>
      </w:r>
    </w:p>
    <w:p>
      <w:pPr>
        <w:widowControl w:val="0"/>
        <w:spacing w:before="68" w:after="6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63" w:right="0" w:bottom="159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美国危重病学院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American College oO Criticel Care Medicine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组织了多学科、多单位的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</w:rPr>
        <w:t>名专家制定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 年患者疼痛、躁动和谵妄处理的临床实践指南。指南中证 据的级别分为：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（高），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（中），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（低/很低）。推荐的 强度分为：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级（强，推荐），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级（弱，建议），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>级 （不做推荐，无充足证据或共识无法达成）。意见包括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2 </w:t>
      </w:r>
      <w:r>
        <w:rPr>
          <w:color w:val="000000"/>
          <w:spacing w:val="0"/>
          <w:w w:val="100"/>
          <w:position w:val="0"/>
        </w:rPr>
        <w:t>类：“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+</w:t>
      </w:r>
      <w:r>
        <w:rPr>
          <w:color w:val="000000"/>
          <w:spacing w:val="0"/>
          <w:w w:val="100"/>
          <w:position w:val="0"/>
        </w:rPr>
        <w:t>”（支持），“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”（反对）。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both"/>
      </w:pPr>
      <w:bookmarkStart w:id="10" w:name="bookmark10"/>
      <w:bookmarkStart w:id="11" w:name="bookmark11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疼痛与镇痛</w:t>
      </w:r>
      <w:bookmarkEnd w:id="10"/>
      <w:bookmarkEnd w:id="11"/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1.1</w:t>
      </w:r>
      <w:r>
        <w:rPr>
          <w:b/>
          <w:bCs/>
          <w:color w:val="000000"/>
          <w:spacing w:val="0"/>
          <w:w w:val="100"/>
          <w:position w:val="0"/>
        </w:rPr>
        <w:t>疼痛发生率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内科、外科和创伤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内成年患者在休息和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诊疗 时都会经历疼痛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疼痛在心脏手术的成年患者中很普遍，但很少得到治 疗；且女性患者较男性经历更多的疼痛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诊疗操作引起的疼痛在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 xml:space="preserve">成年患者中也很普遍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1.2</w:t>
      </w:r>
      <w:r>
        <w:rPr>
          <w:b/>
          <w:bCs/>
          <w:color w:val="000000"/>
          <w:spacing w:val="0"/>
          <w:w w:val="100"/>
          <w:position w:val="0"/>
        </w:rPr>
        <w:t>疼痛的评估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推荐对所有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成年患者进行常规的疼痛监测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++B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37" w:lineRule="exact"/>
        <w:ind w:left="0" w:right="0" w:firstLine="3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对于内科、外科术后和创伤（除脑外伤外）的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17"/>
          <w:szCs w:val="17"/>
        </w:rPr>
        <w:t>成 年患者，如果患者疼痛自我描述受限但运动功能完好、行 为可以观察，疼痛行为量表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（behavioral pain scale</w:t>
      </w:r>
      <w:r>
        <w:rPr>
          <w:color w:val="000000"/>
          <w:spacing w:val="0"/>
          <w:w w:val="100"/>
          <w:position w:val="0"/>
          <w:sz w:val="17"/>
          <w:szCs w:val="17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BPS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17"/>
          <w:szCs w:val="17"/>
        </w:rPr>
        <w:t>和重症监护疼痛观察工具（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critical-iare pain oOservation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6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12. 3760/cma. j. isse. 1671-0282. 2013. 12. 004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基金项目：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</w:rPr>
        <w:t>年国家重点临床专科建设项目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作者单位：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712009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杭州，浙江大学医学院附属第二医院急诊 医学科浙江大学急救医学研究所 </w:t>
      </w:r>
      <w:r>
        <w:rPr>
          <w:rStyle w:val="CharStyle3"/>
          <w:rFonts w:ascii="Times New Roman" w:eastAsia="Times New Roman" w:hAnsi="Times New Roman" w:cs="Times New Roman"/>
          <w:sz w:val="16"/>
          <w:szCs w:val="16"/>
          <w:lang w:val="en-US" w:eastAsia="en-US" w:bidi="en-US"/>
        </w:rPr>
        <w:t>too-</w:t>
      </w:r>
      <w:r>
        <w:rPr>
          <w:rStyle w:val="CharStyle3"/>
          <w:lang w:val="en-US" w:eastAsia="en-US" w:bidi="en-US"/>
        </w:rPr>
        <w:t>，</w:t>
      </w:r>
      <w:r>
        <w:rPr>
          <w:rStyle w:val="CharStyle3"/>
          <w:rFonts w:ascii="Times New Roman" w:eastAsia="Times New Roman" w:hAnsi="Times New Roman" w:cs="Times New Roman"/>
          <w:sz w:val="16"/>
          <w:szCs w:val="16"/>
          <w:lang w:val="en-US" w:eastAsia="en-US" w:bidi="en-US"/>
        </w:rPr>
        <w:t>CPOT</w:t>
      </w:r>
      <w:r>
        <w:rPr>
          <w:rStyle w:val="CharStyle3"/>
          <w:lang w:val="en-US" w:eastAsia="en-US" w:bidi="en-US"/>
        </w:rPr>
        <w:t>）</w:t>
      </w:r>
      <w:r>
        <w:rPr>
          <w:rStyle w:val="CharStyle3"/>
        </w:rPr>
        <w:t>是实施疼痛监测的最有效和可靠的行为疼痛 量化工具。但将上述评估工具应用于其他</w:t>
      </w:r>
      <w:r>
        <w:rPr>
          <w:rStyle w:val="CharStyle3"/>
          <w:rFonts w:ascii="Times New Roman" w:eastAsia="Times New Roman" w:hAnsi="Times New Roman" w:cs="Times New Roman"/>
          <w:sz w:val="16"/>
          <w:szCs w:val="16"/>
          <w:lang w:val="en-US" w:eastAsia="en-US" w:bidi="en-US"/>
        </w:rPr>
        <w:t>ICU</w:t>
      </w:r>
      <w:r>
        <w:rPr>
          <w:rStyle w:val="CharStyle3"/>
          <w:lang w:val="en-US" w:eastAsia="en-US" w:bidi="en-US"/>
        </w:rPr>
        <w:t>，</w:t>
      </w:r>
      <w:r>
        <w:rPr>
          <w:rStyle w:val="CharStyle3"/>
        </w:rPr>
        <w:t>或者将其 翻译为英法之外的语言尚待进一步验证</w:t>
      </w:r>
      <w:r>
        <w:rPr>
          <w:rStyle w:val="CharStyle3"/>
          <w:sz w:val="16"/>
          <w:szCs w:val="16"/>
          <w:lang w:val="en-US" w:eastAsia="en-US" w:bidi="en-US"/>
        </w:rPr>
        <w:t>（</w:t>
      </w:r>
      <w:r>
        <w:rPr>
          <w:rStyle w:val="CharStyle3"/>
          <w:rFonts w:ascii="Times New Roman" w:eastAsia="Times New Roman" w:hAnsi="Times New Roman" w:cs="Times New Roman"/>
          <w:sz w:val="16"/>
          <w:szCs w:val="16"/>
          <w:lang w:val="en-US" w:eastAsia="en-US" w:bidi="en-US"/>
        </w:rPr>
        <w:t>B</w:t>
      </w:r>
      <w:r>
        <w:rPr>
          <w:rStyle w:val="CharStyle3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不建议单独使用生命体征（或者包含生命体征的疼痛 观察量表）对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成年患者进行疼痛评估（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-2C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建议将生命体征作为对这些患者开始进一步疼痛评估 的线索（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1.3</w:t>
      </w:r>
      <w:r>
        <w:rPr>
          <w:b/>
          <w:bCs/>
          <w:color w:val="000000"/>
          <w:spacing w:val="0"/>
          <w:w w:val="100"/>
          <w:position w:val="0"/>
        </w:rPr>
        <w:t>疼痛的治疗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成年患者在胸管拔除之前，推荐使用预先的药 物镇痛和/或非药物措施（如放松）以减轻疼痛（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成年患者在实施其他有创性或潜在致痛性操 作前，建议使用预先的药物镇痛和/或非药物措施以减轻疼 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推荐静脉给予阿片类药物作为治疗危重患者非神经性 疼痛的一线选择（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所有静脉使用的阿片类药物，当剂量达到相同的镇痛 目标时同等有效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建议考虑使用非阿片类止痛药，以减少阿片类药物的 用量（或者避免静脉使用阿片类药物）和阿片类药物相关 的不良反应。（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对于神经性疼痛，除了静脉使用阿片类药物，推荐肠 道给予加巴喷丁或卡马西平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对于腹主动脉瘤患者术后的镇痛，推荐使用胸段硬膜 外麻醉/镇痛（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对于腹主动脉瘤术后的患者，由于缺乏硬膜外给予阿 片类药物优于静脉给药的证据，因此对采用腰段硬膜外而 非静脉使用阿片类药物镇痛不做推荐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由于缺乏充足证据或证据上的矛盾，对胸腔或腹部非 血管手术患者实施胸段硬膜外镇痛不做推荐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建议对创伤性肋骨骨折的患者实施胸段硬膜外镇痛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由于缺乏证据，对内科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成年患者是否神经节/局部 阻滞镇痛优于全身镇痛不做推荐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>,无证据）。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bookmarkStart w:id="12" w:name="bookmark12"/>
      <w:bookmarkStart w:id="13" w:name="bookmark13"/>
      <w:bookmarkStart w:id="14" w:name="bookmark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躁动与镇静</w:t>
      </w:r>
      <w:bookmarkEnd w:id="12"/>
      <w:bookmarkEnd w:id="13"/>
      <w:bookmarkEnd w:id="14"/>
    </w:p>
    <w:p>
      <w:pPr>
        <w:pStyle w:val="Style3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25" w:val="left"/>
        </w:tabs>
        <w:bidi w:val="0"/>
        <w:spacing w:before="0" w:after="0"/>
        <w:ind w:left="0" w:right="0" w:firstLine="0"/>
        <w:jc w:val="both"/>
      </w:pPr>
      <w:bookmarkStart w:id="15" w:name="bookmark15"/>
      <w:bookmarkStart w:id="16" w:name="bookmark16"/>
      <w:bookmarkStart w:id="17" w:name="bookmark17"/>
      <w:bookmarkStart w:id="18" w:name="bookmark18"/>
      <w:bookmarkEnd w:id="17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  <w:t>1</w:t>
      </w:r>
      <w:r>
        <w:rPr>
          <w:color w:val="000000"/>
          <w:spacing w:val="0"/>
          <w:w w:val="100"/>
          <w:position w:val="0"/>
        </w:rPr>
        <w:t>镇静深度与临床预后</w:t>
      </w:r>
      <w:bookmarkEnd w:id="15"/>
      <w:bookmarkEnd w:id="16"/>
      <w:bookmarkEnd w:id="1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成年患者维持轻度的镇静状态有利于改善临床结 局（如缩短机械通气时间和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住院时间）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维持轻度的镇静状态可以提高患者的生理应激反应， 但是不会增加心肌缺血的发生率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成年患者的镇静深度与心理应激之间的关系尚 不清楚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成年患者，除非有临床禁忌，推荐调节镇静 剂量以维持轻度而非深度镇静状态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bookmarkStart w:id="19" w:name="bookmark19"/>
      <w:bookmarkStart w:id="20" w:name="bookmark20"/>
      <w:bookmarkStart w:id="21" w:name="bookmark21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镇静深度和脑功能监测</w:t>
      </w:r>
      <w:bookmarkEnd w:id="19"/>
      <w:bookmarkEnd w:id="20"/>
      <w:bookmarkEnd w:id="21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Richmond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镇静躁动评分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richmond agitation-sedation scele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RASS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和镇静-躁动评分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sedation-agitation scele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SAS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是评估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成年患者镇静深度和效果最有效和可靠 的工具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内非昏迷、非瘫痪的成年患者，不推荐将脑 功能的客观评估指标［如听觉诱发电位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AEPs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脑电双 频指数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BIS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Narcotrend</w:t>
      </w:r>
      <w:r>
        <w:rPr>
          <w:color w:val="000000"/>
          <w:spacing w:val="0"/>
          <w:w w:val="100"/>
          <w:position w:val="0"/>
        </w:rPr>
        <w:t>指数（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NI</w:t>
      </w:r>
      <w:r>
        <w:rPr>
          <w:color w:val="000000"/>
          <w:spacing w:val="0"/>
          <w:w w:val="100"/>
          <w:position w:val="0"/>
        </w:rPr>
        <w:t xml:space="preserve">）,患者状态指数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（PSI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状态熵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）］</w:t>
      </w:r>
      <w:r>
        <w:rPr>
          <w:color w:val="000000"/>
          <w:spacing w:val="0"/>
          <w:w w:val="100"/>
          <w:position w:val="0"/>
        </w:rPr>
        <w:t>作为监测镇静深度的首选方法，因 为这些评估措施不足以取代主观镇静评分系统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-1B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鉴于主观镇静评分系统在接受神经肌肉阻滞剂的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ICU </w:t>
      </w:r>
      <w:r>
        <w:rPr>
          <w:color w:val="000000"/>
          <w:spacing w:val="0"/>
          <w:w w:val="100"/>
          <w:position w:val="0"/>
        </w:rPr>
        <w:t xml:space="preserve">成年患者中无法进行，建议将脑功能的客观评估指标（如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AEPe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BIS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PSI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作为补充手段（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内已知或怀疑癫痫的成年患者，推荐进行脑 电图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EEG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检查，以监测非抽搐性癫痫发作；或者监测 颅内压升高的成年患者，以调整脑电活动抑制药物而达到 爆发抑制</w:t>
      </w:r>
      <w:r>
        <w:rPr>
          <w:color w:val="000000"/>
          <w:spacing w:val="0"/>
          <w:w w:val="100"/>
          <w:position w:val="0"/>
          <w:vertAlign w:val="superscript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bookmarkStart w:id="22" w:name="bookmark22"/>
      <w:bookmarkStart w:id="23" w:name="bookmark23"/>
      <w:bookmarkStart w:id="24" w:name="bookmark24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镇静剂的选择</w:t>
      </w:r>
      <w:bookmarkEnd w:id="22"/>
      <w:bookmarkEnd w:id="23"/>
      <w:bookmarkEnd w:id="2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内机械通气成年患者的镇静，建议使用非苯二 氮卓类药物（丙泊酚或右旋美托咪啶）而不是苯二氮卓类 药物（咪达唑仑或劳拉西泮），因为前者可能较后者能改 善临床结局（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bookmarkStart w:id="25" w:name="bookmark25"/>
      <w:bookmarkStart w:id="26" w:name="bookmark26"/>
      <w:bookmarkStart w:id="27" w:name="bookmark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6"/>
          <w:szCs w:val="36"/>
          <w:vertAlign w:val="superscript"/>
        </w:rPr>
        <w:t>3</w:t>
      </w:r>
      <w:r>
        <w:rPr>
          <w:color w:val="000000"/>
          <w:spacing w:val="0"/>
          <w:w w:val="100"/>
          <w:position w:val="0"/>
        </w:rPr>
        <w:t>谵妄</w:t>
      </w:r>
      <w:bookmarkEnd w:id="25"/>
      <w:bookmarkEnd w:id="26"/>
      <w:bookmarkEnd w:id="27"/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5" w:val="left"/>
        </w:tabs>
        <w:bidi w:val="0"/>
        <w:spacing w:before="0" w:after="0" w:line="283" w:lineRule="auto"/>
        <w:ind w:left="0" w:right="0" w:firstLine="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</w:rPr>
        <w:t>1</w:t>
      </w:r>
      <w:r>
        <w:rPr>
          <w:b/>
          <w:bCs/>
          <w:color w:val="000000"/>
          <w:spacing w:val="0"/>
          <w:w w:val="100"/>
          <w:position w:val="0"/>
        </w:rPr>
        <w:t>谵妄和预后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谵妄增加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成年患者的病死率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谵妄增加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住院时间和总住院时间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4" w:val="left"/>
        </w:tabs>
        <w:bidi w:val="0"/>
        <w:spacing w:before="0" w:after="0" w:line="319" w:lineRule="auto"/>
        <w:ind w:left="0" w:right="0" w:firstLine="0"/>
        <w:jc w:val="both"/>
      </w:pPr>
      <w:bookmarkStart w:id="29" w:name="bookmark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（</w:t>
      </w:r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  <w:tab/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谵妄与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成年患者转出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后认知障碍的发生相关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74" w:val="left"/>
        </w:tabs>
        <w:bidi w:val="0"/>
        <w:spacing w:before="0" w:after="0" w:line="319" w:lineRule="auto"/>
        <w:ind w:left="0" w:right="0" w:firstLine="0"/>
        <w:jc w:val="both"/>
      </w:pPr>
      <w:bookmarkStart w:id="30" w:name="bookmark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  <w:tab/>
        <w:t>。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bookmarkStart w:id="31" w:name="bookmark31"/>
      <w:bookmarkStart w:id="32" w:name="bookmark32"/>
      <w:bookmarkStart w:id="33" w:name="bookmark33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谵妄的评估与监测</w:t>
      </w:r>
      <w:bookmarkEnd w:id="31"/>
      <w:bookmarkEnd w:id="32"/>
      <w:bookmarkEnd w:id="3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推荐对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成年患者常规监测谵妄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ICU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意识模糊评估法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Confusion Assessment Method for the ICU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CAM--CU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和重症监护谵妄筛查量表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Intensive Care Delirium Screening Chechlisi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ICDSC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ICU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成年患者 谵妄监测最有效和可靠的工具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临床上对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成年患者常规监测谵妄是可行的（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37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34" w:name="bookmark34"/>
      <w:bookmarkStart w:id="35" w:name="bookmark35"/>
      <w:bookmarkStart w:id="36" w:name="bookmark36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</w:rPr>
        <w:t>谵妄的危险因素</w:t>
      </w:r>
      <w:bookmarkEnd w:id="34"/>
      <w:bookmarkEnd w:id="35"/>
      <w:bookmarkEnd w:id="3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内谵妄的发生与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 xml:space="preserve">个基本因素密切正相关：既往 </w:t>
      </w:r>
      <w:r>
        <w:rPr>
          <w:color w:val="000000"/>
          <w:spacing w:val="0"/>
          <w:w w:val="100"/>
          <w:position w:val="0"/>
        </w:rPr>
        <w:t>罹患痴呆，高血压和/或酗酒史，入院时病情重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）。 </w:t>
      </w:r>
      <w:r>
        <w:rPr>
          <w:color w:val="000000"/>
          <w:spacing w:val="0"/>
          <w:w w:val="100"/>
          <w:position w:val="0"/>
        </w:rPr>
        <w:t>昏迷是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成年患者发生谵妄的独立危险因素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成年患者阿片类药物的使用与谵妄间的关系尚缺 乏一致性证据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苯二氮卓类药物的使用可能是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成年患者发生谵妄 的危险因素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丙泊酚的使用与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成年患者发生谵妄的关系尚缺乏 充足证据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内有发生谵妄危险的成年机械通气患者，应 用右旋美托咪啶镇静较苯二氮卓类的谵妄发生率低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3.4</w:t>
      </w:r>
      <w:r>
        <w:rPr>
          <w:b/>
          <w:bCs/>
          <w:color w:val="000000"/>
          <w:spacing w:val="0"/>
          <w:w w:val="100"/>
          <w:position w:val="0"/>
        </w:rPr>
        <w:t>谵妄的预防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成年患者，一旦条件允许，推荐进行早期活 动以减少谵妄的发生率和持续时间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由于无可靠证据表明药物预防的策略可以减少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 年患者谵妄的发生率和持续时间，因此不做推荐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由于无证据表明药物和非药物联合预防的策略可以减 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>成年患者谵妄的发生率，因此不做推荐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不建议对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成年患者使用氟哌啶醇或不典型抗精神 病药预防谵妄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-C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由于无可靠证据表明右旋美托咪啶可以预防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 患者谵妄的发生，因此不做推荐</w:t>
      </w:r>
      <w:r>
        <w:rPr>
          <w:color w:val="000000"/>
          <w:spacing w:val="0"/>
          <w:w w:val="100"/>
          <w:position w:val="0"/>
          <w:sz w:val="16"/>
          <w:szCs w:val="16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3.5</w:t>
      </w:r>
      <w:r>
        <w:rPr>
          <w:b/>
          <w:bCs/>
          <w:color w:val="000000"/>
          <w:spacing w:val="0"/>
          <w:w w:val="100"/>
          <w:position w:val="0"/>
        </w:rPr>
        <w:t>谵妄的治疗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无公开证据表明使用氟哌啶醇可以减少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 谵妄的持续时间（无证据）。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不典型抗精神病药可能会减少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 xml:space="preserve">成年患者谵妄的持 续时间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不推荐使用卡巴拉汀以减少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 xml:space="preserve">成年患者谵妄的持续 时间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不建议对尖端扭转型室速的高危患者（即有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QT</w:t>
      </w:r>
      <w:r>
        <w:rPr>
          <w:color w:val="000000"/>
          <w:spacing w:val="0"/>
          <w:w w:val="100"/>
          <w:position w:val="0"/>
        </w:rPr>
        <w:t>间期 延长的患者、服用可导致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QT</w:t>
      </w:r>
      <w:r>
        <w:rPr>
          <w:color w:val="000000"/>
          <w:spacing w:val="0"/>
          <w:w w:val="100"/>
          <w:position w:val="0"/>
        </w:rPr>
        <w:t xml:space="preserve">间期延长药物的患者，或者 有尖端扭转型室速病史的患者）使用不典型抗精神病药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a2C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对于并非由酒精和苯二氮卓类戒断引起谵妄的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 年患者，建议持续静脉输注右旋美托咪啶而非苯二氮卓类 药物用于镇静，以减少谵妄的持续时间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7" w:name="bookmark37"/>
      <w:bookmarkStart w:id="38" w:name="bookmark38"/>
      <w:bookmarkStart w:id="39" w:name="bookmark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处理疼痛、焦躁和谵妄以</w:t>
      </w:r>
      <w:bookmarkEnd w:id="37"/>
      <w:bookmarkEnd w:id="38"/>
      <w:bookmarkEnd w:id="3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改善预后的策略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对于机械通气的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 xml:space="preserve">成年患者，推荐常规实施每日镇 静间断或轻度镇静策略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对于机械通气的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</w:rPr>
        <w:t xml:space="preserve">成年患者，建议施行镇痛优先的 镇静策略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+2B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成年患者，推荐通过优化环境以改善睡眠， 包括实施声光控制策略、集中进行医护操作、减少夜间刺 激以维持患者的睡眠周期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+1C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对于机械通气的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 xml:space="preserve">成年患者，不推荐使用特殊的通 气模式来改善睡眠，因为这些措施的有效性的证据还不足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0</w:t>
      </w:r>
      <w:r>
        <w:rPr>
          <w:color w:val="000000"/>
          <w:spacing w:val="0"/>
          <w:w w:val="100"/>
          <w:position w:val="0"/>
        </w:rPr>
        <w:t>，无证据）。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推荐采取跨学科的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团队工作模式以促进该指南在 成人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ICU</w:t>
      </w:r>
      <w:r>
        <w:rPr>
          <w:color w:val="000000"/>
          <w:spacing w:val="0"/>
          <w:w w:val="100"/>
          <w:position w:val="0"/>
        </w:rPr>
        <w:t>患者中的实施，包括针对医护人员的教育、预先 印制和/或计算机化的治疗方案和医嘱表、保证质量的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ICU </w:t>
      </w:r>
      <w:r>
        <w:rPr>
          <w:color w:val="000000"/>
          <w:spacing w:val="0"/>
          <w:w w:val="100"/>
          <w:position w:val="0"/>
        </w:rPr>
        <w:t>查房核查表等（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+1B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 w:line="239" w:lineRule="exact"/>
        <w:ind w:left="234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（收稿日期: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2013-10-20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38" w:lineRule="exact"/>
        <w:ind w:left="2340" w:right="0" w:firstLine="0"/>
        <w:jc w:val="left"/>
      </w:pPr>
      <w:r>
        <w:rPr>
          <w:color w:val="000000"/>
          <w:spacing w:val="0"/>
          <w:w w:val="100"/>
          <w:position w:val="0"/>
        </w:rPr>
        <w:t>（本文编辑：何小军）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563" w:right="1045" w:bottom="1597" w:left="1073" w:header="0" w:footer="3" w:gutter="0"/>
      <w:cols w:num="2" w:space="249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1327150</wp:posOffset>
              </wp:positionH>
              <wp:positionV relativeFrom="page">
                <wp:posOffset>10349865</wp:posOffset>
              </wp:positionV>
              <wp:extent cx="5821680" cy="2438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3191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04.5pt;margin-top:814.95000000000005pt;width:458.40000000000003pt;height:19.1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3191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10349865</wp:posOffset>
              </wp:positionV>
              <wp:extent cx="5821680" cy="24384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3191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105.45pt;margin-top:814.95000000000005pt;width:458.40000000000003pt;height:19.1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3191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808990</wp:posOffset>
              </wp:positionH>
              <wp:positionV relativeFrom="page">
                <wp:posOffset>739775</wp:posOffset>
              </wp:positionV>
              <wp:extent cx="6007735" cy="1098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-1326 -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中华急诊医学杂志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22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12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>Chin J Emerg Med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 xml:space="preserve">December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2013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>Vol.22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>No. 12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3.700000000000003pt;margin-top:58.25pt;width:473.05000000000001pt;height:8.6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-1326 -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中华急诊医学杂志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22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12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>Chin J Emerg Med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 xml:space="preserve">December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2013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>Vol.22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>No.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729615</wp:posOffset>
              </wp:positionH>
              <wp:positionV relativeFrom="page">
                <wp:posOffset>739775</wp:posOffset>
              </wp:positionV>
              <wp:extent cx="5998210" cy="10985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82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中华急诊医学杂志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22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12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>Chin J Emerg Med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 xml:space="preserve">December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>Vol.22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en-US" w:eastAsia="en-US" w:bidi="en-US"/>
                            </w:rPr>
                            <w:t>No. 12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-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1325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7.450000000000003pt;margin-top:58.25pt;width:472.30000000000001pt;height:8.6500000000000004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中华急诊医学杂志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22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12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>Chin J Emerg Med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 xml:space="preserve">December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>Vol.22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en-US" w:eastAsia="en-US" w:bidi="en-US"/>
                      </w:rPr>
                      <w:t>No. 12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-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1325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852805</wp:posOffset>
              </wp:positionV>
              <wp:extent cx="4919345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1934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5pt;margin-top:67.150000000000006pt;width:387.35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Heading #2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8">
    <w:name w:val="Body text|2_"/>
    <w:basedOn w:val="DefaultParagraphFont"/>
    <w:link w:val="Style17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1">
    <w:name w:val="Heading #1|1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24">
    <w:name w:val="Body text|4_"/>
    <w:basedOn w:val="DefaultParagraphFont"/>
    <w:link w:val="Style23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4">
    <w:name w:val="Body text|3_"/>
    <w:basedOn w:val="DefaultParagraphFont"/>
    <w:link w:val="Style33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38">
    <w:name w:val="Heading #3|1_"/>
    <w:basedOn w:val="DefaultParagraphFont"/>
    <w:link w:val="Style37"/>
    <w:rPr>
      <w:rFonts w:ascii="SimSun" w:eastAsia="SimSun" w:hAnsi="SimSun" w:cs="SimSun"/>
      <w:b/>
      <w:bCs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298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Heading #2|1"/>
    <w:basedOn w:val="Normal"/>
    <w:link w:val="CharStyle14"/>
    <w:pPr>
      <w:widowControl w:val="0"/>
      <w:shd w:val="clear" w:color="auto" w:fill="auto"/>
      <w:spacing w:line="245" w:lineRule="auto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7">
    <w:name w:val="Body text|2"/>
    <w:basedOn w:val="Normal"/>
    <w:link w:val="CharStyle18"/>
    <w:pPr>
      <w:widowControl w:val="0"/>
      <w:shd w:val="clear" w:color="auto" w:fill="auto"/>
      <w:spacing w:line="242" w:lineRule="exact"/>
      <w:ind w:firstLine="380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0">
    <w:name w:val="Heading #1|1"/>
    <w:basedOn w:val="Normal"/>
    <w:link w:val="CharStyle21"/>
    <w:pPr>
      <w:widowControl w:val="0"/>
      <w:shd w:val="clear" w:color="auto" w:fill="auto"/>
      <w:spacing w:after="240" w:line="576" w:lineRule="exact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23">
    <w:name w:val="Body text|4"/>
    <w:basedOn w:val="Normal"/>
    <w:link w:val="CharStyle2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3">
    <w:name w:val="Body text|3"/>
    <w:basedOn w:val="Normal"/>
    <w:link w:val="CharStyle34"/>
    <w:pPr>
      <w:widowControl w:val="0"/>
      <w:shd w:val="clear" w:color="auto" w:fill="auto"/>
      <w:spacing w:line="230" w:lineRule="exact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37">
    <w:name w:val="Heading #3|1"/>
    <w:basedOn w:val="Normal"/>
    <w:link w:val="CharStyle38"/>
    <w:pPr>
      <w:widowControl w:val="0"/>
      <w:shd w:val="clear" w:color="auto" w:fill="auto"/>
      <w:spacing w:line="283" w:lineRule="auto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