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•标准与共识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•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626" w:right="929" w:bottom="469" w:left="1222" w:header="0" w:footer="3" w:gutter="0"/>
          <w:pgNumType w:start="148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羟氯喳治疗风湿性疾病专家共识</w:t>
      </w:r>
      <w:bookmarkEnd w:id="0"/>
      <w:bookmarkEnd w:id="1"/>
      <w:bookmarkEnd w:id="2"/>
    </w:p>
    <w:p>
      <w:pPr>
        <w:widowControl w:val="0"/>
        <w:spacing w:line="102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26" w:right="0" w:bottom="46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60" w:line="3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国家风湿病数据中心及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CSTAR</w:t>
      </w:r>
      <w:r>
        <w:rPr>
          <w:color w:val="000000"/>
          <w:spacing w:val="0"/>
          <w:w w:val="100"/>
          <w:position w:val="0"/>
        </w:rPr>
        <w:t>专家共识组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羟氯瘗最初被用于治疗疟疾，后来广泛用于治 疗多种风湿性疾病，主要是通过免疫调节以及其他 机制而发挥抗风湿作用。基于其肯定的疗效和良好 的安全性，羟氯喳已得到国内外各级指南推荐用于 治疗多种风湿性疾病，尤其是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和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我国风湿 性疾病患者众多，风湿科医生的诊治水平和用药习 惯存在较大的地区差异，为了规范羟氯喽在风湿性 疾病中的应用，使更多的风湿性疾病患者能从羟氯 喳治疗中获益，特制定本专家共识（见表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1）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  <w:lang w:val="zh-CN" w:eastAsia="zh-CN" w:bidi="zh-CN"/>
        </w:rPr>
        <w:t>羟氯嚏</w:t>
      </w:r>
      <w:r>
        <w:rPr>
          <w:color w:val="000000"/>
          <w:spacing w:val="0"/>
          <w:w w:val="100"/>
          <w:position w:val="0"/>
        </w:rPr>
        <w:t>可作为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患者的基础用药，在无禁忌 证的情况下,可以长期使用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11</w:t>
      </w:r>
      <w:r>
        <w:rPr>
          <w:color w:val="000000"/>
          <w:spacing w:val="0"/>
          <w:w w:val="100"/>
          <w:position w:val="0"/>
        </w:rPr>
        <w:t>项评价羟氯喳与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疾病活动度关系的 研究［包括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项随机对照研究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（RCT）］</w:t>
      </w:r>
      <w:r>
        <w:rPr>
          <w:color w:val="000000"/>
          <w:spacing w:val="0"/>
          <w:w w:val="100"/>
          <w:position w:val="0"/>
        </w:rPr>
        <w:t>进行系统综述 认为，羟氯喳可降低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患者的疾病活动度明另一 项基于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LUMINA</w:t>
      </w:r>
      <w:r>
        <w:rPr>
          <w:color w:val="000000"/>
          <w:spacing w:val="0"/>
          <w:w w:val="100"/>
          <w:position w:val="0"/>
        </w:rPr>
        <w:t>数据库的回顾性分析〔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2］</w:t>
      </w:r>
      <w:r>
        <w:rPr>
          <w:color w:val="000000"/>
          <w:spacing w:val="0"/>
          <w:w w:val="100"/>
          <w:position w:val="0"/>
        </w:rPr>
        <w:t>显示，羟氯 嗟可显著降低疾病活动度（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P=0.015 7）,</w:t>
      </w:r>
      <w:r>
        <w:rPr>
          <w:color w:val="000000"/>
          <w:spacing w:val="0"/>
          <w:w w:val="100"/>
          <w:position w:val="0"/>
        </w:rPr>
        <w:t>且与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IFN-a </w:t>
      </w:r>
      <w:r>
        <w:rPr>
          <w:color w:val="000000"/>
          <w:spacing w:val="0"/>
          <w:w w:val="100"/>
          <w:position w:val="0"/>
        </w:rPr>
        <w:t>的降低强烈相关。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Ruiz-Irastorza</w:t>
      </w:r>
      <w:r>
        <w:rPr>
          <w:color w:val="000000"/>
          <w:spacing w:val="0"/>
          <w:w w:val="100"/>
          <w:position w:val="0"/>
        </w:rPr>
        <w:t>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的系统性综述认 为，羟氯喽可减轻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患者的器官损害风险；一项 队列研究结果显示，使用羟氯喽可使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 xml:space="preserve">患者器官 </w:t>
      </w:r>
      <w:r>
        <w:rPr>
          <w:color w:val="000000"/>
          <w:spacing w:val="0"/>
          <w:w w:val="100"/>
          <w:position w:val="0"/>
        </w:rPr>
        <w:t>损害的风险降低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66%</w:t>
      </w:r>
      <w:r>
        <w:rPr>
          <w:color w:val="000000"/>
          <w:spacing w:val="0"/>
          <w:w w:val="100"/>
          <w:position w:val="0"/>
        </w:rPr>
        <w:t>向（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07?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=0.34,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95%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C/ 0.132- 0.867）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Ruiz-Irastorza</w:t>
      </w:r>
      <w:r>
        <w:rPr>
          <w:color w:val="000000"/>
          <w:spacing w:val="0"/>
          <w:w w:val="100"/>
          <w:position w:val="0"/>
        </w:rPr>
        <w:t>等山对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项评价羟氯喽与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SLE </w:t>
      </w:r>
      <w:r>
        <w:rPr>
          <w:color w:val="000000"/>
          <w:spacing w:val="0"/>
          <w:w w:val="100"/>
          <w:position w:val="0"/>
        </w:rPr>
        <w:t>患者生存关系的研究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（1</w:t>
      </w:r>
      <w:r>
        <w:rPr>
          <w:color w:val="000000"/>
          <w:spacing w:val="0"/>
          <w:w w:val="100"/>
          <w:position w:val="0"/>
        </w:rPr>
        <w:t>项病例对照研究、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项前瞻 性队列研究和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项巢式病例对照研究）进行系统综 述后认为，羟氯喳可延长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患者的生存，其证据级 别中等;一项队列研究在校正了潜在的混淆因素后显 示，羟氯唾治疗可降低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患者的病死率达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38%</w:t>
      </w:r>
      <w:r>
        <w:rPr>
          <w:color w:val="000000"/>
          <w:spacing w:val="0"/>
          <w:w w:val="100"/>
          <w:position w:val="0"/>
        </w:rPr>
        <w:t>倒 ［风险系数（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AR</w:t>
      </w:r>
      <w:r>
        <w:rPr>
          <w:color w:val="000000"/>
          <w:spacing w:val="0"/>
          <w:w w:val="100"/>
          <w:position w:val="0"/>
        </w:rPr>
        <w:t xml:space="preserve">）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=0.62,95%CZ 0.39-0.99）］,</w:t>
      </w:r>
      <w:r>
        <w:rPr>
          <w:color w:val="000000"/>
          <w:spacing w:val="0"/>
          <w:w w:val="100"/>
          <w:position w:val="0"/>
        </w:rPr>
        <w:t>并且可 能呈时间依赖性，即使用羟氯喽时间越长，患者病死 率越低。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羟氯喳可用于治疗妊娠期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患者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项评价羟氯喳与妊娠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患者疾病活动度 关系的研究（包括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RCT）</w:t>
      </w:r>
      <w:r>
        <w:rPr>
          <w:color w:val="000000"/>
          <w:spacing w:val="0"/>
          <w:w w:val="100"/>
          <w:position w:val="0"/>
        </w:rPr>
        <w:t>进行系统综述认为，羟 氯座可降低妊娠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患者的疾病活动度叫且对胎儿是 安全的；另一项队列研究结果显示，羟氯喽可降低妊 娠患者的疾病活动度，且对新生儿无不良影响％我 国进行的一项回顾性研究结果同样显示，羟氯瘗对 妊娠期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妇女及胎儿均具有良好的安全性问。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26" w:right="930" w:bottom="469" w:left="1232" w:header="0" w:footer="3" w:gutter="0"/>
          <w:cols w:num="2" w:space="341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羟氯喳可作为传统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用于治疗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RA</w:t>
      </w:r>
    </w:p>
    <w:p>
      <w:pPr>
        <w:widowControl w:val="0"/>
        <w:spacing w:line="193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26" w:right="0" w:bottom="46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86" w:right="0" w:firstLine="0"/>
        <w:jc w:val="left"/>
      </w:pPr>
      <w:r>
        <w:rPr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羟氯唾在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中的应用共识要点</w:t>
      </w:r>
    </w:p>
    <w:tbl>
      <w:tblPr>
        <w:tblOverlap w:val="never"/>
        <w:jc w:val="center"/>
        <w:tblLayout w:type="fixed"/>
      </w:tblPr>
      <w:tblGrid>
        <w:gridCol w:w="595"/>
        <w:gridCol w:w="7613"/>
        <w:gridCol w:w="1531"/>
      </w:tblGrid>
      <w:tr>
        <w:trPr>
          <w:trHeight w:val="33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条目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内容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同意度</w:t>
            </w:r>
            <w:r>
              <w:rPr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（%±s）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羟氯喳可作为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SLE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患者的基础用药，在无禁忌证的情况下,可以长期使用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9.89±0.44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羟氯喳可用于治疗妊娠期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SLE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患者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9.47±0.76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羟氯喳可作为传统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DMARDs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用于治疗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RA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9.94±0.22</w:t>
            </w:r>
          </w:p>
        </w:tc>
      </w:tr>
      <w:tr>
        <w:trPr>
          <w:trHeight w:val="5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4" w:lineRule="exact"/>
              <w:ind w:left="14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传统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DMARDs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联合治疗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RA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疗效肯定,常用的羟氯喳联合治疗方案有:甲氨蝶吟+羟氯喳、甲氨蝶吟+羟氯 喳+柳氮磺毗喧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（SSZ）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9.42±0.74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对于症状轻且无不良预后的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RA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患者可使用羟氯哩单药治疗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8.53±2.06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用于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SLE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或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RA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治疗时，羟氯喳的初始剂量建议为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 xml:space="preserve">400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mg/d,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持续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3-6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个月或以上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8.58±1.38</w:t>
            </w:r>
          </w:p>
        </w:tc>
      </w:tr>
      <w:tr>
        <w:trPr>
          <w:trHeight w:val="8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8" w:lineRule="exact"/>
              <w:ind w:left="14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对于存在视网膜病变高危因素的患者,羟氯嗟治疗期间应每年接受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次眼科检査。视网膜病变的高危因素 包括:羟氯喳的累积剂量达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 xml:space="preserve">1 000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g,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服用羟氯唾超过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7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年，肥胖产重肝肾疾病或高龄，既往存在视网膜、黄 斑病变或白内障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8.84H.66</w:t>
            </w:r>
          </w:p>
        </w:tc>
      </w:tr>
      <w:tr>
        <w:trPr>
          <w:trHeight w:val="346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羟氯喳的总体安全性良好，以下患者禁用:已知对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-氨基唾琳类化合物过敏的患者、有眼底黄斑病变者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8.89±1.68</w:t>
            </w:r>
          </w:p>
        </w:tc>
      </w:tr>
    </w:tbl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67" w:right="0" w:firstLine="0"/>
        <w:jc w:val="left"/>
      </w:pPr>
      <w:r>
        <w:rPr>
          <w:color w:val="000000"/>
          <w:spacing w:val="0"/>
          <w:w w:val="100"/>
          <w:position w:val="0"/>
        </w:rPr>
        <w:t>注:，专家对各条目进行评分（</w:t>
      </w:r>
      <w:r>
        <w:rPr>
          <w:color w:val="000000"/>
          <w:spacing w:val="0"/>
          <w:w w:val="100"/>
          <w:position w:val="0"/>
          <w:sz w:val="12"/>
          <w:szCs w:val="12"/>
        </w:rPr>
        <w:t>1</w:t>
      </w:r>
      <w:r>
        <w:rPr>
          <w:color w:val="000000"/>
          <w:spacing w:val="0"/>
          <w:w w:val="100"/>
          <w:position w:val="0"/>
        </w:rPr>
        <w:t>分代表完全不同意该条目的内容,</w:t>
      </w:r>
      <w:r>
        <w:rPr>
          <w:color w:val="000000"/>
          <w:spacing w:val="0"/>
          <w:w w:val="100"/>
          <w:position w:val="0"/>
          <w:sz w:val="12"/>
          <w:szCs w:val="12"/>
        </w:rPr>
        <w:t>10</w:t>
      </w:r>
      <w:r>
        <w:rPr>
          <w:color w:val="000000"/>
          <w:spacing w:val="0"/>
          <w:w w:val="100"/>
          <w:position w:val="0"/>
        </w:rPr>
        <w:t>分代表完全同意该条目的内容），统计全体专家的评分并计算,打,即 为该条目的同意度（推荐力度）</w:t>
      </w:r>
    </w:p>
    <w:p>
      <w:pPr>
        <w:widowControl w:val="0"/>
        <w:spacing w:after="359" w:line="1" w:lineRule="exact"/>
      </w:pP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D0I： 10.3760/cma.j.issn. 1007-7480.2014.03.</w:t>
      </w:r>
      <w:r>
        <w:rPr>
          <w:color w:val="000000"/>
          <w:spacing w:val="0"/>
          <w:w w:val="100"/>
          <w:position w:val="0"/>
          <w:lang w:val="zh-TW" w:eastAsia="zh-TW" w:bidi="zh-TW"/>
        </w:rPr>
        <w:t>002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3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26" w:right="929" w:bottom="469" w:left="122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通信作者:曾小峰</w:t>
      </w:r>
      <w:r>
        <w:rPr>
          <w:color w:val="000000"/>
          <w:spacing w:val="0"/>
          <w:w w:val="100"/>
          <w:position w:val="0"/>
          <w:sz w:val="12"/>
          <w:szCs w:val="12"/>
        </w:rPr>
        <w:t>,100032</w:t>
      </w:r>
      <w:r>
        <w:rPr>
          <w:color w:val="000000"/>
          <w:spacing w:val="0"/>
          <w:w w:val="100"/>
          <w:position w:val="0"/>
        </w:rPr>
        <w:t xml:space="preserve">中国医学科学院北京协和医院风湿免疫科 </w:t>
      </w:r>
      <w:r>
        <w:rPr>
          <w:color w:val="000000"/>
          <w:spacing w:val="0"/>
          <w:w w:val="100"/>
          <w:position w:val="0"/>
        </w:rPr>
        <w:t>万</w:t>
      </w:r>
      <w:r>
        <w:rPr>
          <w:color w:val="333F58"/>
          <w:spacing w:val="0"/>
          <w:w w:val="100"/>
          <w:position w:val="0"/>
        </w:rPr>
        <w:t>方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</w:rPr>
        <w:t>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</w:rPr>
        <w:t>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或临床对照试验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（CCT）</w:t>
      </w:r>
      <w:r>
        <w:rPr>
          <w:color w:val="000000"/>
          <w:spacing w:val="0"/>
          <w:w w:val="100"/>
          <w:position w:val="0"/>
        </w:rPr>
        <w:t>的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 析显示，羟氯喽可显著改善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患者的肿胀关节数、 疼痛关节数、总体评价及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ESRE,</w:t>
      </w:r>
      <w:r>
        <w:rPr>
          <w:color w:val="000000"/>
          <w:spacing w:val="0"/>
          <w:w w:val="100"/>
          <w:position w:val="0"/>
        </w:rPr>
        <w:t>各项指标的标准化 均数差从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-0.33—0.52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（</w:t>
      </w:r>
      <w:r>
        <w:rPr>
          <w:color w:val="000000"/>
          <w:spacing w:val="0"/>
          <w:w w:val="100"/>
          <w:position w:val="0"/>
        </w:rPr>
        <w:t>由于每项研究的评价指标不 尽相同，所以合并分析时对各项指标进行了标准 化），尽管其总体的抗风湿作用强度为中等，但其不 良反应的发生率较低。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传统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联合治疗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疗效肯定，常用的 羟氯嚏联合治疗方案有：甲氨蝶吟+羟氯喳、甲氨蝶 吟+羟氯喳+柳氮磺毗晩（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SSZ </w:t>
      </w:r>
      <w:r>
        <w:rPr>
          <w:color w:val="000000"/>
          <w:spacing w:val="0"/>
          <w:w w:val="100"/>
          <w:position w:val="0"/>
        </w:rPr>
        <w:t>）等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</w:rPr>
        <w:t>羟氯喽+甲氨蝶吟联合治疗活动性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患者的 疗效肯定，安全耐受，停用甲氨蝶吟后，羟氯喳可维 持两药联合获得的治疗反应叫一项随机交叉人体药 代动力学研究显示,羟氯喽联合甲氨蝶吟，通过增加 甲氨蝶吟的血药浓度-时间曲线下面积和延长甲氨 蝶吟的达峰时间而发挥协同增效作用；同时还可以 通过降低甲氨蝶吟的峰值浓度而减轻了甲氨蝶吟的 急性肝损害乳一项随机双盲对照研究比较了羟氯 喳+甲氨蝶吟、甲氨蝶吟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+SSZ</w:t>
      </w:r>
      <w:r>
        <w:rPr>
          <w:color w:val="000000"/>
          <w:spacing w:val="0"/>
          <w:w w:val="100"/>
          <w:position w:val="0"/>
        </w:rPr>
        <w:t>以及三药联合治疗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>的疗效，意向性治疗分析结果表明，无论既往是否接 受过甲氨蝶吟治疗，三药联合治疗组的疗效均显著 优于甲氨蝶吟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+SSZ,</w:t>
      </w:r>
      <w:r>
        <w:rPr>
          <w:color w:val="000000"/>
          <w:spacing w:val="0"/>
          <w:w w:val="100"/>
          <w:position w:val="0"/>
        </w:rPr>
        <w:t>略优于甲氨蝶吟+羟氯喽㈣。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对于症状轻且无不良预后的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患者可使用羟 氯喳单药治疗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</w:rPr>
        <w:t>-篇对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或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CCT</w:t>
      </w:r>
      <w:r>
        <w:rPr>
          <w:color w:val="000000"/>
          <w:spacing w:val="0"/>
          <w:w w:val="100"/>
          <w:position w:val="0"/>
        </w:rPr>
        <w:t>的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显示，羟 氯喳单药治疗可显著改善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患者的肿胀关节数、 疼痛关节数、总体评价及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ESR;2010</w:t>
      </w:r>
      <w:r>
        <w:rPr>
          <w:color w:val="000000"/>
          <w:spacing w:val="0"/>
          <w:w w:val="100"/>
          <w:position w:val="0"/>
        </w:rPr>
        <w:t>年我国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诊断 和治疗指南回以及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2012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的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 xml:space="preserve">治疗推荐意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见凹中</w:t>
      </w:r>
      <w:r>
        <w:rPr>
          <w:color w:val="000000"/>
          <w:spacing w:val="0"/>
          <w:w w:val="100"/>
          <w:position w:val="0"/>
        </w:rPr>
        <w:t>均推荐羟氯喽可单独用于病程较短、病情较 轻的患者。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用于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</w:rPr>
        <w:t>或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治疗时，羟氯喳的初始剂量建 议为</w:t>
      </w:r>
      <w:r>
        <w:rPr>
          <w:b/>
          <w:bCs/>
          <w:color w:val="000000"/>
          <w:spacing w:val="0"/>
          <w:w w:val="100"/>
          <w:position w:val="0"/>
        </w:rPr>
        <w:t xml:space="preserve">400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mg/d,</w:t>
      </w:r>
      <w:r>
        <w:rPr>
          <w:color w:val="000000"/>
          <w:spacing w:val="0"/>
          <w:w w:val="100"/>
          <w:position w:val="0"/>
        </w:rPr>
        <w:t>持续</w:t>
      </w:r>
      <w:r>
        <w:rPr>
          <w:b/>
          <w:bCs/>
          <w:color w:val="000000"/>
          <w:spacing w:val="0"/>
          <w:w w:val="100"/>
          <w:position w:val="0"/>
        </w:rPr>
        <w:t>3~6</w:t>
      </w:r>
      <w:r>
        <w:rPr>
          <w:color w:val="000000"/>
          <w:spacing w:val="0"/>
          <w:w w:val="100"/>
          <w:position w:val="0"/>
        </w:rPr>
        <w:t>个月或以上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7"/>
          <w:szCs w:val="17"/>
        </w:rPr>
        <w:t>用于治疗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时，羟氯喳的初始剂量应使用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400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7"/>
          <w:szCs w:val="17"/>
        </w:rPr>
        <w:t>或接近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400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7"/>
          <w:szCs w:val="17"/>
        </w:rPr>
        <w:t>，并应持续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3 ~6</w:t>
      </w:r>
      <w:r>
        <w:rPr>
          <w:color w:val="000000"/>
          <w:spacing w:val="0"/>
          <w:w w:val="100"/>
          <w:position w:val="0"/>
          <w:sz w:val="17"/>
          <w:szCs w:val="17"/>
        </w:rPr>
        <w:t>个月；此后的 维持治疗，可适当减少剂量。一项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  <w:sz w:val="17"/>
          <w:szCs w:val="17"/>
        </w:rPr>
        <w:t>研究卩可观察了 羟氯喽治疗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的疗效，使用的羟氯嘻剂量为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（271+95）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mg,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平均疗程达到了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40</w:t>
      </w:r>
      <w:r>
        <w:rPr>
          <w:color w:val="000000"/>
          <w:spacing w:val="0"/>
          <w:w w:val="100"/>
          <w:position w:val="0"/>
          <w:sz w:val="17"/>
          <w:szCs w:val="17"/>
        </w:rPr>
        <w:t>个月。一项队列研 究凹则发现，在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  <w:sz w:val="17"/>
          <w:szCs w:val="17"/>
        </w:rPr>
        <w:t>患者中，未出现肾脏损害的患者 使用的羟氯座剂量为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384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mg,</w:t>
      </w:r>
      <w:r>
        <w:rPr>
          <w:color w:val="000000"/>
          <w:spacing w:val="0"/>
          <w:w w:val="100"/>
          <w:position w:val="0"/>
          <w:sz w:val="17"/>
          <w:szCs w:val="17"/>
        </w:rPr>
        <w:t>而出现肾脏损害患者 的剂量为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331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mg;</w:t>
      </w:r>
      <w:r>
        <w:rPr>
          <w:color w:val="000000"/>
          <w:spacing w:val="0"/>
          <w:w w:val="100"/>
          <w:position w:val="0"/>
          <w:sz w:val="17"/>
          <w:szCs w:val="17"/>
        </w:rPr>
        <w:t>另一项队列研究中，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  <w:sz w:val="17"/>
          <w:szCs w:val="17"/>
        </w:rPr>
        <w:t>患者使 用羟氯喳■的中位剂量为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400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mg（200-400 mg）</w:t>
      </w:r>
      <w:r>
        <w:rPr>
          <w:color w:val="000000"/>
          <w:spacing w:val="0"/>
          <w:w w:val="100"/>
          <w:position w:val="0"/>
          <w:sz w:val="17"/>
          <w:szCs w:val="17"/>
        </w:rPr>
        <w:t>的。用 于治疗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17"/>
          <w:szCs w:val="17"/>
        </w:rPr>
        <w:t>时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,3</w:t>
      </w:r>
      <w:r>
        <w:rPr>
          <w:color w:val="000000"/>
          <w:spacing w:val="0"/>
          <w:w w:val="100"/>
          <w:position w:val="0"/>
          <w:sz w:val="17"/>
          <w:szCs w:val="17"/>
        </w:rPr>
        <w:t>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  <w:sz w:val="17"/>
          <w:szCs w:val="17"/>
        </w:rPr>
        <w:t>研究皿心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</w:rPr>
        <w:t>71</w:t>
      </w:r>
      <w:r>
        <w:rPr>
          <w:color w:val="000000"/>
          <w:spacing w:val="0"/>
          <w:w w:val="100"/>
          <w:position w:val="0"/>
          <w:sz w:val="17"/>
          <w:szCs w:val="17"/>
        </w:rPr>
        <w:t>和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项描述性研 </w:t>
      </w:r>
      <w:r>
        <w:rPr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究呻</w:t>
      </w:r>
      <w:r>
        <w:rPr>
          <w:color w:val="000000"/>
          <w:spacing w:val="0"/>
          <w:w w:val="100"/>
          <w:position w:val="0"/>
          <w:sz w:val="17"/>
          <w:szCs w:val="17"/>
        </w:rPr>
        <w:t>使用的羟氯唉剂量均为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400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mg,</w:t>
      </w:r>
      <w:r>
        <w:rPr>
          <w:color w:val="000000"/>
          <w:spacing w:val="0"/>
          <w:w w:val="100"/>
          <w:position w:val="0"/>
          <w:sz w:val="17"/>
          <w:szCs w:val="17"/>
        </w:rPr>
        <w:t>疗程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6-24</w:t>
      </w:r>
      <w:r>
        <w:rPr>
          <w:color w:val="000000"/>
          <w:spacing w:val="0"/>
          <w:w w:val="100"/>
          <w:position w:val="0"/>
          <w:sz w:val="17"/>
          <w:szCs w:val="17"/>
        </w:rPr>
        <w:t>个月</w:t>
      </w:r>
      <w:r>
        <w:rPr>
          <w:color w:val="251C19"/>
          <w:spacing w:val="0"/>
          <w:w w:val="100"/>
          <w:position w:val="0"/>
          <w:sz w:val="17"/>
          <w:szCs w:val="17"/>
        </w:rPr>
        <w:t xml:space="preserve">。 </w:t>
      </w:r>
      <w:r>
        <w:rPr>
          <w:color w:val="000000"/>
          <w:spacing w:val="0"/>
          <w:w w:val="100"/>
          <w:position w:val="0"/>
          <w:sz w:val="17"/>
          <w:szCs w:val="17"/>
        </w:rPr>
        <w:t>羟氯喽说明书、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2010</w:t>
      </w:r>
      <w:r>
        <w:rPr>
          <w:color w:val="000000"/>
          <w:spacing w:val="0"/>
          <w:w w:val="100"/>
          <w:position w:val="0"/>
          <w:sz w:val="17"/>
          <w:szCs w:val="17"/>
        </w:rPr>
        <w:t>年中国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17"/>
          <w:szCs w:val="17"/>
        </w:rPr>
        <w:t>诊断和治疗指南问 以及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2010</w:t>
      </w:r>
      <w:r>
        <w:rPr>
          <w:color w:val="000000"/>
          <w:spacing w:val="0"/>
          <w:w w:val="100"/>
          <w:position w:val="0"/>
          <w:sz w:val="17"/>
          <w:szCs w:val="17"/>
        </w:rPr>
        <w:t>年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SLE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诊断和治疗指南网中均推荐羟氯 </w:t>
      </w:r>
      <w:r>
        <w:rPr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喳</w:t>
      </w:r>
      <w:r>
        <w:rPr>
          <w:color w:val="000000"/>
          <w:spacing w:val="0"/>
          <w:w w:val="100"/>
          <w:position w:val="0"/>
          <w:sz w:val="17"/>
          <w:szCs w:val="17"/>
        </w:rPr>
        <w:t>的剂量为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400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mg/do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对于存在视网膜病变高危因素的患者，羟氯喳治 疗期间应每年接受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次眼科检查。视网膜病变的高 危因素包括:羟氯噎的累积剂量达</w:t>
      </w:r>
      <w:r>
        <w:rPr>
          <w:b/>
          <w:bCs/>
          <w:color w:val="000000"/>
          <w:spacing w:val="0"/>
          <w:w w:val="100"/>
          <w:position w:val="0"/>
        </w:rPr>
        <w:t xml:space="preserve">1 000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</w:rPr>
        <w:t>服用羟 氣隆超过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年，肥胖，严重肝肾疾病或高龄,既往存 在视网膜、黄斑病变或白内障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Ruiz-Irastorza</w:t>
      </w:r>
      <w:r>
        <w:rPr>
          <w:color w:val="000000"/>
          <w:spacing w:val="0"/>
          <w:w w:val="100"/>
          <w:position w:val="0"/>
        </w:rPr>
        <w:t>等可对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7</w:t>
      </w:r>
      <w:r>
        <w:rPr>
          <w:color w:val="000000"/>
          <w:spacing w:val="0"/>
          <w:w w:val="100"/>
          <w:position w:val="0"/>
        </w:rPr>
        <w:t>项评价羟氯喳■与视网膜病 变关系的回顾性研究进行系统综述发现，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2 043</w:t>
      </w:r>
      <w:r>
        <w:rPr>
          <w:color w:val="000000"/>
          <w:spacing w:val="0"/>
          <w:w w:val="100"/>
          <w:position w:val="0"/>
        </w:rPr>
        <w:t>例使 用羟氯喽约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10</w:t>
      </w:r>
      <w:r>
        <w:rPr>
          <w:color w:val="000000"/>
          <w:spacing w:val="0"/>
          <w:w w:val="100"/>
          <w:position w:val="0"/>
        </w:rPr>
        <w:t>年的患者中，肯定的视网膜毒性反应发 生率仅为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0.1%（2/2 043）,</w:t>
      </w:r>
      <w:r>
        <w:rPr>
          <w:color w:val="000000"/>
          <w:spacing w:val="0"/>
          <w:w w:val="100"/>
          <w:position w:val="0"/>
        </w:rPr>
        <w:t>肯定的和很可能的视网膜 毒性反应发生率也仅为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0.3%,</w:t>
      </w:r>
      <w:r>
        <w:rPr>
          <w:color w:val="000000"/>
          <w:spacing w:val="0"/>
          <w:w w:val="100"/>
          <w:position w:val="0"/>
        </w:rPr>
        <w:t>均远远低于氯喳的视 网膜毒性反应发生率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（P</w:t>
      </w:r>
      <w:r>
        <w:rPr>
          <w:color w:val="000000"/>
          <w:spacing w:val="0"/>
          <w:w w:val="100"/>
          <w:position w:val="0"/>
        </w:rPr>
        <w:t>均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&lt;0.01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）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另一项对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3 995 </w:t>
      </w:r>
      <w:r>
        <w:rPr>
          <w:color w:val="000000"/>
          <w:spacing w:val="0"/>
          <w:w w:val="100"/>
          <w:position w:val="0"/>
        </w:rPr>
        <w:t>例风湿性疾病患者的分析显示，肯定和很可能的与 羟氯啧有关的视网膜不良反应发生率为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0.65%</w:t>
      </w:r>
      <w:r>
        <w:rPr>
          <w:color w:val="000000"/>
          <w:spacing w:val="0"/>
          <w:w w:val="100"/>
          <w:position w:val="0"/>
        </w:rPr>
        <w:t xml:space="preserve">四。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2008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的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治疗指南㈣明确推荐，对于存在 视网膜病变高危因素的患者，羟氯喳治疗期间应每 年接受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次眼科检查，无高危因素的患者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年内无 需随访。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羟氯喳的总体安全性良好,以下患者禁用：已知 对</w:t>
      </w:r>
      <w:r>
        <w:rPr>
          <w:b/>
          <w:bCs/>
          <w:color w:val="000000"/>
          <w:spacing w:val="0"/>
          <w:w w:val="100"/>
          <w:position w:val="0"/>
        </w:rPr>
        <w:t>4-</w:t>
      </w:r>
      <w:r>
        <w:rPr>
          <w:color w:val="000000"/>
          <w:spacing w:val="0"/>
          <w:w w:val="100"/>
          <w:position w:val="0"/>
        </w:rPr>
        <w:t>氨基喳嚇类化合物过敏的患者、有眼底黄斑病 变者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  <w:sectPr>
          <w:headerReference w:type="default" r:id="rId7"/>
          <w:footerReference w:type="default" r:id="rId8"/>
          <w:footnotePr>
            <w:pos w:val="pageBottom"/>
            <w:numFmt w:val="decimal"/>
            <w:numRestart w:val="continuous"/>
          </w:footnotePr>
          <w:pgSz w:w="11900" w:h="16840"/>
          <w:pgMar w:top="1410" w:right="1083" w:bottom="316" w:left="1059" w:header="0" w:footer="3" w:gutter="0"/>
          <w:cols w:num="2" w:space="33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对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项评价抗疟药的不良事件发生率的研究进 行系统综述发现，抗疟药的不良事件发生率较低口, 主要表现为轻度的胃肠道不适和皮疹；羟氯唾相关 的不良事件发生率显著低于氯喳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（P&lt;0.01）,</w:t>
      </w:r>
      <w:r>
        <w:rPr>
          <w:color w:val="000000"/>
          <w:spacing w:val="0"/>
          <w:w w:val="100"/>
          <w:position w:val="0"/>
        </w:rPr>
        <w:t xml:space="preserve">羟氯喳相 关的因不良事件而停药的比例也显著低于氯喽（校正 的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//7?=0.62,95%（7 0.40-0.96）</w:t>
      </w:r>
      <w:r>
        <w:rPr>
          <w:color w:val="000000"/>
          <w:spacing w:val="0"/>
          <w:w w:val="100"/>
          <w:position w:val="0"/>
        </w:rPr>
        <w:t>。</w:t>
      </w:r>
      <w:r>
        <w:rPr>
          <w:i/>
          <w:iCs/>
          <w:color w:val="000000"/>
          <w:spacing w:val="0"/>
          <w:w w:val="100"/>
          <w:position w:val="0"/>
        </w:rPr>
        <w:t>与其他传统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DMARDs </w:t>
      </w:r>
      <w:r>
        <w:rPr>
          <w:color w:val="000000"/>
          <w:spacing w:val="0"/>
          <w:w w:val="100"/>
          <w:position w:val="0"/>
        </w:rPr>
        <w:t>相比，羟氯座也显示出良好的安全性，一项回顾性分 析发现，在所有常用的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中，羟氯唆相关的 因不良反应而停药的患者比例最低，仅为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</w:rPr>
        <w:t>1.8%</w:t>
      </w:r>
      <w:r>
        <w:rPr>
          <w:color w:val="000000"/>
          <w:spacing w:val="0"/>
          <w:w w:val="100"/>
          <w:position w:val="0"/>
        </w:rPr>
        <w:t xml:space="preserve">㈣。 </w:t>
      </w:r>
      <w:r>
        <w:rPr>
          <w:color w:val="000000"/>
          <w:spacing w:val="0"/>
          <w:w w:val="100"/>
          <w:position w:val="0"/>
          <w:sz w:val="18"/>
          <w:szCs w:val="18"/>
        </w:rPr>
        <w:t>整</w:t>
      </w:r>
      <w:r>
        <w:rPr>
          <w:color w:val="000000"/>
          <w:spacing w:val="0"/>
          <w:w w:val="100"/>
          <w:position w:val="0"/>
        </w:rPr>
        <w:t xml:space="preserve">理者:冷晓梅（中国医学科学院北京协和医院风湿免疫科） </w:t>
      </w:r>
      <w:r>
        <w:rPr>
          <w:color w:val="000000"/>
          <w:spacing w:val="0"/>
          <w:w w:val="100"/>
          <w:position w:val="0"/>
          <w:sz w:val="18"/>
          <w:szCs w:val="18"/>
        </w:rPr>
        <w:t>国家风湿病数据中心及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CSTAR</w:t>
      </w:r>
      <w:r>
        <w:rPr>
          <w:color w:val="000000"/>
          <w:spacing w:val="0"/>
          <w:w w:val="100"/>
          <w:position w:val="0"/>
          <w:sz w:val="18"/>
          <w:szCs w:val="18"/>
        </w:rPr>
        <w:t xml:space="preserve">专家共识组成员（按姓氏笔 </w:t>
      </w:r>
      <w:r>
        <w:rPr>
          <w:color w:val="000000"/>
          <w:spacing w:val="0"/>
          <w:w w:val="100"/>
          <w:position w:val="0"/>
        </w:rPr>
        <w:t>划月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序）：中山大学附属第三医院（古洁若）;中南大学湘雅医院（左 晓霞）;中国医学科学院北京协和医院（田新平）;吉林大学中日联谊 医院（毕黎琦）;第四军医大学西京医院（朱平）；四川大学华西医院 （刘毅）;南京鼓楼医院（孙凌云）;北京大学人民医院（苏茵）;山西医 科大学第二医院（李小峰）;中国医科大学附属第一医院（肖卫国）;浙 江大学医学院附属第二医院（吴华香）;复旦大学附属华山医院（邹和 建）;广东省人民医院（张晓）；中国医学科学院北京协和医院（张 姮）;哈尔滨医科大学附属第一医院（张志毅）;江苏省人民医院（张缪 佳）；新疆维吾尔族自治区人民医院（武丽君）；中国医学科学院北京 协和医院（赵岩）;第二军医大学附属长海医院（赵东宝）;第二军医大 学附属长征医院（徐沪济）;解放军总医院（黄烽）;卫生部北京医院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6" w:after="2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10" w:right="0" w:bottom="31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万方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color w:val="335291"/>
          <w:spacing w:val="0"/>
          <w:w w:val="100"/>
          <w:position w:val="0"/>
        </w:rPr>
        <w:t>反弱逼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  <w:rPr>
          <w:sz w:val="11"/>
          <w:szCs w:val="11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10" w:right="1083" w:bottom="316" w:left="1059" w:header="0" w:footer="3" w:gutter="0"/>
          <w:cols w:space="720"/>
          <w:noEndnote/>
          <w:rtlGutter w:val="0"/>
          <w:docGrid w:linePitch="360"/>
        </w:sectPr>
      </w:pPr>
      <w:r>
        <w:rPr>
          <w:color w:val="251C19"/>
          <w:spacing w:val="0"/>
          <w:w w:val="100"/>
          <w:position w:val="0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i/>
          <w:iCs/>
          <w:color w:val="251C19"/>
          <w:spacing w:val="0"/>
          <w:w w:val="100"/>
          <w:position w:val="0"/>
          <w:sz w:val="11"/>
          <w:szCs w:val="11"/>
          <w:lang w:val="en-US" w:eastAsia="en-US" w:bidi="en-US"/>
        </w:rPr>
        <w:t>medlive.cn</w:t>
      </w:r>
    </w:p>
    <w:p>
      <w:pPr>
        <w:pStyle w:val="Style36"/>
        <w:keepNext/>
        <w:keepLines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(黄慈波);中国医学科学院北京协和医院(曾小峰);上海交通大学 医学院附属仁济医院(鲍春德)</w:t>
      </w:r>
      <w:bookmarkEnd w:id="3"/>
      <w:bookmarkEnd w:id="4"/>
      <w:bookmarkEnd w:id="5"/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center"/>
        <w:rPr>
          <w:sz w:val="18"/>
          <w:szCs w:val="18"/>
        </w:rPr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  <w:sz w:val="18"/>
          <w:szCs w:val="18"/>
        </w:rPr>
        <w:t>参考文献</w:t>
      </w:r>
      <w:bookmarkEnd w:id="6"/>
      <w:bookmarkEnd w:id="7"/>
      <w:bookmarkEnd w:id="8"/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5" w:lineRule="exact"/>
        <w:ind w:left="420" w:right="0" w:hanging="42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  <w:lang w:val="en-US" w:eastAsia="en-US" w:bidi="en-US"/>
        </w:rPr>
        <w:t>Ruiz-Irastorza G, Ramos-Casals M, Brito-Zeron P, et al. Clinical efficacy and side effects of antimalarials in systemic lupus ery</w:t>
        <w:softHyphen/>
        <w:t xml:space="preserve">thematosus 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systematic review[J]. Ann Rheum Dis, 2010, 69: 20-28.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5" w:lineRule="exact"/>
        <w:ind w:left="420" w:right="0" w:hanging="42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  <w:lang w:val="en-US" w:eastAsia="en-US" w:bidi="en-US"/>
        </w:rPr>
        <w:t>Willis R, Seif AM, McGwin G Jr, et al. Effect of hydroxych</w:t>
        <w:softHyphen/>
        <w:t>loroquine treatment on pro-inflammatory cytokines and disease activity in SLE patients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data from LUMINA (LXXV), a multi</w:t>
        <w:softHyphen/>
        <w:t>ethnic US cohort[J]. Lupus, 2012, 21: 830-835.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5" w:lineRule="exact"/>
        <w:ind w:left="420" w:right="0" w:hanging="42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  <w:lang w:val="en-US" w:eastAsia="en-US" w:bidi="en-US"/>
        </w:rPr>
        <w:t>Akhavan PS, Su J, Lou W, et al. The early protective effect of hydroxychloroquine on the risk of cumulative damage in patients with systemic lupus erythematosus [J], J Rheumatol, 2013, 40: 831-841.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5" w:lineRule="exact"/>
        <w:ind w:left="420" w:right="0" w:hanging="42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  <w:lang w:val="en-US" w:eastAsia="en-US" w:bidi="en-US"/>
        </w:rPr>
        <w:t>Shinjo SK, Bonfa E, Wojdyla D, et al. Antimalarial treatment may have a time-dependent effect on lupus survival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data from a multinational Latin American inception cohort [J]. Arthritis Rheum,2010 , 62 ： 855-862.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5" w:lineRule="exact"/>
        <w:ind w:left="420" w:right="0" w:hanging="42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  <w:lang w:val="en-US" w:eastAsia="en-US" w:bidi="en-US"/>
        </w:rPr>
        <w:t>Clowse ME, Magder L, Witter F, et al. Hydroxychloroquine in lupus pregnancy]J]. Arthritis Rheum, 2006 , 54: 3640-3647.</w:t>
      </w:r>
    </w:p>
    <w:p>
      <w:pPr>
        <w:pStyle w:val="Style36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8" w:lineRule="exact"/>
        <w:ind w:right="0" w:hanging="420"/>
        <w:jc w:val="both"/>
        <w:rPr>
          <w:sz w:val="12"/>
          <w:szCs w:val="12"/>
        </w:rPr>
      </w:pPr>
      <w:bookmarkStart w:id="14" w:name="bookmark14"/>
      <w:bookmarkStart w:id="15" w:name="bookmark15"/>
      <w:bookmarkStart w:id="16" w:name="bookmark16"/>
      <w:bookmarkStart w:id="17" w:name="bookmark17"/>
      <w:bookmarkEnd w:id="16"/>
      <w:r>
        <w:rPr>
          <w:color w:val="000000"/>
          <w:spacing w:val="0"/>
          <w:w w:val="100"/>
          <w:position w:val="0"/>
          <w:sz w:val="17"/>
          <w:szCs w:val="17"/>
        </w:rPr>
        <w:t xml:space="preserve">章璐，马丽，林冰，等.羟氯喳治疗系统性红斑狼疮合并妊娠 </w:t>
      </w:r>
      <w:r>
        <w:rPr>
          <w:color w:val="000000"/>
          <w:spacing w:val="0"/>
          <w:w w:val="100"/>
          <w:position w:val="0"/>
          <w:sz w:val="12"/>
          <w:szCs w:val="12"/>
        </w:rPr>
        <w:t>24</w:t>
      </w:r>
      <w:r>
        <w:rPr>
          <w:color w:val="000000"/>
          <w:spacing w:val="0"/>
          <w:w w:val="100"/>
          <w:position w:val="0"/>
          <w:sz w:val="17"/>
          <w:szCs w:val="17"/>
        </w:rPr>
        <w:t>例临床研究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7"/>
          <w:szCs w:val="17"/>
        </w:rPr>
        <w:t>中华内科杂志，</w:t>
      </w:r>
      <w:r>
        <w:rPr>
          <w:color w:val="000000"/>
          <w:spacing w:val="0"/>
          <w:w w:val="100"/>
          <w:position w:val="0"/>
          <w:sz w:val="12"/>
          <w:szCs w:val="12"/>
        </w:rPr>
        <w:t xml:space="preserve">2011,50: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918-921.</w:t>
      </w:r>
      <w:bookmarkEnd w:id="14"/>
      <w:bookmarkEnd w:id="15"/>
      <w:bookmarkEnd w:id="17"/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5" w:lineRule="exact"/>
        <w:ind w:left="420" w:right="0" w:hanging="42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  <w:lang w:val="en-US" w:eastAsia="en-US" w:bidi="en-US"/>
        </w:rPr>
        <w:t>Suarez-Almazor ME, Belseck E, Shea B, et al. Antimalarials for treating rheumatoid arthritis (review )[J/CD]. Cochrane Database Syst Rev, 2000(2)： CD000959.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5" w:lineRule="exact"/>
        <w:ind w:left="420" w:right="0" w:hanging="42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  <w:lang w:val="en-US" w:eastAsia="en-US" w:bidi="en-US"/>
        </w:rPr>
        <w:t>Clegg DO, Dietz F, Duffy J, et aL Safety and efficacy of hydrox</w:t>
        <w:softHyphen/>
        <w:t>ychloroquine as maintenance therapy for rheumatoid arthritis after combination therapy with methotrexate and hydroxychloroquinefJJ. J Rheumatol, 1997, 24： 1896-1902.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2" w:val="left"/>
        </w:tabs>
        <w:bidi w:val="0"/>
        <w:spacing w:before="0" w:after="0" w:line="275" w:lineRule="exact"/>
        <w:ind w:left="420" w:right="0" w:hanging="42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  <w:lang w:val="en-US" w:eastAsia="en-US" w:bidi="en-US"/>
        </w:rPr>
        <w:t>Carmichael SJ, Beal J. Day RO, et al. Combination therapy with methotrexate and hydroxychloroquine for rheumatoid arthritis increases exfx)sure to methotrexate]J]. J Rheumatol, 2002 , 29： 2077-2083.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5" w:val="left"/>
        </w:tabs>
        <w:bidi w:val="0"/>
        <w:spacing w:before="0" w:after="0" w:line="275" w:lineRule="exact"/>
        <w:ind w:left="420" w:right="0" w:hanging="42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Dell JR, Leff R, Paulsen G. et al. Treatment of rheumatoid, arthritis with methotrexate and hydroxychloroquine, methotrexate and sulfasalazine, or a combination of the three medications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results of a two-year, randomized, double-blind, placebo-con</w:t>
        <w:softHyphen/>
        <w:t>trolled Arthritis Rheum, 2002, 46: 1164-1170.</w:t>
      </w:r>
    </w:p>
    <w:p>
      <w:pPr>
        <w:pStyle w:val="Style36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85" w:val="left"/>
        </w:tabs>
        <w:bidi w:val="0"/>
        <w:spacing w:before="0" w:after="0" w:line="276" w:lineRule="exact"/>
        <w:ind w:left="0" w:right="0" w:firstLine="0"/>
        <w:jc w:val="both"/>
        <w:rPr>
          <w:sz w:val="12"/>
          <w:szCs w:val="12"/>
        </w:rPr>
      </w:pPr>
      <w:bookmarkStart w:id="22" w:name="bookmark22"/>
      <w:bookmarkStart w:id="23" w:name="bookmark23"/>
      <w:bookmarkStart w:id="24" w:name="bookmark24"/>
      <w:bookmarkStart w:id="25" w:name="bookmark25"/>
      <w:bookmarkEnd w:id="24"/>
      <w:r>
        <w:rPr>
          <w:color w:val="000000"/>
          <w:spacing w:val="0"/>
          <w:w w:val="100"/>
          <w:position w:val="0"/>
          <w:sz w:val="17"/>
          <w:szCs w:val="17"/>
        </w:rPr>
        <w:t>中华医学会风湿病学分会.类风湿关节炎诊断及治疗指南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[J].</w:t>
      </w:r>
      <w:bookmarkEnd w:id="22"/>
      <w:bookmarkEnd w:id="23"/>
      <w:bookmarkEnd w:id="25"/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中华风湿病学杂志，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2010, 14：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265-270.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4" w:lineRule="exact"/>
        <w:ind w:left="420" w:right="0" w:hanging="42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  <w:lang w:val="en-US" w:eastAsia="en-US" w:bidi="en-US"/>
        </w:rPr>
        <w:t>Singh JA, Furst DE, Bharat A, et al. 2012 update of the 2008 American College of Rheumatology recommendations for the use of disease-modifying antirheumatic drugs and biologic agents in the treatment of rheumatoid arthritis[J]. Arthritis Care Res (Ho</w:t>
        <w:softHyphen/>
        <w:t>boken ),2012 , 64 ： 625-639.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4" w:lineRule="exact"/>
        <w:ind w:left="420" w:right="0" w:hanging="42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  <w:lang w:val="en-US" w:eastAsia="en-US" w:bidi="en-US"/>
        </w:rPr>
        <w:t>The Canadian Hydroxychloroquine Study Group. A randomized study of the effect of withdrawing hydroxychlo-roquine sulfate in systemic lupus erythematosus[J], N Engl J Med, 1991, 324: 150-154.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4" w:lineRule="exact"/>
        <w:ind w:left="420" w:right="0" w:hanging="42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  <w:lang w:val="en-US" w:eastAsia="en-US" w:bidi="en-US"/>
        </w:rPr>
        <w:t>Pons-Estel GJ, Alarcon GS. McGwin G Jr, et al. Protective effect of hydroxychloroquine on renal damage in patients with lupus nephritis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LXV, data from a multiethnic US cohort [J]. Arthritis Rheum, 2009, 61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830-839.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4" w:lineRule="exact"/>
        <w:ind w:left="420" w:right="0" w:hanging="42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  <w:lang w:val="en-US" w:eastAsia="en-US" w:bidi="en-US"/>
        </w:rPr>
        <w:t>Alarcon GS, McGwin G, Bertoli AM, et al. Effect of hydro</w:t>
        <w:softHyphen/>
        <w:t>xychloroquine on the survival of patients with systemic lupus erythematosus: data from LUMINA, a multiethnic US cohort (LUMINAL)[J]. Ann Rheum Dis, 2007, 66: 1168-1172.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4" w:lineRule="exact"/>
        <w:ind w:left="420" w:right="0" w:hanging="42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  <w:lang w:val="en-US" w:eastAsia="en-US" w:bidi="en-US"/>
        </w:rPr>
        <w:t>Clark P, Casas E, Tugwell P, et al. Hydroxychloroquine com</w:t>
        <w:softHyphen/>
        <w:t>pared with placebo in rheumatoid arthritis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 randomized con</w:t>
        <w:softHyphen/>
        <w:t>trolled Ann Intern Med, 1993, 119: 1067-1071.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4" w:lineRule="exact"/>
        <w:ind w:left="420" w:right="0" w:hanging="42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  <w:lang w:val="en-US" w:eastAsia="en-US" w:bidi="en-US"/>
        </w:rPr>
        <w:t>Davis MJ, Dawes PT, Fowler PD, et al. Should disease-modi</w:t>
        <w:softHyphen/>
        <w:t>fying agents be used in mild rheumatoid arthritis [J]. Br J Rheumatol, 1991, 30: 451-454.</w:t>
      </w:r>
    </w:p>
    <w:p>
      <w:pPr>
        <w:pStyle w:val="Style36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4" w:lineRule="exact"/>
        <w:ind w:right="0" w:hanging="420"/>
        <w:jc w:val="both"/>
        <w:rPr>
          <w:sz w:val="12"/>
          <w:szCs w:val="12"/>
        </w:rPr>
      </w:pPr>
      <w:bookmarkStart w:id="32" w:name="bookmark32"/>
      <w:bookmarkStart w:id="33" w:name="bookmark33"/>
      <w:bookmarkStart w:id="34" w:name="bookmark34"/>
      <w:bookmarkStart w:id="35" w:name="bookmark35"/>
      <w:bookmarkEnd w:id="34"/>
      <w:r>
        <w:rPr>
          <w:color w:val="000000"/>
          <w:spacing w:val="0"/>
          <w:w w:val="100"/>
          <w:position w:val="0"/>
          <w:sz w:val="17"/>
          <w:szCs w:val="17"/>
        </w:rPr>
        <w:t xml:space="preserve">中华医学会风湿病学分会.系统性红斑狼疮诊断及治疗指南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7"/>
          <w:szCs w:val="17"/>
        </w:rPr>
        <w:t>中华风湿病学杂志，</w:t>
      </w:r>
      <w:r>
        <w:rPr>
          <w:color w:val="000000"/>
          <w:spacing w:val="0"/>
          <w:w w:val="100"/>
          <w:position w:val="0"/>
          <w:sz w:val="12"/>
          <w:szCs w:val="12"/>
        </w:rPr>
        <w:t xml:space="preserve">2010, 14：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342-346.</w:t>
      </w:r>
      <w:bookmarkEnd w:id="32"/>
      <w:bookmarkEnd w:id="33"/>
      <w:bookmarkEnd w:id="35"/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5" w:lineRule="exact"/>
        <w:ind w:left="420" w:right="0" w:hanging="42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  <w:lang w:val="en-US" w:eastAsia="en-US" w:bidi="en-US"/>
        </w:rPr>
        <w:t>Wolfe F, Marmor MF. Rates and predictors of hydroxychloro</w:t>
        <w:softHyphen/>
        <w:t>quine retinal toxicity in patients with rheumatoid arthritis and systemic lupus erythematosus [J], Arthritis Care Res (Hoboken), 2010, 62: 775-784.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5" w:lineRule="exact"/>
        <w:ind w:left="420" w:right="0" w:hanging="42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  <w:lang w:val="en-US" w:eastAsia="en-US" w:bidi="en-US"/>
        </w:rPr>
        <w:t>Saag KG, Teng GG, Patkar NM, et al. American College of Rheumatology 2008 recommendations for the use of nonbiologic and biologic disease-modifying antirheumatic drugs in rheumatoid arthritis[JJ. Arthritis Rheum, 2008, 59： 762-784.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5" w:val="left"/>
        </w:tabs>
        <w:bidi w:val="0"/>
        <w:spacing w:before="0" w:after="0" w:line="275" w:lineRule="exact"/>
        <w:ind w:left="420" w:right="0" w:hanging="42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  <w:lang w:val="en-US" w:eastAsia="en-US" w:bidi="en-US"/>
        </w:rPr>
        <w:t>Mittal N, Shanna A, Jose V, et al. Causes of DMARD withdraw</w:t>
        <w:softHyphen/>
        <w:t>al following ADR within 6 months of initiation among Indian rheumatoid arthritis patients[J]. Rheumatol Int, 2012, 32: 743</w:t>
        <w:softHyphen/>
        <w:t>748.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75" w:lineRule="exact"/>
        <w:ind w:left="0" w:right="360" w:firstLine="0"/>
        <w:jc w:val="right"/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(收稿日期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2013-08-29)</w:t>
      </w:r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274" w:lineRule="exact"/>
        <w:ind w:left="0" w:right="360" w:firstLine="0"/>
        <w:jc w:val="right"/>
        <w:sectPr>
          <w:headerReference w:type="default" r:id="rId9"/>
          <w:footerReference w:type="default" r:id="rId10"/>
          <w:footnotePr>
            <w:pos w:val="pageBottom"/>
            <w:numFmt w:val="decimal"/>
            <w:numRestart w:val="continuous"/>
          </w:footnotePr>
          <w:pgSz w:w="11900" w:h="16840"/>
          <w:pgMar w:top="1402" w:right="905" w:bottom="312" w:left="1241" w:header="0" w:footer="3" w:gutter="0"/>
          <w:cols w:num="2" w:space="341"/>
          <w:noEndnote/>
          <w:rtlGutter w:val="0"/>
          <w:docGrid w:linePitch="360"/>
        </w:sectPr>
      </w:pPr>
      <w:bookmarkStart w:id="39" w:name="bookmark39"/>
      <w:bookmarkStart w:id="40" w:name="bookmark40"/>
      <w:bookmarkStart w:id="41" w:name="bookmark41"/>
      <w:r>
        <w:rPr>
          <w:color w:val="000000"/>
          <w:spacing w:val="0"/>
          <w:w w:val="100"/>
          <w:position w:val="0"/>
        </w:rPr>
        <w:t>(本文编辑:臧长海)</w:t>
      </w:r>
      <w:bookmarkEnd w:id="39"/>
      <w:bookmarkEnd w:id="40"/>
      <w:bookmarkEnd w:id="41"/>
    </w:p>
    <w:p>
      <w:pPr>
        <w:widowControl w:val="0"/>
        <w:spacing w:before="51" w:after="5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02" w:right="0" w:bottom="31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•消息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•</w:t>
      </w:r>
    </w:p>
    <w:p>
      <w:pPr>
        <w:pStyle w:val="Style43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bookmarkStart w:id="42" w:name="bookmark42"/>
      <w:bookmarkStart w:id="43" w:name="bookmark43"/>
      <w:bookmarkStart w:id="44" w:name="bookmark44"/>
      <w:r>
        <w:rPr>
          <w:color w:val="000000"/>
          <w:spacing w:val="0"/>
          <w:w w:val="100"/>
          <w:position w:val="0"/>
        </w:rPr>
        <w:t>本刊临床病例评析类文章征稿</w:t>
      </w:r>
      <w:bookmarkEnd w:id="42"/>
      <w:bookmarkEnd w:id="43"/>
      <w:bookmarkEnd w:id="44"/>
    </w:p>
    <w:p>
      <w:pPr>
        <w:pStyle w:val="Style38"/>
        <w:keepNext/>
        <w:keepLines/>
        <w:widowControl w:val="0"/>
        <w:shd w:val="clear" w:color="auto" w:fill="auto"/>
        <w:bidi w:val="0"/>
        <w:spacing w:before="0"/>
        <w:ind w:left="0" w:right="0" w:firstLine="440"/>
        <w:jc w:val="both"/>
      </w:pPr>
      <w:bookmarkStart w:id="45" w:name="bookmark45"/>
      <w:bookmarkStart w:id="46" w:name="bookmark46"/>
      <w:bookmarkStart w:id="47" w:name="bookmark47"/>
      <w:r>
        <w:rPr>
          <w:color w:val="000000"/>
          <w:spacing w:val="0"/>
          <w:w w:val="100"/>
          <w:position w:val="0"/>
        </w:rPr>
        <w:t>我刊自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“临</w:t>
      </w:r>
      <w:r>
        <w:rPr>
          <w:color w:val="000000"/>
          <w:spacing w:val="0"/>
          <w:w w:val="100"/>
          <w:position w:val="0"/>
        </w:rPr>
        <w:t>床研究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”栏目</w:t>
      </w:r>
      <w:r>
        <w:rPr>
          <w:color w:val="000000"/>
          <w:spacing w:val="0"/>
          <w:w w:val="100"/>
          <w:position w:val="0"/>
        </w:rPr>
        <w:t>中增加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“临</w:t>
      </w:r>
      <w:r>
        <w:rPr>
          <w:color w:val="000000"/>
          <w:spacing w:val="0"/>
          <w:w w:val="100"/>
          <w:position w:val="0"/>
        </w:rPr>
        <w:t>床病例评析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”类型</w:t>
      </w:r>
      <w:r>
        <w:rPr>
          <w:color w:val="000000"/>
          <w:spacing w:val="0"/>
          <w:w w:val="100"/>
          <w:position w:val="0"/>
        </w:rPr>
        <w:t>的文章，内容要求高于本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zh-CN" w:eastAsia="zh-CN" w:bidi="zh-CN"/>
        </w:rPr>
        <w:t>己有栏</w:t>
      </w:r>
      <w:r>
        <w:rPr>
          <w:color w:val="000000"/>
          <w:spacing w:val="0"/>
          <w:w w:val="100"/>
          <w:position w:val="0"/>
        </w:rPr>
        <w:t>目——临床病例（病 理）讨论文章，并经专家审稿通过。格式同临床研究，包含中英文摘要，中英文关键词,正文包括引言、病历摘要、诊治启示或专家 分析和结论与评析，并附有必要的参考文献。欢迎广大读者、作者踊跃投稿。</w:t>
      </w:r>
      <w:bookmarkEnd w:id="45"/>
      <w:bookmarkEnd w:id="46"/>
      <w:bookmarkEnd w:id="47"/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540"/>
        <w:ind w:left="0" w:right="500" w:firstLine="0"/>
        <w:jc w:val="right"/>
      </w:pPr>
      <w:bookmarkStart w:id="48" w:name="bookmark48"/>
      <w:bookmarkStart w:id="49" w:name="bookmark49"/>
      <w:bookmarkStart w:id="50" w:name="bookmark50"/>
      <w:r>
        <w:rPr>
          <w:color w:val="000000"/>
          <w:spacing w:val="0"/>
          <w:w w:val="100"/>
          <w:position w:val="0"/>
        </w:rPr>
        <w:t>本刊编辑部</w:t>
      </w:r>
      <w:bookmarkEnd w:id="48"/>
      <w:bookmarkEnd w:id="49"/>
      <w:bookmarkEnd w:id="50"/>
    </w:p>
    <w:p>
      <w:pPr>
        <w:pStyle w:val="Style4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51" w:name="bookmark51"/>
      <w:bookmarkStart w:id="52" w:name="bookmark52"/>
      <w:bookmarkStart w:id="53" w:name="bookmark53"/>
      <w:r>
        <w:rPr>
          <w:color w:val="000000"/>
          <w:spacing w:val="0"/>
          <w:w w:val="100"/>
          <w:position w:val="0"/>
        </w:rPr>
        <w:t>万方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color w:val="335291"/>
          <w:spacing w:val="0"/>
          <w:w w:val="100"/>
          <w:position w:val="0"/>
        </w:rPr>
        <w:t>區豚雇</w:t>
      </w:r>
      <w:bookmarkEnd w:id="51"/>
      <w:bookmarkEnd w:id="52"/>
      <w:bookmarkEnd w:id="53"/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  <w:rPr>
          <w:sz w:val="11"/>
          <w:szCs w:val="11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02" w:right="905" w:bottom="312" w:left="115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i/>
          <w:iCs/>
          <w:color w:val="335291"/>
          <w:spacing w:val="0"/>
          <w:w w:val="100"/>
          <w:position w:val="0"/>
          <w:sz w:val="11"/>
          <w:szCs w:val="11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b/>
          <w:bCs/>
          <w:i/>
          <w:iCs/>
          <w:color w:val="251C19"/>
          <w:spacing w:val="0"/>
          <w:w w:val="100"/>
          <w:position w:val="0"/>
          <w:sz w:val="11"/>
          <w:szCs w:val="11"/>
          <w:lang w:val="en-US" w:eastAsia="en-US" w:bidi="en-US"/>
        </w:rPr>
        <w:t>medlive.cn</w:t>
      </w:r>
    </w:p>
    <w:p>
      <w:pPr>
        <w:pStyle w:val="Style2"/>
        <w:keepNext w:val="0"/>
        <w:keepLines w:val="0"/>
        <w:framePr w:w="3413" w:h="1051" w:wrap="none" w:hAnchor="page" w:x="1396" w:y="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fldChar w:fldCharType="begin"/>
      </w:r>
      <w:r>
        <w:rPr/>
        <w:instrText> HYPERLINK "http://d.g.wanfangdata.com.cn/Periodical_zhfsbx98201403002.aspx" </w:instrText>
      </w:r>
      <w:r>
        <w:fldChar w:fldCharType="separate"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羟氯喹治疗风湿性疾病专家共识</w:t>
      </w:r>
      <w:r>
        <w:fldChar w:fldCharType="end"/>
      </w:r>
    </w:p>
    <w:p>
      <w:pPr>
        <w:pStyle w:val="Style2"/>
        <w:keepNext w:val="0"/>
        <w:keepLines w:val="0"/>
        <w:framePr w:w="3413" w:h="1051" w:wrap="none" w:hAnchor="page" w:x="1396" w:y="255"/>
        <w:widowControl w:val="0"/>
        <w:shd w:val="clear" w:color="auto" w:fill="auto"/>
        <w:bidi w:val="0"/>
        <w:spacing w:before="0" w:after="0" w:line="240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作者： 作者单位：</w:t>
      </w:r>
    </w:p>
    <w:p>
      <w:pPr>
        <w:pStyle w:val="Style2"/>
        <w:keepNext w:val="0"/>
        <w:keepLines w:val="0"/>
        <w:framePr w:w="3413" w:h="1051" w:wrap="none" w:hAnchor="page" w:x="1396" w:y="255"/>
        <w:widowControl w:val="0"/>
        <w:shd w:val="clear" w:color="auto" w:fill="auto"/>
        <w:bidi w:val="0"/>
        <w:spacing w:before="0" w:after="0" w:line="240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刊名：</w:t>
      </w:r>
    </w:p>
    <w:p>
      <w:pPr>
        <w:pStyle w:val="Style2"/>
        <w:keepNext w:val="0"/>
        <w:keepLines w:val="0"/>
        <w:framePr w:w="2827" w:h="211" w:wrap="none" w:hAnchor="page" w:x="3229" w:y="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fldChar w:fldCharType="begin"/>
      </w:r>
      <w:r>
        <w:rPr/>
        <w:instrText> HYPERLINK "http://s.g.wanfangdata.com.cn/Paper.aspx?q=Creator%3a%22%e5%9b%bd%e5%ae%b6%e9%a3%8e%e6%b9%bf%e7%97%85%e6%95%b0%e6%8d%ae%e4%b8%ad%e5%bf%83%e5%8f%8aCSTAR%e4%b8%93%e5%ae%b6%e5%85%b1%e8%af%86%e7%bb%84%22+DBID%3aWF_QK"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4"/>
          <w:szCs w:val="14"/>
          <w:u w:val="single"/>
        </w:rPr>
        <w:t>国家风湿病数据中心及</w:t>
      </w:r>
      <w:r>
        <w:rPr>
          <w:rFonts w:ascii="Times New Roman" w:eastAsia="Times New Roman" w:hAnsi="Times New Roman" w:cs="Times New Roman"/>
          <w:color w:val="034481"/>
          <w:spacing w:val="0"/>
          <w:w w:val="100"/>
          <w:position w:val="0"/>
          <w:sz w:val="16"/>
          <w:szCs w:val="16"/>
          <w:u w:val="single"/>
          <w:lang w:val="en-US" w:eastAsia="en-US" w:bidi="en-US"/>
        </w:rPr>
        <w:t>CSTAR</w:t>
      </w:r>
      <w:r>
        <w:rPr>
          <w:color w:val="034481"/>
          <w:spacing w:val="0"/>
          <w:w w:val="100"/>
          <w:position w:val="0"/>
          <w:sz w:val="14"/>
          <w:szCs w:val="14"/>
          <w:u w:val="single"/>
        </w:rPr>
        <w:t>专家共识组</w:t>
      </w:r>
      <w:r>
        <w:fldChar w:fldCharType="end"/>
      </w:r>
    </w:p>
    <w:p>
      <w:pPr>
        <w:pStyle w:val="Style2"/>
        <w:keepNext w:val="0"/>
        <w:keepLines w:val="0"/>
        <w:framePr w:w="888" w:h="499" w:wrap="none" w:hAnchor="page" w:x="1405" w:y="1369"/>
        <w:widowControl w:val="0"/>
        <w:shd w:val="clear" w:color="auto" w:fill="auto"/>
        <w:bidi w:val="0"/>
        <w:spacing w:before="0" w:after="0" w:line="240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英文刊名： 年，卷（期）:</w:t>
      </w:r>
    </w:p>
    <w:p>
      <w:pPr>
        <w:pStyle w:val="Style2"/>
        <w:keepNext w:val="0"/>
        <w:keepLines w:val="0"/>
        <w:framePr w:w="2525" w:h="499" w:wrap="none" w:hAnchor="page" w:x="3210" w:y="112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30" w:lineRule="exact"/>
        <w:ind w:left="0" w:right="0" w:firstLine="0"/>
        <w:jc w:val="left"/>
        <w:rPr>
          <w:sz w:val="16"/>
          <w:szCs w:val="16"/>
        </w:rPr>
      </w:pPr>
      <w:r>
        <w:fldChar w:fldCharType="begin"/>
      </w:r>
      <w:r>
        <w:rPr/>
        <w:instrText> HYPERLINK "http://c.g.wanfangdata.com.cn/periodical-zhfsbx98.aspx"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4"/>
          <w:szCs w:val="14"/>
          <w:u w:val="single"/>
        </w:rPr>
        <w:t>中华风湿病学杂志</w:t>
      </w:r>
      <w:r>
        <w:fldChar w:fldCharType="end"/>
      </w:r>
      <w:r>
        <w:rPr>
          <w:b/>
          <w:bCs/>
          <w:color w:val="902F84"/>
          <w:spacing w:val="0"/>
          <w:w w:val="100"/>
          <w:position w:val="0"/>
          <w:sz w:val="14"/>
          <w:szCs w:val="14"/>
          <w:lang w:val="en-US" w:eastAsia="en-US" w:bidi="en-US"/>
        </w:rPr>
        <w:t xml:space="preserve">L </w:t>
      </w:r>
      <w:r>
        <w:rPr>
          <w:b/>
          <w:bCs/>
          <w:color w:val="902F84"/>
          <w:spacing w:val="0"/>
          <w:w w:val="100"/>
          <w:position w:val="0"/>
          <w:sz w:val="14"/>
          <w:szCs w:val="14"/>
          <w:vertAlign w:val="superscript"/>
        </w:rPr>
        <w:t xml:space="preserve">11 </w:t>
      </w:r>
      <w:r>
        <w:rPr>
          <w:b/>
          <w:bCs/>
          <w:color w:val="817443"/>
          <w:spacing w:val="0"/>
          <w:w w:val="100"/>
          <w:position w:val="0"/>
          <w:sz w:val="14"/>
          <w:szCs w:val="14"/>
          <w:u w:val="single"/>
          <w:vertAlign w:val="superscript"/>
        </w:rPr>
        <w:t>:</w:t>
      </w:r>
      <w:r>
        <w:rPr>
          <w:b/>
          <w:bCs/>
          <w:color w:val="817443"/>
          <w:spacing w:val="0"/>
          <w:w w:val="100"/>
          <w:position w:val="0"/>
          <w:sz w:val="14"/>
          <w:szCs w:val="14"/>
        </w:rPr>
        <w:t>1</w:t>
      </w:r>
      <w:r>
        <w:rPr>
          <w:b/>
          <w:bCs/>
          <w:color w:val="817443"/>
          <w:spacing w:val="0"/>
          <w:w w:val="100"/>
          <w:position w:val="0"/>
          <w:sz w:val="14"/>
          <w:szCs w:val="14"/>
          <w:u w:val="single"/>
          <w:vertAlign w:val="superscript"/>
        </w:rPr>
        <w:t>!</w:t>
      </w:r>
      <w:r>
        <w:rPr>
          <w:b/>
          <w:bCs/>
          <w:color w:val="655C8E"/>
          <w:spacing w:val="0"/>
          <w:w w:val="100"/>
          <w:position w:val="0"/>
          <w:sz w:val="14"/>
          <w:szCs w:val="14"/>
          <w:u w:val="single"/>
          <w:vertAlign w:val="superscript"/>
        </w:rPr>
        <w:t>，!?</w:t>
      </w:r>
      <w:r>
        <w:rPr>
          <w:b/>
          <w:bCs/>
          <w:color w:val="655C8E"/>
          <w:spacing w:val="0"/>
          <w:w w:val="100"/>
          <w:position w:val="0"/>
          <w:sz w:val="14"/>
          <w:szCs w:val="14"/>
        </w:rPr>
        <w:t xml:space="preserve"> </w:t>
      </w:r>
      <w:r>
        <w:rPr>
          <w:b/>
          <w:bCs/>
          <w:color w:val="817443"/>
          <w:spacing w:val="0"/>
          <w:w w:val="100"/>
          <w:position w:val="0"/>
          <w:sz w:val="14"/>
          <w:szCs w:val="14"/>
        </w:rPr>
        <w:t xml:space="preserve">I </w:t>
      </w:r>
      <w:r>
        <w:fldChar w:fldCharType="begin"/>
      </w:r>
      <w:r>
        <w:rPr/>
        <w:instrText> HYPERLINK "http://c.g.wanfangdata.com.cn/periodical-zhfsbx98.aspx"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34481"/>
          <w:spacing w:val="0"/>
          <w:w w:val="100"/>
          <w:position w:val="0"/>
          <w:sz w:val="16"/>
          <w:szCs w:val="16"/>
          <w:lang w:val="en-US" w:eastAsia="en-US" w:bidi="en-US"/>
        </w:rPr>
        <w:t>Chinese Journal of Rheumatology</w:t>
      </w:r>
      <w:r>
        <w:fldChar w:fldCharType="end"/>
      </w:r>
    </w:p>
    <w:p>
      <w:pPr>
        <w:pStyle w:val="Style2"/>
        <w:keepNext w:val="0"/>
        <w:keepLines w:val="0"/>
        <w:framePr w:w="840" w:h="202" w:wrap="none" w:hAnchor="page" w:x="3215" w:y="16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2014,18(3)</w:t>
      </w:r>
    </w:p>
    <w:p>
      <w:pPr>
        <w:pStyle w:val="Style2"/>
        <w:keepNext w:val="0"/>
        <w:keepLines w:val="0"/>
        <w:framePr w:w="5880" w:h="206" w:wrap="none" w:hAnchor="page" w:x="1405" w:y="26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 xml:space="preserve">本文链接： </w:t>
      </w:r>
      <w:r>
        <w:fldChar w:fldCharType="begin"/>
      </w:r>
      <w:r>
        <w:rPr/>
        <w:instrText> HYPERLINK "http://d.g.wanfangdata.com.cn/Periodical_zhfsbx98201403002.aspx"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34481"/>
          <w:spacing w:val="0"/>
          <w:w w:val="100"/>
          <w:position w:val="0"/>
          <w:sz w:val="16"/>
          <w:szCs w:val="16"/>
          <w:lang w:val="en-US" w:eastAsia="en-US" w:bidi="en-US"/>
        </w:rPr>
        <w:t>http://d.g.wanfangdata.com.cn/Periodical</w:t>
      </w:r>
      <w:r>
        <w:fldChar w:fldCharType="end"/>
      </w:r>
      <w:r>
        <w:rPr>
          <w:rFonts w:ascii="Times New Roman" w:eastAsia="Times New Roman" w:hAnsi="Times New Roman" w:cs="Times New Roman"/>
          <w:color w:val="034481"/>
          <w:spacing w:val="0"/>
          <w:w w:val="100"/>
          <w:position w:val="0"/>
          <w:sz w:val="16"/>
          <w:szCs w:val="16"/>
          <w:lang w:val="en-US" w:eastAsia="en-US" w:bidi="en-US"/>
        </w:rPr>
        <w:t>_zhfsbx98201403002.aspx</w:t>
      </w:r>
    </w:p>
    <w:p>
      <w:pPr>
        <w:pStyle w:val="Style59"/>
        <w:keepNext/>
        <w:keepLines/>
        <w:framePr w:w="1968" w:h="499" w:wrap="none" w:hAnchor="page" w:x="868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rPr/>
        <w:instrText> HYPERLINK "http://g.wanfangdata.com.cn/" </w:instrText>
      </w:r>
      <w:r>
        <w:fldChar w:fldCharType="separate"/>
      </w:r>
      <w:bookmarkStart w:id="54" w:name="bookmark54"/>
      <w:bookmarkStart w:id="55" w:name="bookmark55"/>
      <w:bookmarkStart w:id="56" w:name="bookmark56"/>
      <w:r>
        <w:rPr>
          <w:color w:val="A3223C"/>
          <w:spacing w:val="0"/>
          <w:w w:val="100"/>
          <w:position w:val="0"/>
        </w:rPr>
        <w:t>田万</w:t>
      </w:r>
      <w:r>
        <w:rPr>
          <w:rFonts w:ascii="Times New Roman" w:eastAsia="Times New Roman" w:hAnsi="Times New Roman" w:cs="Times New Roman"/>
          <w:color w:val="034481"/>
          <w:spacing w:val="0"/>
          <w:w w:val="100"/>
          <w:position w:val="0"/>
          <w:sz w:val="30"/>
          <w:szCs w:val="30"/>
          <w:lang w:val="en-US" w:eastAsia="en-US" w:bidi="en-US"/>
        </w:rPr>
        <w:t>F5</w:t>
      </w:r>
      <w:r>
        <w:rPr>
          <w:color w:val="034481"/>
          <w:spacing w:val="0"/>
          <w:w w:val="100"/>
          <w:position w:val="0"/>
        </w:rPr>
        <w:t>甄据</w:t>
      </w:r>
      <w:r>
        <w:rPr>
          <w:spacing w:val="0"/>
          <w:w w:val="100"/>
          <w:position w:val="0"/>
        </w:rPr>
        <w:t>槌皿</w:t>
      </w:r>
      <w:bookmarkEnd w:id="54"/>
      <w:bookmarkEnd w:id="55"/>
      <w:bookmarkEnd w:id="56"/>
      <w:r>
        <w:fldChar w:fldCharType="end"/>
      </w:r>
    </w:p>
    <w:p>
      <w:pPr>
        <w:pStyle w:val="Style2"/>
        <w:keepNext w:val="0"/>
        <w:keepLines w:val="0"/>
        <w:framePr w:w="1968" w:h="499" w:wrap="none" w:hAnchor="page" w:x="8687" w:y="1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EA1922"/>
          <w:spacing w:val="0"/>
          <w:w w:val="100"/>
          <w:position w:val="0"/>
          <w:sz w:val="10"/>
          <w:szCs w:val="10"/>
          <w:lang w:val="en-US" w:eastAsia="en-US" w:bidi="en-US"/>
        </w:rPr>
        <w:t xml:space="preserve">LJJ </w:t>
      </w:r>
      <w:r>
        <w:rPr>
          <w:rFonts w:ascii="Times New Roman" w:eastAsia="Times New Roman" w:hAnsi="Times New Roman" w:cs="Times New Roman"/>
          <w:b/>
          <w:bCs/>
          <w:color w:val="7E7D8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WANFANG DATA </w:t>
      </w:r>
      <w:r>
        <w:rPr>
          <w:color w:val="4779C7"/>
          <w:spacing w:val="0"/>
          <w:w w:val="100"/>
          <w:position w:val="0"/>
        </w:rPr>
        <w:t>*献链接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1" w:line="1" w:lineRule="exact"/>
      </w:pPr>
    </w:p>
    <w:p>
      <w:pPr>
        <w:widowControl w:val="0"/>
        <w:spacing w:line="1" w:lineRule="exact"/>
      </w:pPr>
    </w:p>
    <w:sectPr>
      <w:headerReference w:type="default" r:id="rId11"/>
      <w:footerReference w:type="default" r:id="rId12"/>
      <w:footnotePr>
        <w:pos w:val="pageBottom"/>
        <w:numFmt w:val="decimal"/>
        <w:numRestart w:val="continuous"/>
      </w:footnotePr>
      <w:pgSz w:w="11900" w:h="16840"/>
      <w:pgMar w:top="459" w:right="872" w:bottom="652" w:left="1395" w:header="31" w:footer="3" w:gutter="0"/>
      <w:pgNumType w:start="4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5689600</wp:posOffset>
              </wp:positionH>
              <wp:positionV relativeFrom="page">
                <wp:posOffset>10215880</wp:posOffset>
              </wp:positionV>
              <wp:extent cx="1313815" cy="1644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48.pt;margin-top:804.39999999999998pt;width:103.45pt;height:12.9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1455420</wp:posOffset>
              </wp:positionH>
              <wp:positionV relativeFrom="page">
                <wp:posOffset>10401935</wp:posOffset>
              </wp:positionV>
              <wp:extent cx="368935" cy="4254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935" cy="425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 xml:space="preserve">'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51C19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14.60000000000001pt;margin-top:819.05000000000007pt;width:29.050000000000001pt;height:3.35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 xml:space="preserve">'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51C19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5680075</wp:posOffset>
              </wp:positionH>
              <wp:positionV relativeFrom="page">
                <wp:posOffset>10270490</wp:posOffset>
              </wp:positionV>
              <wp:extent cx="1316990" cy="16129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6990" cy="1612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447.25pt;margin-top:808.70000000000005pt;width:103.7pt;height:12.7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5698490</wp:posOffset>
              </wp:positionH>
              <wp:positionV relativeFrom="page">
                <wp:posOffset>10260330</wp:posOffset>
              </wp:positionV>
              <wp:extent cx="1316990" cy="164465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699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448.69999999999999pt;margin-top:807.89999999999998pt;width:103.7pt;height:12.95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5689600</wp:posOffset>
              </wp:positionH>
              <wp:positionV relativeFrom="page">
                <wp:posOffset>10215880</wp:posOffset>
              </wp:positionV>
              <wp:extent cx="1313815" cy="16446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448.pt;margin-top:804.39999999999998pt;width:103.45pt;height:12.95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1455420</wp:posOffset>
              </wp:positionH>
              <wp:positionV relativeFrom="page">
                <wp:posOffset>10401935</wp:posOffset>
              </wp:positionV>
              <wp:extent cx="368935" cy="42545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8935" cy="425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35291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 xml:space="preserve">'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51C19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114.60000000000001pt;margin-top:819.05000000000007pt;width:29.050000000000001pt;height:3.350000000000000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35291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 xml:space="preserve">'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51C19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824865</wp:posOffset>
              </wp:positionH>
              <wp:positionV relativeFrom="page">
                <wp:posOffset>648335</wp:posOffset>
              </wp:positionV>
              <wp:extent cx="6111240" cy="11557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124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2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・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中华风湿病学杂志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2014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18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en-US" w:eastAsia="en-US" w:bidi="en-US"/>
                            </w:rPr>
                            <w:t xml:space="preserve">Chin J Rheumatol, March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2014,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en-US" w:eastAsia="en-US" w:bidi="en-US"/>
                            </w:rPr>
                            <w:t>Vol. 18, No. 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4.950000000000003pt;margin-top:51.050000000000004pt;width:481.19999999999999pt;height:9.09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2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・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中华风湿病学杂志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2014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18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en-US" w:eastAsia="en-US" w:bidi="en-US"/>
                      </w:rPr>
                      <w:t xml:space="preserve">Chin J Rheumatol, March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2014,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en-US" w:eastAsia="en-US" w:bidi="en-US"/>
                      </w:rPr>
                      <w:t>Vol. 18, No.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693420</wp:posOffset>
              </wp:positionH>
              <wp:positionV relativeFrom="page">
                <wp:posOffset>547370</wp:posOffset>
              </wp:positionV>
              <wp:extent cx="6108065" cy="12827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0806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1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中华风湿病学杂志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2014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18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en-US" w:eastAsia="en-US" w:bidi="en-US"/>
                            </w:rPr>
                            <w:t xml:space="preserve">Chin J Rheumatol, Mareh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2014,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en-US" w:eastAsia="en-US" w:bidi="en-US"/>
                            </w:rPr>
                            <w:t>Vol. 18, No. 3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・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54.600000000000001pt;margin-top:43.100000000000001pt;width:480.94999999999999pt;height:10.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1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中华风湿病学杂志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2014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18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en-US" w:eastAsia="en-US" w:bidi="en-US"/>
                      </w:rPr>
                      <w:t xml:space="preserve">Chin J Rheumatol, Mareh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2014,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en-US" w:eastAsia="en-US" w:bidi="en-US"/>
                      </w:rPr>
                      <w:t>Vol. 18, No. 3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693420</wp:posOffset>
              </wp:positionH>
              <wp:positionV relativeFrom="page">
                <wp:posOffset>681355</wp:posOffset>
              </wp:positionV>
              <wp:extent cx="4001770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00177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600000000000001pt;margin-top:53.649999999999999pt;width:315.1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542925</wp:posOffset>
              </wp:positionV>
              <wp:extent cx="6108065" cy="12192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0806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1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中华风湿病学杂志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2014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18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en-US" w:eastAsia="en-US" w:bidi="en-US"/>
                            </w:rPr>
                            <w:t xml:space="preserve">Chin J Rheumatol, March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2014,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zh-TW" w:eastAsia="zh-TW" w:bidi="zh-TW"/>
                            </w:rPr>
                            <w:t xml:space="preserve">18,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u w:val="single"/>
                              <w:lang w:val="en-US" w:eastAsia="en-US" w:bidi="en-US"/>
                            </w:rPr>
                            <w:t>No. 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66.599999999999994pt;margin-top:42.75pt;width:480.94999999999999pt;height:9.5999999999999996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1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中华风湿病学杂志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2014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18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en-US" w:eastAsia="en-US" w:bidi="en-US"/>
                      </w:rPr>
                      <w:t xml:space="preserve">Chin J Rheumatol, March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2014,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zh-TW" w:eastAsia="zh-TW" w:bidi="zh-TW"/>
                      </w:rPr>
                      <w:t xml:space="preserve">18,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2"/>
                        <w:szCs w:val="12"/>
                        <w:u w:val="single"/>
                        <w:lang w:val="en-US" w:eastAsia="en-US" w:bidi="en-US"/>
                      </w:rPr>
                      <w:t>No.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4">
    <w:name w:val="Heading #1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6">
    <w:name w:val="Body text|2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19">
    <w:name w:val="Body text|3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2">
    <w:name w:val="Table caption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27">
    <w:name w:val="Body text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CharStyle37">
    <w:name w:val="Heading #4|1_"/>
    <w:basedOn w:val="DefaultParagraphFont"/>
    <w:link w:val="Style36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39">
    <w:name w:val="Heading #5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44">
    <w:name w:val="Heading #3|1_"/>
    <w:basedOn w:val="DefaultParagraphFont"/>
    <w:link w:val="Style43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60">
    <w:name w:val="Heading #2|1_"/>
    <w:basedOn w:val="DefaultParagraphFont"/>
    <w:link w:val="Style5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4779C7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auto"/>
      <w:spacing w:line="48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3">
    <w:name w:val="Heading #1|1"/>
    <w:basedOn w:val="Normal"/>
    <w:link w:val="CharStyle14"/>
    <w:pPr>
      <w:widowControl w:val="0"/>
      <w:shd w:val="clear" w:color="auto" w:fill="auto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5">
    <w:name w:val="Body text|2"/>
    <w:basedOn w:val="Normal"/>
    <w:link w:val="CharStyle16"/>
    <w:pPr>
      <w:widowControl w:val="0"/>
      <w:shd w:val="clear" w:color="auto" w:fill="auto"/>
      <w:spacing w:line="326" w:lineRule="exact"/>
      <w:ind w:firstLine="4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18">
    <w:name w:val="Body text|3"/>
    <w:basedOn w:val="Normal"/>
    <w:link w:val="CharStyle19"/>
    <w:pPr>
      <w:widowControl w:val="0"/>
      <w:shd w:val="clear" w:color="auto" w:fill="auto"/>
      <w:spacing w:line="327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1">
    <w:name w:val="Table caption|1"/>
    <w:basedOn w:val="Normal"/>
    <w:link w:val="CharStyle22"/>
    <w:pPr>
      <w:widowControl w:val="0"/>
      <w:shd w:val="clear" w:color="auto" w:fill="auto"/>
      <w:spacing w:line="269" w:lineRule="exact"/>
      <w:ind w:firstLine="3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6">
    <w:name w:val="Body text|1"/>
    <w:basedOn w:val="Normal"/>
    <w:link w:val="CharStyle27"/>
    <w:pPr>
      <w:widowControl w:val="0"/>
      <w:shd w:val="clear" w:color="auto" w:fill="auto"/>
      <w:spacing w:line="48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paragraph" w:customStyle="1" w:styleId="Style36">
    <w:name w:val="Heading #4|1"/>
    <w:basedOn w:val="Normal"/>
    <w:link w:val="CharStyle37"/>
    <w:pPr>
      <w:widowControl w:val="0"/>
      <w:shd w:val="clear" w:color="auto" w:fill="auto"/>
      <w:spacing w:line="275" w:lineRule="exact"/>
      <w:ind w:left="420" w:hanging="210"/>
      <w:outlineLvl w:val="3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38">
    <w:name w:val="Heading #5|1"/>
    <w:basedOn w:val="Normal"/>
    <w:link w:val="CharStyle39"/>
    <w:pPr>
      <w:widowControl w:val="0"/>
      <w:shd w:val="clear" w:color="auto" w:fill="auto"/>
      <w:spacing w:after="80" w:line="295" w:lineRule="exact"/>
      <w:ind w:firstLine="220"/>
      <w:outlineLvl w:val="4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43">
    <w:name w:val="Heading #3|1"/>
    <w:basedOn w:val="Normal"/>
    <w:link w:val="CharStyle44"/>
    <w:pPr>
      <w:widowControl w:val="0"/>
      <w:shd w:val="clear" w:color="auto" w:fill="auto"/>
      <w:spacing w:after="16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9">
    <w:name w:val="Heading #2|1"/>
    <w:basedOn w:val="Normal"/>
    <w:link w:val="CharStyle60"/>
    <w:pPr>
      <w:widowControl w:val="0"/>
      <w:shd w:val="clear" w:color="auto" w:fill="auto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4779C7"/>
      <w:sz w:val="36"/>
      <w:szCs w:val="3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