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spacing w:val="0"/>
          <w:w w:val="100"/>
          <w:position w:val="0"/>
          <w:sz w:val="32"/>
          <w:szCs w:val="32"/>
        </w:rPr>
        <w:t>2014</w:t>
      </w:r>
      <w:r>
        <w:rPr>
          <w:spacing w:val="0"/>
          <w:w w:val="100"/>
          <w:position w:val="0"/>
        </w:rPr>
        <w:t>年加拿大临床实践指南（一）：社交恐怖症</w:t>
      </w:r>
      <w:bookmarkEnd w:id="0"/>
      <w:bookmarkEnd w:id="1"/>
      <w:bookmarkEnd w:id="2"/>
    </w:p>
    <w:p>
      <w:pPr>
        <w:pStyle w:val="Style9"/>
        <w:keepNext w:val="0"/>
        <w:keepLines w:val="0"/>
        <w:widowControl w:val="0"/>
        <w:shd w:val="clear" w:color="auto" w:fill="auto"/>
        <w:tabs>
          <w:tab w:pos="1550" w:val="left"/>
        </w:tabs>
        <w:bidi w:val="0"/>
        <w:spacing w:before="0" w:line="240" w:lineRule="auto"/>
        <w:ind w:left="0" w:firstLine="0"/>
        <w:jc w:val="right"/>
      </w:pPr>
      <w:r>
        <w:rPr>
          <w:rFonts w:ascii="SimSun" w:eastAsia="SimSun" w:hAnsi="SimSun" w:cs="SimSun"/>
          <w:spacing w:val="0"/>
          <w:w w:val="100"/>
          <w:position w:val="0"/>
        </w:rPr>
        <w:t>医脉通编译</w:t>
        <w:tab/>
      </w:r>
      <w:r>
        <w:rPr>
          <w:rFonts w:ascii="Times New Roman" w:eastAsia="Times New Roman" w:hAnsi="Times New Roman" w:cs="Times New Roman"/>
          <w:spacing w:val="0"/>
          <w:w w:val="100"/>
          <w:position w:val="0"/>
          <w:lang w:val="en-US" w:eastAsia="en-US" w:bidi="en-US"/>
        </w:rPr>
        <w:t>2014.8.19</w:t>
      </w:r>
    </w:p>
    <w:tbl>
      <w:tblPr>
        <w:tblOverlap w:val="never"/>
        <w:jc w:val="center"/>
        <w:tblLayout w:type="fixed"/>
      </w:tblPr>
      <w:tblGrid>
        <w:gridCol w:w="1670"/>
        <w:gridCol w:w="2366"/>
        <w:gridCol w:w="1334"/>
        <w:gridCol w:w="1181"/>
        <w:gridCol w:w="1248"/>
        <w:gridCol w:w="1310"/>
      </w:tblGrid>
      <w:tr>
        <w:trPr>
          <w:trHeight w:val="7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220"/>
              <w:jc w:val="left"/>
            </w:pPr>
            <w:r>
              <w:rPr>
                <w:b/>
                <w:bCs/>
                <w:color w:val="000000"/>
                <w:spacing w:val="0"/>
                <w:w w:val="100"/>
                <w:position w:val="0"/>
              </w:rPr>
              <w:t>焦虑障碍惊恐障碍</w:t>
            </w:r>
          </w:p>
        </w:tc>
        <w:tc>
          <w:tcPr>
            <w:tcBorders>
              <w:top w:val="single" w:sz="4"/>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社交恐怖症</w:t>
            </w:r>
          </w:p>
        </w:tc>
        <w:tc>
          <w:tcPr>
            <w:tcBorders>
              <w:top w:val="single" w:sz="4"/>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强迫障碍</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140" w:line="240" w:lineRule="auto"/>
              <w:ind w:left="0" w:right="0" w:firstLine="180"/>
              <w:jc w:val="left"/>
            </w:pPr>
            <w:r>
              <w:rPr>
                <w:b/>
                <w:bCs/>
                <w:color w:val="000000"/>
                <w:spacing w:val="0"/>
                <w:w w:val="100"/>
                <w:position w:val="0"/>
              </w:rPr>
              <w:t>广泛性</w:t>
            </w:r>
          </w:p>
          <w:p>
            <w:pPr>
              <w:pStyle w:val="Style1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焦虑障碍</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140" w:line="240" w:lineRule="auto"/>
              <w:ind w:left="0" w:right="0" w:firstLine="160"/>
              <w:jc w:val="left"/>
            </w:pPr>
            <w:r>
              <w:rPr>
                <w:b/>
                <w:bCs/>
                <w:color w:val="000000"/>
                <w:spacing w:val="0"/>
                <w:w w:val="100"/>
                <w:position w:val="0"/>
              </w:rPr>
              <w:t>创蜘后</w:t>
            </w:r>
          </w:p>
          <w:p>
            <w:pPr>
              <w:pStyle w:val="Style1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应激障碍</w:t>
            </w:r>
          </w:p>
        </w:tc>
      </w:tr>
      <w:tr>
        <w:trPr>
          <w:trHeight w:val="374" w:hRule="exact"/>
        </w:trPr>
        <w:tc>
          <w:tcPr>
            <w:gridSpan w:val="6"/>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抗抑郁药</w:t>
            </w:r>
          </w:p>
        </w:tc>
      </w:tr>
      <w:tr>
        <w:trPr>
          <w:trHeight w:val="374" w:hRule="exact"/>
        </w:trPr>
        <w:tc>
          <w:tcPr>
            <w:gridSpan w:val="6"/>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lang w:val="en-US" w:eastAsia="en-US" w:bidi="en-US"/>
              </w:rPr>
              <w:t>SSRls</w:t>
            </w:r>
          </w:p>
        </w:tc>
      </w:tr>
      <w:tr>
        <w:trPr>
          <w:trHeight w:val="374" w:hRule="exact"/>
        </w:trPr>
        <w:tc>
          <w:tcPr>
            <w:tcBorders>
              <w:top w:val="single" w:sz="4"/>
            </w:tcBorders>
            <w:shd w:val="clear" w:color="auto" w:fill="FFFFFF"/>
            <w:vAlign w:val="top"/>
          </w:tcPr>
          <w:p>
            <w:pPr>
              <w:pStyle w:val="Style1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艾瓦西酝晋兰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氟西汀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氟伏沙明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帕罗西$丁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3E3E3E"/>
                <w:spacing w:val="0"/>
                <w:w w:val="100"/>
                <w:position w:val="0"/>
                <w:sz w:val="34"/>
                <w:szCs w:val="34"/>
              </w:rPr>
              <w:t>V</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3E3E3E"/>
                <w:spacing w:val="0"/>
                <w:w w:val="100"/>
                <w:position w:val="0"/>
                <w:sz w:val="34"/>
                <w:szCs w:val="34"/>
              </w:rPr>
              <w:t>V</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80"/>
              <w:jc w:val="left"/>
              <w:rPr>
                <w:sz w:val="34"/>
                <w:szCs w:val="34"/>
              </w:rPr>
            </w:pPr>
            <w:r>
              <w:rPr>
                <w:rFonts w:ascii="Times New Roman" w:eastAsia="Times New Roman" w:hAnsi="Times New Roman" w:cs="Times New Roman"/>
                <w:color w:val="3E3E3E"/>
                <w:spacing w:val="0"/>
                <w:w w:val="100"/>
                <w:position w:val="0"/>
                <w:sz w:val="34"/>
                <w:szCs w:val="34"/>
              </w:rPr>
              <w:t>V</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160"/>
              <w:jc w:val="left"/>
              <w:rPr>
                <w:sz w:val="34"/>
                <w:szCs w:val="34"/>
              </w:rPr>
            </w:pPr>
            <w:r>
              <w:rPr>
                <w:rFonts w:ascii="Times New Roman" w:eastAsia="Times New Roman" w:hAnsi="Times New Roman" w:cs="Times New Roman"/>
                <w:color w:val="3E3E3E"/>
                <w:spacing w:val="0"/>
                <w:w w:val="100"/>
                <w:position w:val="0"/>
                <w:sz w:val="34"/>
                <w:szCs w:val="34"/>
              </w:rPr>
              <w:t>V</w:t>
            </w:r>
          </w:p>
        </w:tc>
      </w:tr>
      <w:tr>
        <w:trPr>
          <w:trHeight w:val="408" w:hRule="exact"/>
        </w:trPr>
        <w:tc>
          <w:tcPr>
            <w:tcBorders>
              <w:top w:val="single" w:sz="4"/>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帕罗西汀控釋</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134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3E3E3E"/>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0"/>
                <w:szCs w:val="20"/>
              </w:rPr>
              <w:t>片剂</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 xml:space="preserve">CR </w:t>
            </w: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top"/>
          </w:tcPr>
          <w:p>
            <w:pPr>
              <w:pStyle w:val="Style1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舍曲钵</w:t>
            </w: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134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gridSpan w:val="6"/>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lang w:val="en-US" w:eastAsia="en-US" w:bidi="en-US"/>
              </w:rPr>
              <w:t>TCAs</w:t>
            </w:r>
          </w:p>
        </w:tc>
      </w:tr>
      <w:tr>
        <w:trPr>
          <w:trHeight w:val="374"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氯米帕明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gridSpan w:val="6"/>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星他抗抑郁剤</w:t>
            </w:r>
          </w:p>
        </w:tc>
      </w:tr>
      <w:tr>
        <w:trPr>
          <w:trHeight w:val="336"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文应法辛裝舞</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134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180"/>
              <w:jc w:val="left"/>
              <w:rPr>
                <w:sz w:val="34"/>
                <w:szCs w:val="34"/>
              </w:rPr>
            </w:pPr>
            <w:r>
              <w:rPr>
                <w:rFonts w:ascii="Times New Roman" w:eastAsia="Times New Roman" w:hAnsi="Times New Roman" w:cs="Times New Roman"/>
                <w:color w:val="000000"/>
                <w:spacing w:val="0"/>
                <w:w w:val="100"/>
                <w:position w:val="0"/>
                <w:sz w:val="34"/>
                <w:szCs w:val="34"/>
              </w:rPr>
              <w:t>V</w:t>
            </w:r>
          </w:p>
        </w:tc>
        <w:tc>
          <w:tcPr>
            <w:tcBorders>
              <w:top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pBdr>
          <w:bottom w:val="single" w:sz="4" w:space="0" w:color="auto"/>
        </w:pBdr>
        <w:shd w:val="clear" w:color="auto" w:fill="auto"/>
        <w:bidi w:val="0"/>
        <w:spacing w:before="0" w:after="40" w:line="240" w:lineRule="auto"/>
        <w:ind w:left="0" w:right="0" w:firstLine="140"/>
        <w:jc w:val="left"/>
        <w:rPr>
          <w:sz w:val="22"/>
          <w:szCs w:val="22"/>
        </w:rPr>
      </w:pPr>
      <w:r>
        <w:rPr>
          <w:b/>
          <w:bCs/>
          <w:color w:val="000000"/>
          <w:spacing w:val="0"/>
          <w:w w:val="100"/>
          <w:position w:val="0"/>
          <w:sz w:val="20"/>
          <w:szCs w:val="20"/>
        </w:rPr>
        <w:t>剂型（</w:t>
      </w:r>
      <w:r>
        <w:rPr>
          <w:rFonts w:ascii="Times New Roman" w:eastAsia="Times New Roman" w:hAnsi="Times New Roman" w:cs="Times New Roman"/>
          <w:color w:val="000000"/>
          <w:spacing w:val="0"/>
          <w:w w:val="100"/>
          <w:position w:val="0"/>
          <w:sz w:val="24"/>
          <w:szCs w:val="24"/>
          <w:lang w:val="en-US" w:eastAsia="en-US" w:bidi="en-US"/>
        </w:rPr>
        <w:t xml:space="preserve">XR </w:t>
      </w:r>
      <w:r>
        <w:rPr>
          <w:rFonts w:ascii="Times New Roman" w:eastAsia="Times New Roman" w:hAnsi="Times New Roman" w:cs="Times New Roman"/>
          <w:i/>
          <w:iCs/>
          <w:color w:val="3E3E3E"/>
          <w:spacing w:val="0"/>
          <w:w w:val="100"/>
          <w:position w:val="0"/>
          <w:sz w:val="22"/>
          <w:szCs w:val="22"/>
        </w:rPr>
        <w:t>）</w:t>
      </w:r>
    </w:p>
    <w:p>
      <w:pPr>
        <w:pStyle w:val="Style24"/>
        <w:keepNext w:val="0"/>
        <w:keepLines w:val="0"/>
        <w:widowControl w:val="0"/>
        <w:pBdr>
          <w:bottom w:val="single" w:sz="4" w:space="0" w:color="auto"/>
        </w:pBdr>
        <w:shd w:val="clear" w:color="auto" w:fill="auto"/>
        <w:tabs>
          <w:tab w:pos="6702" w:val="left"/>
        </w:tabs>
        <w:bidi w:val="0"/>
        <w:spacing w:before="0" w:line="240" w:lineRule="auto"/>
        <w:ind w:left="0" w:right="0"/>
        <w:jc w:val="left"/>
      </w:pPr>
      <w:r>
        <w:fldChar w:fldCharType="begin"/>
        <w:instrText xml:space="preserve"> TOC \o "1-5" \h \z </w:instrText>
        <w:fldChar w:fldCharType="separate"/>
      </w:r>
      <w:r>
        <w:rPr>
          <w:color w:val="000000"/>
          <w:spacing w:val="0"/>
          <w:w w:val="100"/>
          <w:position w:val="0"/>
        </w:rPr>
        <w:t>度洛西汀</w:t>
        <w:tab/>
        <w:t>寸</w:t>
      </w:r>
    </w:p>
    <w:p>
      <w:pPr>
        <w:pStyle w:val="Style24"/>
        <w:keepNext w:val="0"/>
        <w:keepLines w:val="0"/>
        <w:widowControl w:val="0"/>
        <w:pBdr>
          <w:bottom w:val="single" w:sz="4" w:space="0" w:color="auto"/>
        </w:pBdr>
        <w:shd w:val="clear" w:color="auto" w:fill="auto"/>
        <w:bidi w:val="0"/>
        <w:spacing w:before="0" w:line="240" w:lineRule="auto"/>
        <w:ind w:left="0" w:right="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AZAPIRONES</w:t>
      </w:r>
    </w:p>
    <w:p>
      <w:pPr>
        <w:pStyle w:val="Style24"/>
        <w:keepNext w:val="0"/>
        <w:keepLines w:val="0"/>
        <w:widowControl w:val="0"/>
        <w:pBdr>
          <w:bottom w:val="single" w:sz="4" w:space="0" w:color="auto"/>
        </w:pBdr>
        <w:shd w:val="clear" w:color="auto" w:fill="auto"/>
        <w:tabs>
          <w:tab w:pos="6702" w:val="left"/>
        </w:tabs>
        <w:bidi w:val="0"/>
        <w:spacing w:before="0" w:after="0" w:line="240" w:lineRule="auto"/>
        <w:ind w:left="0" w:right="0"/>
        <w:jc w:val="left"/>
        <w:rPr>
          <w:sz w:val="22"/>
          <w:szCs w:val="22"/>
        </w:rPr>
      </w:pPr>
      <w:r>
        <w:rPr>
          <w:color w:val="000000"/>
          <w:spacing w:val="0"/>
          <w:w w:val="100"/>
          <w:position w:val="0"/>
          <w:sz w:val="20"/>
          <w:szCs w:val="20"/>
          <w:u w:val="single"/>
        </w:rPr>
        <w:t>丁螺环酮</w:t>
        <w:tab/>
      </w:r>
      <w:r>
        <w:rPr>
          <w:rFonts w:ascii="Times New Roman" w:eastAsia="Times New Roman" w:hAnsi="Times New Roman" w:cs="Times New Roman"/>
          <w:color w:val="000000"/>
          <w:spacing w:val="0"/>
          <w:w w:val="100"/>
          <w:position w:val="0"/>
          <w:sz w:val="22"/>
          <w:szCs w:val="22"/>
          <w:u w:val="single"/>
        </w:rPr>
        <w:t>V</w:t>
      </w:r>
    </w:p>
    <w:p>
      <w:pPr>
        <w:pStyle w:val="Style24"/>
        <w:keepNext w:val="0"/>
        <w:keepLines w:val="0"/>
        <w:widowControl w:val="0"/>
        <w:pBdr>
          <w:bottom w:val="single" w:sz="4" w:space="0" w:color="auto"/>
        </w:pBdr>
        <w:shd w:val="clear" w:color="auto" w:fill="auto"/>
        <w:tabs>
          <w:tab w:pos="1834" w:val="left"/>
        </w:tabs>
        <w:bidi w:val="0"/>
        <w:spacing w:before="0" w:after="360" w:line="240" w:lineRule="auto"/>
        <w:ind w:left="0" w:right="0"/>
        <w:jc w:val="left"/>
        <w:rPr>
          <w:sz w:val="34"/>
          <w:szCs w:val="34"/>
        </w:rPr>
      </w:pPr>
      <w:r>
        <w:rPr>
          <w:color w:val="000000"/>
          <w:spacing w:val="0"/>
          <w:w w:val="100"/>
          <w:position w:val="0"/>
          <w:sz w:val="20"/>
          <w:szCs w:val="20"/>
        </w:rPr>
        <w:t>苯二氮草異</w:t>
        <w:tab/>
      </w:r>
      <w:r>
        <w:rPr>
          <w:rFonts w:ascii="Times New Roman" w:eastAsia="Times New Roman" w:hAnsi="Times New Roman" w:cs="Times New Roman"/>
          <w:b w:val="0"/>
          <w:bCs w:val="0"/>
          <w:color w:val="000000"/>
          <w:spacing w:val="0"/>
          <w:w w:val="100"/>
          <w:position w:val="0"/>
          <w:sz w:val="34"/>
          <w:szCs w:val="34"/>
        </w:rPr>
        <w:t>V</w:t>
      </w:r>
      <w:r>
        <w:fldChar w:fldCharType="end"/>
      </w:r>
    </w:p>
    <w:p>
      <w:pPr>
        <w:pStyle w:val="Style30"/>
        <w:keepNext w:val="0"/>
        <w:keepLines w:val="0"/>
        <w:widowControl w:val="0"/>
        <w:shd w:val="clear" w:color="auto" w:fill="auto"/>
        <w:bidi w:val="0"/>
        <w:spacing w:before="0" w:line="240" w:lineRule="auto"/>
        <w:ind w:left="0" w:right="0" w:firstLine="0"/>
        <w:jc w:val="center"/>
      </w:pPr>
      <w:r>
        <w:rPr>
          <w:color w:val="000000"/>
          <w:spacing w:val="0"/>
          <w:w w:val="100"/>
          <w:position w:val="0"/>
        </w:rPr>
        <w:t>获加拿大卫生部批准的焦虑治疗药物一览</w:t>
      </w:r>
    </w:p>
    <w:p>
      <w:pPr>
        <w:pStyle w:val="Style19"/>
        <w:keepNext w:val="0"/>
        <w:keepLines w:val="0"/>
        <w:widowControl w:val="0"/>
        <w:shd w:val="clear" w:color="auto" w:fill="auto"/>
        <w:bidi w:val="0"/>
        <w:spacing w:before="0" w:line="240" w:lineRule="auto"/>
        <w:ind w:left="0" w:right="0" w:firstLine="480"/>
        <w:jc w:val="left"/>
      </w:pPr>
      <w:r>
        <w:rPr>
          <w:b/>
          <w:bCs/>
          <w:color w:val="C00000"/>
          <w:spacing w:val="0"/>
          <w:w w:val="100"/>
          <w:position w:val="0"/>
        </w:rPr>
        <w:t>流行病学</w:t>
      </w:r>
    </w:p>
    <w:p>
      <w:pPr>
        <w:pStyle w:val="Style19"/>
        <w:keepNext w:val="0"/>
        <w:keepLines w:val="0"/>
        <w:widowControl w:val="0"/>
        <w:shd w:val="clear" w:color="auto" w:fill="auto"/>
        <w:bidi w:val="0"/>
        <w:spacing w:before="0" w:after="380" w:line="432" w:lineRule="exact"/>
        <w:ind w:left="0" w:right="0" w:firstLine="480"/>
        <w:jc w:val="left"/>
      </w:pPr>
      <w:r>
        <w:rPr>
          <w:color w:val="000000"/>
          <w:spacing w:val="0"/>
          <w:w w:val="100"/>
          <w:position w:val="0"/>
        </w:rPr>
        <w:t>社交恐怖症</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）是最常见的焦虑障碍之一，终生患病率约为</w:t>
      </w:r>
      <w:r>
        <w:rPr>
          <w:rFonts w:ascii="Times New Roman" w:eastAsia="Times New Roman" w:hAnsi="Times New Roman" w:cs="Times New Roman"/>
          <w:color w:val="000000"/>
          <w:spacing w:val="0"/>
          <w:w w:val="100"/>
          <w:position w:val="0"/>
        </w:rPr>
        <w:t>8-12%</w:t>
      </w:r>
      <w:r>
        <w:rPr>
          <w:color w:val="000000"/>
          <w:spacing w:val="0"/>
          <w:w w:val="100"/>
          <w:position w:val="0"/>
        </w:rPr>
        <w:t>，女性较男性 常见，发达国家发病率（</w:t>
      </w:r>
      <w:r>
        <w:rPr>
          <w:rFonts w:ascii="Times New Roman" w:eastAsia="Times New Roman" w:hAnsi="Times New Roman" w:cs="Times New Roman"/>
          <w:color w:val="000000"/>
          <w:spacing w:val="0"/>
          <w:w w:val="100"/>
          <w:position w:val="0"/>
        </w:rPr>
        <w:t>6.1%</w:t>
      </w:r>
      <w:r>
        <w:rPr>
          <w:color w:val="000000"/>
          <w:spacing w:val="0"/>
          <w:w w:val="100"/>
          <w:position w:val="0"/>
        </w:rPr>
        <w:t>）较发展中国家高（</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发病较早，多起病于青 春期（平均</w:t>
      </w:r>
      <w:r>
        <w:rPr>
          <w:rFonts w:ascii="Times New Roman" w:eastAsia="Times New Roman" w:hAnsi="Times New Roman" w:cs="Times New Roman"/>
          <w:color w:val="000000"/>
          <w:spacing w:val="0"/>
          <w:w w:val="100"/>
          <w:position w:val="0"/>
        </w:rPr>
        <w:t>12</w:t>
      </w:r>
      <w:r>
        <w:rPr>
          <w:color w:val="000000"/>
          <w:spacing w:val="0"/>
          <w:w w:val="100"/>
          <w:position w:val="0"/>
        </w:rPr>
        <w:t>岁），常呈慢性迁延病程。低教育成就、低社会经济地位、单身或与伴侣 分离、共病重性抑郁</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MDD</w:t>
      </w:r>
      <w:r>
        <w:rPr>
          <w:color w:val="000000"/>
          <w:spacing w:val="0"/>
          <w:w w:val="100"/>
          <w:position w:val="0"/>
          <w:lang w:val="en-US" w:eastAsia="en-US" w:bidi="en-US"/>
        </w:rPr>
        <w:t>）</w:t>
      </w:r>
      <w:r>
        <w:rPr>
          <w:color w:val="000000"/>
          <w:spacing w:val="0"/>
          <w:w w:val="100"/>
          <w:position w:val="0"/>
        </w:rPr>
        <w:t>与</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发病率的升高相关。</w:t>
      </w:r>
    </w:p>
    <w:p>
      <w:pPr>
        <w:pStyle w:val="Style19"/>
        <w:keepNext w:val="0"/>
        <w:keepLines w:val="0"/>
        <w:widowControl w:val="0"/>
        <w:shd w:val="clear" w:color="auto" w:fill="auto"/>
        <w:bidi w:val="0"/>
        <w:spacing w:before="0" w:line="432" w:lineRule="exact"/>
        <w:ind w:left="0" w:right="0" w:firstLine="480"/>
        <w:jc w:val="both"/>
      </w:pP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常导致严重的功能损害，包括教育及职业表现、家庭功能及生活质量的总体下 降。该病同样对个体及社会造成沉重的经济负担。罹患</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的加拿大人在过去两周内报 告至少一个残疾日</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disability day</w:t>
      </w:r>
      <w:r>
        <w:rPr>
          <w:color w:val="000000"/>
          <w:spacing w:val="0"/>
          <w:w w:val="100"/>
          <w:position w:val="0"/>
          <w:lang w:val="en-US" w:eastAsia="en-US" w:bidi="en-US"/>
        </w:rPr>
        <w:t>）</w:t>
      </w:r>
      <w:r>
        <w:rPr>
          <w:color w:val="000000"/>
          <w:spacing w:val="0"/>
          <w:w w:val="100"/>
          <w:position w:val="0"/>
        </w:rPr>
        <w:t>的可能性是其他人的</w:t>
      </w:r>
      <w:r>
        <w:rPr>
          <w:rFonts w:ascii="Times New Roman" w:eastAsia="Times New Roman" w:hAnsi="Times New Roman" w:cs="Times New Roman"/>
          <w:color w:val="000000"/>
          <w:spacing w:val="0"/>
          <w:w w:val="100"/>
          <w:position w:val="0"/>
        </w:rPr>
        <w:t>2</w:t>
      </w:r>
      <w:r>
        <w:rPr>
          <w:color w:val="000000"/>
          <w:spacing w:val="0"/>
          <w:w w:val="100"/>
          <w:position w:val="0"/>
        </w:rPr>
        <w:t>倍。</w:t>
      </w:r>
    </w:p>
    <w:p>
      <w:pPr>
        <w:pStyle w:val="Style34"/>
        <w:keepNext/>
        <w:keepLines/>
        <w:widowControl w:val="0"/>
        <w:shd w:val="clear" w:color="auto" w:fill="auto"/>
        <w:bidi w:val="0"/>
        <w:spacing w:before="0" w:line="432" w:lineRule="exact"/>
        <w:ind w:left="0" w:right="0"/>
        <w:jc w:val="left"/>
      </w:pPr>
      <w:bookmarkStart w:id="3" w:name="bookmark3"/>
      <w:bookmarkStart w:id="4" w:name="bookmark4"/>
      <w:bookmarkStart w:id="5" w:name="bookmark5"/>
      <w:r>
        <w:rPr>
          <w:spacing w:val="0"/>
          <w:w w:val="100"/>
          <w:position w:val="0"/>
        </w:rPr>
        <w:t>精神科共病</w:t>
      </w:r>
      <w:bookmarkEnd w:id="3"/>
      <w:bookmarkEnd w:id="4"/>
      <w:bookmarkEnd w:id="5"/>
    </w:p>
    <w:p>
      <w:pPr>
        <w:pStyle w:val="Style19"/>
        <w:keepNext w:val="0"/>
        <w:keepLines w:val="0"/>
        <w:widowControl w:val="0"/>
        <w:shd w:val="clear" w:color="auto" w:fill="auto"/>
        <w:bidi w:val="0"/>
        <w:spacing w:before="0" w:after="640" w:line="432" w:lineRule="exact"/>
        <w:ind w:left="0" w:right="0" w:firstLine="480"/>
        <w:jc w:val="left"/>
      </w:pP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的精神科共病率很高，</w:t>
      </w:r>
      <w:r>
        <w:rPr>
          <w:rFonts w:ascii="Times New Roman" w:eastAsia="Times New Roman" w:hAnsi="Times New Roman" w:cs="Times New Roman"/>
          <w:color w:val="000000"/>
          <w:spacing w:val="0"/>
          <w:w w:val="100"/>
          <w:position w:val="0"/>
        </w:rPr>
        <w:t>72%</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患者均满足另一种精神障碍的诊断标准。最 常见的共病为</w:t>
      </w:r>
      <w:r>
        <w:rPr>
          <w:rFonts w:ascii="Times New Roman" w:eastAsia="Times New Roman" w:hAnsi="Times New Roman" w:cs="Times New Roman"/>
          <w:color w:val="000000"/>
          <w:spacing w:val="0"/>
          <w:w w:val="100"/>
          <w:position w:val="0"/>
          <w:lang w:val="en-US" w:eastAsia="en-US" w:bidi="en-US"/>
        </w:rPr>
        <w:t>MDD</w:t>
      </w:r>
      <w:r>
        <w:rPr>
          <w:color w:val="000000"/>
          <w:spacing w:val="0"/>
          <w:w w:val="100"/>
          <w:position w:val="0"/>
        </w:rPr>
        <w:t>及其他焦虑相关障碍，共病回避型人格障碍、躯体变形障碍、物质使 用障碍、注意缺陷多动障碍（</w:t>
      </w:r>
      <w:r>
        <w:rPr>
          <w:rFonts w:ascii="Times New Roman" w:eastAsia="Times New Roman" w:hAnsi="Times New Roman" w:cs="Times New Roman"/>
          <w:color w:val="000000"/>
          <w:spacing w:val="0"/>
          <w:w w:val="100"/>
          <w:position w:val="0"/>
          <w:lang w:val="en-US" w:eastAsia="en-US" w:bidi="en-US"/>
        </w:rPr>
        <w:t>ADHD</w:t>
      </w:r>
      <w:r>
        <w:rPr>
          <w:color w:val="000000"/>
          <w:spacing w:val="0"/>
          <w:w w:val="100"/>
          <w:position w:val="0"/>
        </w:rPr>
        <w:t>）及精神分裂症也较为常见。</w:t>
      </w:r>
    </w:p>
    <w:p>
      <w:pPr>
        <w:pStyle w:val="Style34"/>
        <w:keepNext/>
        <w:keepLines/>
        <w:widowControl w:val="0"/>
        <w:shd w:val="clear" w:color="auto" w:fill="auto"/>
        <w:bidi w:val="0"/>
        <w:spacing w:before="0" w:line="451" w:lineRule="auto"/>
        <w:ind w:left="0" w:right="0"/>
        <w:jc w:val="left"/>
      </w:pPr>
      <w:bookmarkStart w:id="6" w:name="bookmark6"/>
      <w:bookmarkStart w:id="7" w:name="bookmark7"/>
      <w:bookmarkStart w:id="8" w:name="bookmark8"/>
      <w:r>
        <w:rPr>
          <w:rFonts w:ascii="Times New Roman" w:eastAsia="Times New Roman" w:hAnsi="Times New Roman" w:cs="Times New Roman"/>
          <w:spacing w:val="0"/>
          <w:w w:val="100"/>
          <w:position w:val="0"/>
          <w:lang w:val="en-US" w:eastAsia="en-US" w:bidi="en-US"/>
        </w:rPr>
        <w:t>DSM-5</w:t>
      </w:r>
      <w:r>
        <w:rPr>
          <w:spacing w:val="0"/>
          <w:w w:val="100"/>
          <w:position w:val="0"/>
        </w:rPr>
        <w:t>诊断标准</w:t>
      </w:r>
      <w:bookmarkEnd w:id="6"/>
      <w:bookmarkEnd w:id="7"/>
      <w:bookmarkEnd w:id="8"/>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680"/>
        <w:jc w:val="left"/>
        <w:rPr>
          <w:sz w:val="22"/>
          <w:szCs w:val="22"/>
        </w:rPr>
      </w:pPr>
      <w:r>
        <w:rPr>
          <w:color w:val="000000"/>
          <w:spacing w:val="0"/>
          <w:w w:val="100"/>
          <w:position w:val="0"/>
          <w:sz w:val="22"/>
          <w:szCs w:val="22"/>
          <w:lang w:val="en-US" w:eastAsia="en-US" w:bidi="en-US"/>
        </w:rPr>
        <w:t>•</w:t>
      </w:r>
      <w:r>
        <w:rPr>
          <w:color w:val="3E3E3E"/>
          <w:spacing w:val="0"/>
          <w:w w:val="100"/>
          <w:position w:val="0"/>
          <w:sz w:val="22"/>
          <w:szCs w:val="22"/>
        </w:rPr>
        <w:t>对可能受到他人注视的社会情境的显著恐惧及焦虑</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680"/>
        <w:jc w:val="left"/>
        <w:rPr>
          <w:sz w:val="22"/>
          <w:szCs w:val="22"/>
        </w:rPr>
      </w:pPr>
      <w:r>
        <w:rPr>
          <w:color w:val="000000"/>
          <w:spacing w:val="0"/>
          <w:w w:val="100"/>
          <w:position w:val="0"/>
          <w:sz w:val="22"/>
          <w:szCs w:val="22"/>
          <w:lang w:val="en-US" w:eastAsia="en-US" w:bidi="en-US"/>
        </w:rPr>
        <w:t>•</w:t>
      </w:r>
      <w:r>
        <w:rPr>
          <w:color w:val="3E3E3E"/>
          <w:spacing w:val="0"/>
          <w:w w:val="100"/>
          <w:position w:val="0"/>
          <w:sz w:val="22"/>
          <w:szCs w:val="22"/>
        </w:rPr>
        <w:t>害怕行动或表现出焦虑症状导致负性评价（如难堪、羞辱）或冒犯他人</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680"/>
        <w:jc w:val="both"/>
        <w:rPr>
          <w:sz w:val="22"/>
          <w:szCs w:val="22"/>
        </w:rPr>
      </w:pPr>
      <w:r>
        <w:rPr>
          <w:color w:val="000000"/>
          <w:spacing w:val="0"/>
          <w:w w:val="100"/>
          <w:position w:val="0"/>
          <w:sz w:val="22"/>
          <w:szCs w:val="22"/>
          <w:lang w:val="en-US" w:eastAsia="en-US" w:bidi="en-US"/>
        </w:rPr>
        <w:t>.</w:t>
      </w:r>
      <w:r>
        <w:rPr>
          <w:color w:val="3E3E3E"/>
          <w:spacing w:val="0"/>
          <w:w w:val="100"/>
          <w:position w:val="0"/>
          <w:sz w:val="22"/>
          <w:szCs w:val="22"/>
        </w:rPr>
        <w:t>社交情境</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1080" w:right="0" w:firstLine="0"/>
        <w:jc w:val="left"/>
        <w:rPr>
          <w:sz w:val="22"/>
          <w:szCs w:val="22"/>
        </w:rPr>
      </w:pPr>
      <w:r>
        <w:rPr>
          <w:color w:val="3E3E3E"/>
          <w:spacing w:val="0"/>
          <w:w w:val="100"/>
          <w:position w:val="0"/>
          <w:sz w:val="22"/>
          <w:szCs w:val="22"/>
        </w:rPr>
        <w:t>/几乎总或焦虑</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1080" w:right="0" w:firstLine="0"/>
        <w:jc w:val="left"/>
        <w:rPr>
          <w:sz w:val="22"/>
          <w:szCs w:val="22"/>
        </w:rPr>
      </w:pPr>
      <w:r>
        <w:rPr>
          <w:color w:val="3E3E3E"/>
          <w:spacing w:val="0"/>
          <w:w w:val="100"/>
          <w:position w:val="0"/>
          <w:sz w:val="22"/>
          <w:szCs w:val="22"/>
        </w:rPr>
        <w:t>/患者对此情境主动回避，或带看显著的恐惧和焦虑加以忍受</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680"/>
        <w:jc w:val="both"/>
        <w:rPr>
          <w:sz w:val="22"/>
          <w:szCs w:val="22"/>
        </w:rPr>
      </w:pPr>
      <w:r>
        <w:rPr>
          <w:color w:val="000000"/>
          <w:spacing w:val="0"/>
          <w:w w:val="100"/>
          <w:position w:val="0"/>
          <w:sz w:val="22"/>
          <w:szCs w:val="22"/>
          <w:lang w:val="en-US" w:eastAsia="en-US" w:bidi="en-US"/>
        </w:rPr>
        <w:t>•</w:t>
      </w:r>
      <w:r>
        <w:rPr>
          <w:color w:val="3E3E3E"/>
          <w:spacing w:val="0"/>
          <w:w w:val="100"/>
          <w:position w:val="0"/>
          <w:sz w:val="22"/>
          <w:szCs w:val="22"/>
        </w:rPr>
        <w:t>恐惧、焦虑或回避</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1080" w:right="0" w:firstLine="0"/>
        <w:jc w:val="left"/>
        <w:rPr>
          <w:sz w:val="22"/>
          <w:szCs w:val="22"/>
        </w:rPr>
      </w:pPr>
      <w:r>
        <w:rPr>
          <w:color w:val="3E3E3E"/>
          <w:spacing w:val="0"/>
          <w:w w:val="100"/>
          <w:position w:val="0"/>
          <w:sz w:val="22"/>
          <w:szCs w:val="22"/>
        </w:rPr>
        <w:t>/与社交情境的真实威胁不相称</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1080" w:right="0" w:firstLine="0"/>
        <w:jc w:val="left"/>
        <w:rPr>
          <w:sz w:val="22"/>
          <w:szCs w:val="22"/>
        </w:rPr>
      </w:pPr>
      <w:r>
        <w:rPr>
          <w:color w:val="3E3E3E"/>
          <w:spacing w:val="0"/>
          <w:w w:val="100"/>
          <w:position w:val="0"/>
          <w:sz w:val="22"/>
          <w:szCs w:val="22"/>
        </w:rPr>
        <w:t>/扌播性，一般屬个月</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1080" w:right="0" w:firstLine="0"/>
        <w:jc w:val="left"/>
        <w:rPr>
          <w:sz w:val="22"/>
          <w:szCs w:val="22"/>
        </w:rPr>
      </w:pPr>
      <w:r>
        <w:rPr>
          <w:color w:val="3E3E3E"/>
          <w:spacing w:val="0"/>
          <w:w w:val="100"/>
          <w:position w:val="0"/>
          <w:sz w:val="22"/>
          <w:szCs w:val="22"/>
        </w:rPr>
        <w:t>/导酣重精神痛苦及功蹒害</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680"/>
        <w:jc w:val="left"/>
        <w:rPr>
          <w:sz w:val="22"/>
          <w:szCs w:val="22"/>
        </w:rPr>
      </w:pPr>
      <w:r>
        <w:rPr>
          <w:color w:val="000000"/>
          <w:spacing w:val="0"/>
          <w:w w:val="100"/>
          <w:position w:val="0"/>
          <w:sz w:val="22"/>
          <w:szCs w:val="22"/>
          <w:lang w:val="en-US" w:eastAsia="en-US" w:bidi="en-US"/>
        </w:rPr>
        <w:t>.</w:t>
      </w:r>
      <w:r>
        <w:rPr>
          <w:color w:val="3E3E3E"/>
          <w:spacing w:val="0"/>
          <w:w w:val="100"/>
          <w:position w:val="0"/>
          <w:sz w:val="22"/>
          <w:szCs w:val="22"/>
        </w:rPr>
        <w:t>如果存在其他医学情况（如口吃或肥胖），上述功能扰乱应与之无关或不相称</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680"/>
        <w:jc w:val="left"/>
        <w:rPr>
          <w:sz w:val="22"/>
          <w:szCs w:val="22"/>
        </w:rPr>
      </w:pPr>
      <w:r>
        <w:rPr>
          <w:color w:val="000000"/>
          <w:spacing w:val="0"/>
          <w:w w:val="100"/>
          <w:position w:val="0"/>
          <w:sz w:val="22"/>
          <w:szCs w:val="22"/>
          <w:lang w:val="en-US" w:eastAsia="en-US" w:bidi="en-US"/>
        </w:rPr>
        <w:t>•</w:t>
      </w:r>
      <w:r>
        <w:rPr>
          <w:color w:val="3E3E3E"/>
          <w:spacing w:val="0"/>
          <w:w w:val="100"/>
          <w:position w:val="0"/>
          <w:sz w:val="22"/>
          <w:szCs w:val="22"/>
        </w:rPr>
        <w:t>若恐惧局限于公共讲话或表演，应指明"仅限于表演"</w:t>
      </w:r>
    </w:p>
    <w:p>
      <w:pPr>
        <w:pStyle w:val="Style19"/>
        <w:keepNext w:val="0"/>
        <w:keepLines w:val="0"/>
        <w:widowControl w:val="0"/>
        <w:shd w:val="clear" w:color="auto" w:fill="auto"/>
        <w:bidi w:val="0"/>
        <w:spacing w:before="0" w:line="438" w:lineRule="exact"/>
        <w:ind w:left="0" w:right="0" w:firstLine="480"/>
        <w:jc w:val="left"/>
      </w:pPr>
      <w:r>
        <w:rPr>
          <w:rFonts w:ascii="Times New Roman" w:eastAsia="Times New Roman" w:hAnsi="Times New Roman" w:cs="Times New Roman"/>
          <w:color w:val="000000"/>
          <w:spacing w:val="0"/>
          <w:w w:val="100"/>
          <w:position w:val="0"/>
          <w:lang w:val="en-US" w:eastAsia="en-US" w:bidi="en-US"/>
        </w:rPr>
        <w:t>DSM-IV-TR</w:t>
      </w:r>
      <w:r>
        <w:rPr>
          <w:color w:val="000000"/>
          <w:spacing w:val="0"/>
          <w:w w:val="100"/>
          <w:position w:val="0"/>
        </w:rPr>
        <w:t>将与其他医学状况相关或继发于其他医学状况的社交恐怖及回避行为排 除在外。然而，</w:t>
      </w:r>
      <w:r>
        <w:rPr>
          <w:rFonts w:ascii="Times New Roman" w:eastAsia="Times New Roman" w:hAnsi="Times New Roman" w:cs="Times New Roman"/>
          <w:color w:val="000000"/>
          <w:spacing w:val="0"/>
          <w:w w:val="100"/>
          <w:position w:val="0"/>
          <w:lang w:val="en-US" w:eastAsia="en-US" w:bidi="en-US"/>
        </w:rPr>
        <w:t>DSM-5</w:t>
      </w:r>
      <w:r>
        <w:rPr>
          <w:color w:val="000000"/>
          <w:spacing w:val="0"/>
          <w:w w:val="100"/>
          <w:position w:val="0"/>
        </w:rPr>
        <w:t>认识到，</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完全可能继发于某种医学问题，如口吃、帕金森病 导致的震颤、肥胖、烧伤或损伤所致毁容，这些个体同样可能因为社交恐怖导致功能受 损。</w:t>
      </w:r>
    </w:p>
    <w:p>
      <w:pPr>
        <w:pStyle w:val="Style19"/>
        <w:keepNext w:val="0"/>
        <w:keepLines w:val="0"/>
        <w:widowControl w:val="0"/>
        <w:shd w:val="clear" w:color="auto" w:fill="auto"/>
        <w:bidi w:val="0"/>
        <w:spacing w:before="0" w:after="120" w:line="439" w:lineRule="exact"/>
        <w:ind w:left="0" w:right="0" w:firstLine="480"/>
        <w:jc w:val="left"/>
      </w:pPr>
      <w:r>
        <w:rPr>
          <w:color w:val="000000"/>
          <w:spacing w:val="0"/>
          <w:w w:val="100"/>
          <w:position w:val="0"/>
        </w:rPr>
        <w:t>另外，</w:t>
      </w:r>
      <w:r>
        <w:rPr>
          <w:rFonts w:ascii="Times New Roman" w:eastAsia="Times New Roman" w:hAnsi="Times New Roman" w:cs="Times New Roman"/>
          <w:color w:val="000000"/>
          <w:spacing w:val="0"/>
          <w:w w:val="100"/>
          <w:position w:val="0"/>
          <w:lang w:val="en-US" w:eastAsia="en-US" w:bidi="en-US"/>
        </w:rPr>
        <w:t>DSM-5</w:t>
      </w:r>
      <w:r>
        <w:rPr>
          <w:color w:val="000000"/>
          <w:spacing w:val="0"/>
          <w:w w:val="100"/>
          <w:position w:val="0"/>
        </w:rPr>
        <w:t xml:space="preserve">移除了 </w:t>
      </w:r>
      <w:r>
        <w:rPr>
          <w:rFonts w:ascii="Times New Roman" w:eastAsia="Times New Roman" w:hAnsi="Times New Roman" w:cs="Times New Roman"/>
          <w:color w:val="000000"/>
          <w:spacing w:val="0"/>
          <w:w w:val="100"/>
          <w:position w:val="0"/>
          <w:lang w:val="en-US" w:eastAsia="en-US" w:bidi="en-US"/>
        </w:rPr>
        <w:t>DSM-IV-TR</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广泛型</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社交</w:t>
      </w:r>
      <w:r>
        <w:rPr>
          <w:color w:val="000000"/>
          <w:spacing w:val="0"/>
          <w:w w:val="100"/>
          <w:position w:val="0"/>
        </w:rPr>
        <w:t>恐怖症，同时添加了</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仅</w:t>
      </w:r>
      <w:r>
        <w:rPr>
          <w:color w:val="000000"/>
          <w:spacing w:val="0"/>
          <w:w w:val="100"/>
          <w:position w:val="0"/>
        </w:rPr>
        <w:t>限于表 演</w:t>
      </w:r>
      <w:r>
        <w:rPr>
          <w:rFonts w:ascii="Times New Roman" w:eastAsia="Times New Roman" w:hAnsi="Times New Roman" w:cs="Times New Roman"/>
          <w:color w:val="000000"/>
          <w:spacing w:val="0"/>
          <w:w w:val="100"/>
          <w:position w:val="0"/>
        </w:rPr>
        <w:t>”</w:t>
      </w:r>
      <w:r>
        <w:rPr>
          <w:color w:val="000000"/>
          <w:spacing w:val="0"/>
          <w:w w:val="100"/>
          <w:position w:val="0"/>
        </w:rPr>
        <w:t>这一亚型。原因在于，并无足够证据支持</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广</w:t>
      </w:r>
      <w:r>
        <w:rPr>
          <w:color w:val="000000"/>
          <w:spacing w:val="0"/>
          <w:w w:val="100"/>
          <w:position w:val="0"/>
        </w:rPr>
        <w:t>泛型</w:t>
      </w:r>
      <w:r>
        <w:rPr>
          <w:rFonts w:ascii="Times New Roman" w:eastAsia="Times New Roman" w:hAnsi="Times New Roman" w:cs="Times New Roman"/>
          <w:color w:val="000000"/>
          <w:spacing w:val="0"/>
          <w:w w:val="100"/>
          <w:position w:val="0"/>
        </w:rPr>
        <w:t>”</w:t>
      </w:r>
      <w:r>
        <w:rPr>
          <w:color w:val="000000"/>
          <w:spacing w:val="0"/>
          <w:w w:val="100"/>
          <w:position w:val="0"/>
        </w:rPr>
        <w:t>的诊断，同时有证据显示，</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的严 重度随恐怖症状数量的变化而处于谱系的不同位置中。</w:t>
      </w:r>
    </w:p>
    <w:p>
      <w:pPr>
        <w:pStyle w:val="Style19"/>
        <w:keepNext w:val="0"/>
        <w:keepLines w:val="0"/>
        <w:widowControl w:val="0"/>
        <w:shd w:val="clear" w:color="auto" w:fill="auto"/>
        <w:bidi w:val="0"/>
        <w:spacing w:before="0" w:line="418" w:lineRule="exact"/>
        <w:ind w:left="0" w:right="0" w:firstLine="480"/>
        <w:jc w:val="left"/>
      </w:pPr>
      <w:r>
        <w:rPr>
          <w:color w:val="000000"/>
          <w:spacing w:val="0"/>
          <w:w w:val="100"/>
          <w:position w:val="0"/>
        </w:rPr>
        <w:t xml:space="preserve">尽管以上呈现的是最新诊断标准，但需要指岀的是，以下治疗相关内容均基于满足 </w:t>
      </w:r>
      <w:r>
        <w:rPr>
          <w:rFonts w:ascii="Times New Roman" w:eastAsia="Times New Roman" w:hAnsi="Times New Roman" w:cs="Times New Roman"/>
          <w:color w:val="000000"/>
          <w:spacing w:val="0"/>
          <w:w w:val="100"/>
          <w:position w:val="0"/>
          <w:lang w:val="en-US" w:eastAsia="en-US" w:bidi="en-US"/>
        </w:rPr>
        <w:t>DSM-IV</w:t>
      </w:r>
      <w:r>
        <w:rPr>
          <w:color w:val="000000"/>
          <w:spacing w:val="0"/>
          <w:w w:val="100"/>
          <w:position w:val="0"/>
        </w:rPr>
        <w:t>诊断标准的患者。</w:t>
      </w:r>
    </w:p>
    <w:p>
      <w:pPr>
        <w:pStyle w:val="Style34"/>
        <w:keepNext/>
        <w:keepLines/>
        <w:widowControl w:val="0"/>
        <w:shd w:val="clear" w:color="auto" w:fill="auto"/>
        <w:bidi w:val="0"/>
        <w:spacing w:before="0" w:line="432" w:lineRule="exact"/>
        <w:ind w:left="0" w:right="0"/>
        <w:jc w:val="left"/>
      </w:pPr>
      <w:bookmarkStart w:id="10" w:name="bookmark10"/>
      <w:bookmarkStart w:id="11" w:name="bookmark11"/>
      <w:bookmarkStart w:id="9" w:name="bookmark9"/>
      <w:r>
        <w:rPr>
          <w:spacing w:val="0"/>
          <w:w w:val="100"/>
          <w:position w:val="0"/>
        </w:rPr>
        <w:t>心理治疗</w:t>
      </w:r>
      <w:bookmarkEnd w:id="10"/>
      <w:bookmarkEnd w:id="11"/>
      <w:bookmarkEnd w:id="9"/>
    </w:p>
    <w:p>
      <w:pPr>
        <w:pStyle w:val="Style19"/>
        <w:keepNext w:val="0"/>
        <w:keepLines w:val="0"/>
        <w:widowControl w:val="0"/>
        <w:shd w:val="clear" w:color="auto" w:fill="auto"/>
        <w:bidi w:val="0"/>
        <w:spacing w:before="0" w:line="432" w:lineRule="exact"/>
        <w:ind w:left="0" w:right="0" w:firstLine="480"/>
        <w:jc w:val="left"/>
      </w:pPr>
      <w:r>
        <w:rPr>
          <w:color w:val="000000"/>
          <w:spacing w:val="0"/>
          <w:w w:val="100"/>
          <w:position w:val="0"/>
        </w:rPr>
        <w:t>认知行为治疗（</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非药物治疗的金标准。针对</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认知技术包 括重构及挑战病态思维，而行为组分主要为暴露疗法。很多随机对照研究（</w:t>
      </w:r>
      <w:r>
        <w:rPr>
          <w:rFonts w:ascii="Times New Roman" w:eastAsia="Times New Roman" w:hAnsi="Times New Roman" w:cs="Times New Roman"/>
          <w:color w:val="000000"/>
          <w:spacing w:val="0"/>
          <w:w w:val="100"/>
          <w:position w:val="0"/>
          <w:lang w:val="en-US" w:eastAsia="en-US" w:bidi="en-US"/>
        </w:rPr>
        <w:t>RCTs</w:t>
      </w:r>
      <w:r>
        <w:rPr>
          <w:color w:val="000000"/>
          <w:spacing w:val="0"/>
          <w:w w:val="100"/>
          <w:position w:val="0"/>
          <w:lang w:val="en-US" w:eastAsia="en-US" w:bidi="en-US"/>
        </w:rPr>
        <w:t>）</w:t>
      </w:r>
      <w:r>
        <w:rPr>
          <w:color w:val="000000"/>
          <w:spacing w:val="0"/>
          <w:w w:val="100"/>
          <w:position w:val="0"/>
        </w:rPr>
        <w:t xml:space="preserve">及 </w:t>
      </w:r>
      <w:r>
        <w:rPr>
          <w:rFonts w:ascii="Times New Roman" w:eastAsia="Times New Roman" w:hAnsi="Times New Roman" w:cs="Times New Roman"/>
          <w:color w:val="000000"/>
          <w:spacing w:val="0"/>
          <w:w w:val="100"/>
          <w:position w:val="0"/>
          <w:lang w:val="en-US" w:eastAsia="en-US" w:bidi="en-US"/>
        </w:rPr>
        <w:t>meta</w:t>
      </w:r>
      <w:r>
        <w:rPr>
          <w:color w:val="000000"/>
          <w:spacing w:val="0"/>
          <w:w w:val="100"/>
          <w:position w:val="0"/>
        </w:rPr>
        <w:t>分析均提示，</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针对</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的疗效优于安慰剂、常规治疗（</w:t>
      </w:r>
      <w:r>
        <w:rPr>
          <w:rFonts w:ascii="Times New Roman" w:eastAsia="Times New Roman" w:hAnsi="Times New Roman" w:cs="Times New Roman"/>
          <w:color w:val="000000"/>
          <w:spacing w:val="0"/>
          <w:w w:val="100"/>
          <w:position w:val="0"/>
          <w:lang w:val="en-US" w:eastAsia="en-US" w:bidi="en-US"/>
        </w:rPr>
        <w:t>TAU</w:t>
      </w:r>
      <w:r>
        <w:rPr>
          <w:color w:val="000000"/>
          <w:spacing w:val="0"/>
          <w:w w:val="100"/>
          <w:position w:val="0"/>
        </w:rPr>
        <w:t xml:space="preserve">）或等候名单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wait-list</w:t>
      </w:r>
      <w:r>
        <w:rPr>
          <w:color w:val="000000"/>
          <w:spacing w:val="0"/>
          <w:w w:val="100"/>
          <w:position w:val="0"/>
          <w:lang w:val="en-US" w:eastAsia="en-US" w:bidi="en-US"/>
        </w:rPr>
        <w:t>）</w:t>
      </w:r>
      <w:r>
        <w:rPr>
          <w:color w:val="000000"/>
          <w:spacing w:val="0"/>
          <w:w w:val="100"/>
          <w:position w:val="0"/>
        </w:rPr>
        <w:t>设置。尽管结果有所不同，但仍有多项研究提示，在治疗急性</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 xml:space="preserve">方面， </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与药物治疗疗效相仿。还有研究显示，在治疗中断后，</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疗效的持续时间较药物治 疗更长。针对</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包括团体及个人形式。尽管有研究显示，个人</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的疗效优 于团体</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meta</w:t>
      </w:r>
      <w:r>
        <w:rPr>
          <w:color w:val="000000"/>
          <w:spacing w:val="0"/>
          <w:w w:val="100"/>
          <w:position w:val="0"/>
        </w:rPr>
        <w:t>分析结果则显示，两者疗效并无显著差异。</w:t>
      </w:r>
    </w:p>
    <w:p>
      <w:pPr>
        <w:pStyle w:val="Style19"/>
        <w:keepNext w:val="0"/>
        <w:keepLines w:val="0"/>
        <w:widowControl w:val="0"/>
        <w:shd w:val="clear" w:color="auto" w:fill="auto"/>
        <w:bidi w:val="0"/>
        <w:spacing w:before="0" w:line="432" w:lineRule="exact"/>
        <w:ind w:left="0" w:right="0" w:firstLine="480"/>
        <w:jc w:val="left"/>
      </w:pPr>
      <w:r>
        <w:rPr>
          <w:color w:val="000000"/>
          <w:spacing w:val="0"/>
          <w:w w:val="100"/>
          <w:position w:val="0"/>
        </w:rPr>
        <w:t xml:space="preserve">既往研究同样检视了 </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中个别组分的疗效。证据显示，单独的暴露疗法即具有一 定疗效。然而，暴露疗法与</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整体疗效的比较结果莫衷一是。</w:t>
      </w:r>
    </w:p>
    <w:p>
      <w:pPr>
        <w:pStyle w:val="Style19"/>
        <w:keepNext w:val="0"/>
        <w:keepLines w:val="0"/>
        <w:widowControl w:val="0"/>
        <w:shd w:val="clear" w:color="auto" w:fill="auto"/>
        <w:bidi w:val="0"/>
        <w:spacing w:before="0" w:line="427" w:lineRule="exact"/>
        <w:ind w:left="0" w:right="0" w:firstLine="480"/>
        <w:jc w:val="left"/>
      </w:pPr>
      <w:r>
        <w:rPr>
          <w:color w:val="000000"/>
          <w:spacing w:val="0"/>
          <w:w w:val="100"/>
          <w:position w:val="0"/>
        </w:rPr>
        <w:t>有研究对</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中的若干变量进行了探讨。例如证据显示，录像反馈技术并不能增强 暴露疗法的疗效。然而，两项</w:t>
      </w:r>
      <w:r>
        <w:rPr>
          <w:rFonts w:ascii="Times New Roman" w:eastAsia="Times New Roman" w:hAnsi="Times New Roman" w:cs="Times New Roman"/>
          <w:color w:val="000000"/>
          <w:spacing w:val="0"/>
          <w:w w:val="100"/>
          <w:position w:val="0"/>
          <w:lang w:val="en-US" w:eastAsia="en-US" w:bidi="en-US"/>
        </w:rPr>
        <w:t>meta</w:t>
      </w:r>
      <w:r>
        <w:rPr>
          <w:color w:val="000000"/>
          <w:spacing w:val="0"/>
          <w:w w:val="100"/>
          <w:position w:val="0"/>
        </w:rPr>
        <w:t>分析结果显示，</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 xml:space="preserve">联合个体化虚拟现实暴露疗法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VRE</w:t>
      </w:r>
      <w:r>
        <w:rPr>
          <w:color w:val="000000"/>
          <w:spacing w:val="0"/>
          <w:w w:val="100"/>
          <w:position w:val="0"/>
          <w:lang w:val="en-US" w:eastAsia="en-US" w:bidi="en-US"/>
        </w:rPr>
        <w:t>）</w:t>
      </w:r>
      <w:r>
        <w:rPr>
          <w:color w:val="000000"/>
          <w:spacing w:val="0"/>
          <w:w w:val="100"/>
          <w:position w:val="0"/>
        </w:rPr>
        <w:t>效果优于等候名单对照，与纳入拟放松及现场暴露法的</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疗效相仿。</w:t>
      </w:r>
    </w:p>
    <w:p>
      <w:pPr>
        <w:pStyle w:val="Style19"/>
        <w:keepNext w:val="0"/>
        <w:keepLines w:val="0"/>
        <w:widowControl w:val="0"/>
        <w:shd w:val="clear" w:color="auto" w:fill="auto"/>
        <w:bidi w:val="0"/>
        <w:spacing w:before="0" w:line="432" w:lineRule="exact"/>
        <w:ind w:left="0" w:right="0" w:firstLine="480"/>
        <w:jc w:val="left"/>
      </w:pPr>
      <w:r>
        <w:rPr>
          <w:color w:val="000000"/>
          <w:spacing w:val="0"/>
          <w:w w:val="100"/>
          <w:position w:val="0"/>
        </w:rPr>
        <w:t>在改善社交焦虑方面，一种聚焦于人际间行为的</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形式与</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疗效相仿，同时可 改善关系满意度及社交亲近行为。人际疗法（</w:t>
      </w:r>
      <w:r>
        <w:rPr>
          <w:rFonts w:ascii="Times New Roman" w:eastAsia="Times New Roman" w:hAnsi="Times New Roman" w:cs="Times New Roman"/>
          <w:color w:val="000000"/>
          <w:spacing w:val="0"/>
          <w:w w:val="100"/>
          <w:position w:val="0"/>
          <w:lang w:val="en-US" w:eastAsia="en-US" w:bidi="en-US"/>
        </w:rPr>
        <w:t>IPT</w:t>
      </w:r>
      <w:r>
        <w:rPr>
          <w:color w:val="000000"/>
          <w:spacing w:val="0"/>
          <w:w w:val="100"/>
          <w:position w:val="0"/>
          <w:lang w:val="en-US" w:eastAsia="en-US" w:bidi="en-US"/>
        </w:rPr>
        <w:t>）</w:t>
      </w:r>
      <w:r>
        <w:rPr>
          <w:color w:val="000000"/>
          <w:spacing w:val="0"/>
          <w:w w:val="100"/>
          <w:position w:val="0"/>
        </w:rPr>
        <w:t>针对</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的疗效证据不一：有的研究 结果为阴性，还有研究显示，</w:t>
      </w:r>
      <w:r>
        <w:rPr>
          <w:rFonts w:ascii="Times New Roman" w:eastAsia="Times New Roman" w:hAnsi="Times New Roman" w:cs="Times New Roman"/>
          <w:color w:val="000000"/>
          <w:spacing w:val="0"/>
          <w:w w:val="100"/>
          <w:position w:val="0"/>
          <w:lang w:val="en-US" w:eastAsia="en-US" w:bidi="en-US"/>
        </w:rPr>
        <w:t>IPT</w:t>
      </w:r>
      <w:r>
        <w:rPr>
          <w:color w:val="000000"/>
          <w:spacing w:val="0"/>
          <w:w w:val="100"/>
          <w:position w:val="0"/>
        </w:rPr>
        <w:t>的疗效优于等候名单，劣于传统</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lang w:val="en-US" w:eastAsia="en-US" w:bidi="en-US"/>
        </w:rPr>
        <w:t>。</w:t>
      </w:r>
    </w:p>
    <w:p>
      <w:pPr>
        <w:pStyle w:val="Style19"/>
        <w:keepNext w:val="0"/>
        <w:keepLines w:val="0"/>
        <w:widowControl w:val="0"/>
        <w:shd w:val="clear" w:color="auto" w:fill="auto"/>
        <w:bidi w:val="0"/>
        <w:spacing w:before="0" w:line="439" w:lineRule="exact"/>
        <w:ind w:left="0" w:right="0" w:firstLine="480"/>
        <w:jc w:val="left"/>
      </w:pPr>
      <w:r>
        <w:rPr>
          <w:color w:val="000000"/>
          <w:spacing w:val="0"/>
          <w:w w:val="100"/>
          <w:position w:val="0"/>
        </w:rPr>
        <w:t>与之类似，虽然疗效亦不如</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lang w:val="en-US" w:eastAsia="en-US" w:bidi="en-US"/>
        </w:rPr>
        <w:t>，</w:t>
      </w:r>
      <w:r>
        <w:rPr>
          <w:color w:val="000000"/>
          <w:spacing w:val="0"/>
          <w:w w:val="100"/>
          <w:position w:val="0"/>
        </w:rPr>
        <w:t>但正念疗法（</w:t>
      </w:r>
      <w:r>
        <w:rPr>
          <w:rFonts w:ascii="Times New Roman" w:eastAsia="Times New Roman" w:hAnsi="Times New Roman" w:cs="Times New Roman"/>
          <w:color w:val="000000"/>
          <w:spacing w:val="0"/>
          <w:w w:val="100"/>
          <w:position w:val="0"/>
          <w:lang w:val="en-US" w:eastAsia="en-US" w:bidi="en-US"/>
        </w:rPr>
        <w:t>MBT</w:t>
      </w:r>
      <w:r>
        <w:rPr>
          <w:color w:val="000000"/>
          <w:spacing w:val="0"/>
          <w:w w:val="100"/>
          <w:position w:val="0"/>
        </w:rPr>
        <w:t>）同样可改善</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症状。另 外，针对注意偏倚训练的小规模研究显示，该疗法有助于患者脱离负性社交线索，但结果 同样存在冲突。</w:t>
      </w:r>
    </w:p>
    <w:p>
      <w:pPr>
        <w:pStyle w:val="Style19"/>
        <w:keepNext w:val="0"/>
        <w:keepLines w:val="0"/>
        <w:widowControl w:val="0"/>
        <w:shd w:val="clear" w:color="auto" w:fill="auto"/>
        <w:bidi w:val="0"/>
        <w:spacing w:before="0" w:line="435" w:lineRule="exact"/>
        <w:ind w:left="0" w:right="0" w:firstLine="480"/>
        <w:jc w:val="left"/>
      </w:pPr>
      <w:r>
        <w:rPr>
          <w:color w:val="000000"/>
          <w:spacing w:val="0"/>
          <w:w w:val="100"/>
          <w:position w:val="0"/>
        </w:rPr>
        <w:t>整合认知行为治疗（</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）是一种相对较新的治疗形式，或有助于提高日后针对焦 虑及心境障碍的</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的可获得性。研究显示，</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在改善</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症状方面显著优于等候 名单对照。大部分</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 xml:space="preserve">项目中，治疗师与患者的接触程度均维持在最低限度，主要形式 为电子邮件或电话。很多项目纳入了与其他参与者通过网络讨论小组互动的成分。然而， </w:t>
      </w:r>
      <w:r>
        <w:rPr>
          <w:color w:val="000000"/>
          <w:spacing w:val="0"/>
          <w:w w:val="100"/>
          <w:position w:val="0"/>
        </w:rPr>
        <w:t>治疗师成分是否必需目前尚不清楚，有无引导的</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疗效也难分优劣。在一项</w:t>
      </w:r>
      <w:r>
        <w:rPr>
          <w:rFonts w:ascii="Times New Roman" w:eastAsia="Times New Roman" w:hAnsi="Times New Roman" w:cs="Times New Roman"/>
          <w:color w:val="000000"/>
          <w:spacing w:val="0"/>
          <w:w w:val="100"/>
          <w:position w:val="0"/>
          <w:lang w:val="en-US" w:eastAsia="en-US" w:bidi="en-US"/>
        </w:rPr>
        <w:t>RCT</w:t>
      </w:r>
      <w:r>
        <w:rPr>
          <w:color w:val="000000"/>
          <w:spacing w:val="0"/>
          <w:w w:val="100"/>
          <w:position w:val="0"/>
        </w:rPr>
        <w:t>中， 医师辅助的</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效果优于自我引导的</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lang w:val="en-US" w:eastAsia="en-US" w:bidi="en-US"/>
        </w:rPr>
        <w:t>，</w:t>
      </w:r>
      <w:r>
        <w:rPr>
          <w:color w:val="000000"/>
          <w:spacing w:val="0"/>
          <w:w w:val="100"/>
          <w:position w:val="0"/>
        </w:rPr>
        <w:t>后者疗效不显著优于等候名单设置。与之类 似，一项有治疗师参与的</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自助项目疗效优于纯自助的治疗方案。然而也有很多研究 显示，两者疗效相仿。</w:t>
      </w:r>
    </w:p>
    <w:p>
      <w:pPr>
        <w:pStyle w:val="Style19"/>
        <w:keepNext w:val="0"/>
        <w:keepLines w:val="0"/>
        <w:widowControl w:val="0"/>
        <w:shd w:val="clear" w:color="auto" w:fill="auto"/>
        <w:bidi w:val="0"/>
        <w:spacing w:before="0" w:line="436" w:lineRule="exact"/>
        <w:ind w:left="0" w:right="0" w:firstLine="480"/>
        <w:jc w:val="left"/>
      </w:pPr>
      <w:r>
        <w:rPr>
          <w:color w:val="000000"/>
          <w:spacing w:val="0"/>
          <w:w w:val="100"/>
          <w:position w:val="0"/>
        </w:rPr>
        <w:t>一些</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项目纳入了面对面的现场暴露成分，但一项</w:t>
      </w:r>
      <w:r>
        <w:rPr>
          <w:rFonts w:ascii="Times New Roman" w:eastAsia="Times New Roman" w:hAnsi="Times New Roman" w:cs="Times New Roman"/>
          <w:color w:val="000000"/>
          <w:spacing w:val="0"/>
          <w:w w:val="100"/>
          <w:position w:val="0"/>
          <w:lang w:val="en-US" w:eastAsia="en-US" w:bidi="en-US"/>
        </w:rPr>
        <w:t>RCT</w:t>
      </w:r>
      <w:r>
        <w:rPr>
          <w:color w:val="000000"/>
          <w:spacing w:val="0"/>
          <w:w w:val="100"/>
          <w:position w:val="0"/>
        </w:rPr>
        <w:t>显示，与单纯的自我引 导相比，添加这一组分并未显著改善预后。还有若干项研究显示，</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 xml:space="preserve">与面对面形式的 </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疗效相仿。一些针对</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的研究纳入了与患者面对面或电话形式的初筛，以及治疗 后的电话评估或患者自评措施。这种设置与自行实施的治疗手段（</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或自助手册）相比 疗效如何，目前仍所知甚少。</w:t>
      </w:r>
    </w:p>
    <w:p>
      <w:pPr>
        <w:pStyle w:val="Style34"/>
        <w:keepNext/>
        <w:keepLines/>
        <w:widowControl w:val="0"/>
        <w:shd w:val="clear" w:color="auto" w:fill="auto"/>
        <w:bidi w:val="0"/>
        <w:spacing w:before="0" w:line="436" w:lineRule="exact"/>
        <w:ind w:left="0" w:right="0"/>
        <w:jc w:val="left"/>
      </w:pPr>
      <w:bookmarkStart w:id="12" w:name="bookmark12"/>
      <w:bookmarkStart w:id="13" w:name="bookmark13"/>
      <w:bookmarkStart w:id="14" w:name="bookmark14"/>
      <w:r>
        <w:rPr>
          <w:spacing w:val="0"/>
          <w:w w:val="100"/>
          <w:position w:val="0"/>
        </w:rPr>
        <w:t>心理治疗联合药物治疗</w:t>
      </w:r>
      <w:bookmarkEnd w:id="12"/>
      <w:bookmarkEnd w:id="13"/>
      <w:bookmarkEnd w:id="14"/>
    </w:p>
    <w:p>
      <w:pPr>
        <w:pStyle w:val="Style19"/>
        <w:keepNext w:val="0"/>
        <w:keepLines w:val="0"/>
        <w:widowControl w:val="0"/>
        <w:shd w:val="clear" w:color="auto" w:fill="auto"/>
        <w:bidi w:val="0"/>
        <w:spacing w:before="0" w:line="434" w:lineRule="exact"/>
        <w:ind w:left="0" w:right="0" w:firstLine="480"/>
        <w:jc w:val="left"/>
      </w:pPr>
      <w:r>
        <w:rPr>
          <w:color w:val="000000"/>
          <w:spacing w:val="0"/>
          <w:w w:val="100"/>
          <w:position w:val="0"/>
        </w:rPr>
        <w:t>一些研究显示，在心理治疗的基础上联合药物治疗的疗效并不优于心理治疗自身。然 而，一项研究显示，苯乙肼联合</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疗效优于单用其中任一组分。证据显示，暴露练习的 过程中联用</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rPr>
        <w:t>环丝氨酸可改善临床预后；另外，一项研究针对心理动力治疗的研究显示， 联合氯硝西泮的疗效优于单用该药。</w:t>
      </w:r>
    </w:p>
    <w:p>
      <w:pPr>
        <w:pStyle w:val="Style34"/>
        <w:keepNext/>
        <w:keepLines/>
        <w:widowControl w:val="0"/>
        <w:shd w:val="clear" w:color="auto" w:fill="auto"/>
        <w:bidi w:val="0"/>
        <w:spacing w:before="0" w:line="436" w:lineRule="exact"/>
        <w:ind w:left="0" w:right="0"/>
        <w:jc w:val="left"/>
      </w:pPr>
      <w:bookmarkStart w:id="15" w:name="bookmark15"/>
      <w:bookmarkStart w:id="16" w:name="bookmark16"/>
      <w:bookmarkStart w:id="17" w:name="bookmark17"/>
      <w:r>
        <w:rPr>
          <w:spacing w:val="0"/>
          <w:w w:val="100"/>
          <w:position w:val="0"/>
        </w:rPr>
        <w:t>心理治疗的长期疗效</w:t>
      </w:r>
      <w:bookmarkEnd w:id="15"/>
      <w:bookmarkEnd w:id="16"/>
      <w:bookmarkEnd w:id="17"/>
    </w:p>
    <w:p>
      <w:pPr>
        <w:pStyle w:val="Style19"/>
        <w:keepNext w:val="0"/>
        <w:keepLines w:val="0"/>
        <w:widowControl w:val="0"/>
        <w:shd w:val="clear" w:color="auto" w:fill="auto"/>
        <w:bidi w:val="0"/>
        <w:spacing w:before="0" w:after="620" w:line="446" w:lineRule="exact"/>
        <w:ind w:left="0" w:right="0" w:firstLine="480"/>
        <w:jc w:val="left"/>
      </w:pP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的疗效可维持</w:t>
      </w:r>
      <w:r>
        <w:rPr>
          <w:rFonts w:ascii="Times New Roman" w:eastAsia="Times New Roman" w:hAnsi="Times New Roman" w:cs="Times New Roman"/>
          <w:color w:val="000000"/>
          <w:spacing w:val="0"/>
          <w:w w:val="100"/>
          <w:position w:val="0"/>
          <w:lang w:val="en-US" w:eastAsia="en-US" w:bidi="en-US"/>
        </w:rPr>
        <w:t>6-12</w:t>
      </w:r>
      <w:r>
        <w:rPr>
          <w:color w:val="000000"/>
          <w:spacing w:val="0"/>
          <w:w w:val="100"/>
          <w:position w:val="0"/>
        </w:rPr>
        <w:t>个月；治疗</w:t>
      </w:r>
      <w:r>
        <w:rPr>
          <w:rFonts w:ascii="Times New Roman" w:eastAsia="Times New Roman" w:hAnsi="Times New Roman" w:cs="Times New Roman"/>
          <w:color w:val="000000"/>
          <w:spacing w:val="0"/>
          <w:w w:val="100"/>
          <w:position w:val="0"/>
        </w:rPr>
        <w:t>5</w:t>
      </w:r>
      <w:r>
        <w:rPr>
          <w:color w:val="000000"/>
          <w:spacing w:val="0"/>
          <w:w w:val="100"/>
          <w:position w:val="0"/>
        </w:rPr>
        <w:t>年后，患者仍有收益。</w:t>
      </w:r>
      <w:r>
        <w:rPr>
          <w:rFonts w:ascii="Times New Roman" w:eastAsia="Times New Roman" w:hAnsi="Times New Roman" w:cs="Times New Roman"/>
          <w:color w:val="000000"/>
          <w:spacing w:val="0"/>
          <w:w w:val="100"/>
          <w:position w:val="0"/>
          <w:lang w:val="en-US" w:eastAsia="en-US" w:bidi="en-US"/>
        </w:rPr>
        <w:t>ICBT</w:t>
      </w:r>
      <w:r>
        <w:rPr>
          <w:color w:val="000000"/>
          <w:spacing w:val="0"/>
          <w:w w:val="100"/>
          <w:position w:val="0"/>
        </w:rPr>
        <w:t>的疗效可维持</w:t>
      </w:r>
      <w:r>
        <w:rPr>
          <w:rFonts w:ascii="Times New Roman" w:eastAsia="Times New Roman" w:hAnsi="Times New Roman" w:cs="Times New Roman"/>
          <w:color w:val="000000"/>
          <w:spacing w:val="0"/>
          <w:w w:val="100"/>
          <w:position w:val="0"/>
          <w:lang w:val="en-US" w:eastAsia="en-US" w:bidi="en-US"/>
        </w:rPr>
        <w:t xml:space="preserve">1-5 </w:t>
      </w:r>
      <w:r>
        <w:rPr>
          <w:color w:val="000000"/>
          <w:spacing w:val="0"/>
          <w:w w:val="100"/>
          <w:position w:val="0"/>
        </w:rPr>
        <w:t>年。治疗停止后，心理治疗疗效的维持时间长于药物治疗。</w:t>
      </w:r>
    </w:p>
    <w:p>
      <w:pPr>
        <w:pStyle w:val="Style19"/>
        <w:keepNext w:val="0"/>
        <w:keepLines w:val="0"/>
        <w:widowControl w:val="0"/>
        <w:shd w:val="clear" w:color="auto" w:fill="auto"/>
        <w:bidi w:val="0"/>
        <w:spacing w:before="0" w:line="240" w:lineRule="auto"/>
        <w:ind w:left="0" w:right="0" w:firstLine="480"/>
        <w:jc w:val="left"/>
        <w:sectPr>
          <w:headerReference w:type="default" r:id="rId5"/>
          <w:footnotePr>
            <w:pos w:val="pageBottom"/>
            <w:numFmt w:val="decimal"/>
            <w:numRestart w:val="continuous"/>
          </w:footnotePr>
          <w:pgSz w:w="11900" w:h="16840"/>
          <w:pgMar w:top="1417" w:right="982" w:bottom="1571" w:left="1774" w:header="0" w:footer="1143" w:gutter="0"/>
          <w:pgNumType w:start="1"/>
          <w:cols w:space="720"/>
          <w:noEndnote/>
          <w:rtlGutter w:val="0"/>
          <w:docGrid w:linePitch="360"/>
        </w:sectPr>
      </w:pPr>
      <w:r>
        <w:rPr>
          <w:b/>
          <w:bCs/>
          <w:color w:val="C00000"/>
          <w:spacing w:val="0"/>
          <w:w w:val="100"/>
          <w:position w:val="0"/>
        </w:rPr>
        <w:t>药物治疗</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180" w:right="0" w:firstLine="0"/>
        <w:jc w:val="left"/>
        <w:rPr>
          <w:sz w:val="22"/>
          <w:szCs w:val="22"/>
        </w:rPr>
      </w:pPr>
      <w:r>
        <w:rPr>
          <w:color w:val="000000"/>
          <w:spacing w:val="0"/>
          <w:w w:val="100"/>
          <w:position w:val="0"/>
          <w:sz w:val="22"/>
          <w:szCs w:val="22"/>
          <w:u w:val="single"/>
          <w:lang w:val="en-US" w:eastAsia="en-US" w:bidi="en-US"/>
        </w:rPr>
        <w:t>］</w:t>
      </w:r>
      <w:r>
        <w:rPr>
          <w:color w:val="292929"/>
          <w:spacing w:val="0"/>
          <w:w w:val="100"/>
          <w:position w:val="0"/>
          <w:sz w:val="22"/>
          <w:szCs w:val="22"/>
          <w:u w:val="single"/>
        </w:rPr>
        <w:t xml:space="preserve">级证据 </w:t>
      </w:r>
      <w:r>
        <w:rPr>
          <w:color w:val="292929"/>
          <w:spacing w:val="0"/>
          <w:w w:val="100"/>
          <w:position w:val="0"/>
          <w:sz w:val="24"/>
          <w:szCs w:val="24"/>
          <w:u w:val="single"/>
          <w:lang w:val="en-US" w:eastAsia="en-US" w:bidi="en-US"/>
        </w:rPr>
        <w:t>Meta</w:t>
      </w:r>
      <w:r>
        <w:rPr>
          <w:color w:val="292929"/>
          <w:spacing w:val="0"/>
          <w:w w:val="100"/>
          <w:position w:val="0"/>
          <w:sz w:val="22"/>
          <w:szCs w:val="22"/>
          <w:u w:val="single"/>
        </w:rPr>
        <w:t>分析或至少两项随机安慰荆对照研究（</w:t>
      </w:r>
      <w:r>
        <w:rPr>
          <w:color w:val="292929"/>
          <w:spacing w:val="0"/>
          <w:w w:val="100"/>
          <w:position w:val="0"/>
          <w:sz w:val="24"/>
          <w:szCs w:val="24"/>
          <w:u w:val="single"/>
          <w:lang w:val="en-US" w:eastAsia="en-US" w:bidi="en-US"/>
        </w:rPr>
        <w:t xml:space="preserve">RCTs </w:t>
      </w:r>
      <w:r>
        <w:rPr>
          <w:color w:val="292929"/>
          <w:spacing w:val="0"/>
          <w:w w:val="100"/>
          <w:position w:val="0"/>
          <w:sz w:val="22"/>
          <w:szCs w:val="22"/>
          <w:u w:val="single"/>
        </w:rPr>
        <w:t>）</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180" w:right="0" w:firstLine="0"/>
        <w:jc w:val="left"/>
        <w:rPr>
          <w:sz w:val="22"/>
          <w:szCs w:val="22"/>
        </w:rPr>
      </w:pPr>
      <w:r>
        <w:rPr>
          <w:b/>
          <w:bCs/>
          <w:color w:val="292929"/>
          <w:spacing w:val="0"/>
          <w:w w:val="100"/>
          <w:position w:val="0"/>
          <w:sz w:val="24"/>
          <w:szCs w:val="24"/>
          <w:u w:val="single"/>
        </w:rPr>
        <w:t>2</w:t>
      </w:r>
      <w:r>
        <w:rPr>
          <w:color w:val="292929"/>
          <w:spacing w:val="0"/>
          <w:w w:val="100"/>
          <w:position w:val="0"/>
          <w:sz w:val="22"/>
          <w:szCs w:val="22"/>
          <w:u w:val="single"/>
        </w:rPr>
        <w:t>级证据 项</w:t>
      </w:r>
      <w:r>
        <w:rPr>
          <w:color w:val="292929"/>
          <w:spacing w:val="0"/>
          <w:w w:val="100"/>
          <w:position w:val="0"/>
          <w:sz w:val="24"/>
          <w:szCs w:val="24"/>
          <w:u w:val="single"/>
          <w:lang w:val="en-US" w:eastAsia="en-US" w:bidi="en-US"/>
        </w:rPr>
        <w:t xml:space="preserve">RCT </w:t>
      </w:r>
      <w:r>
        <w:rPr>
          <w:color w:val="292929"/>
          <w:spacing w:val="0"/>
          <w:w w:val="100"/>
          <w:position w:val="0"/>
          <w:sz w:val="22"/>
          <w:szCs w:val="22"/>
          <w:u w:val="single"/>
        </w:rPr>
        <w:t>,纳入安慰剂或活幣寸照</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180" w:right="0" w:firstLine="0"/>
        <w:jc w:val="left"/>
        <w:rPr>
          <w:sz w:val="24"/>
          <w:szCs w:val="24"/>
        </w:rPr>
      </w:pPr>
      <w:r>
        <w:rPr>
          <w:b/>
          <w:bCs/>
          <w:color w:val="000000"/>
          <w:spacing w:val="0"/>
          <w:w w:val="100"/>
          <w:position w:val="0"/>
          <w:sz w:val="24"/>
          <w:szCs w:val="24"/>
          <w:u w:val="single"/>
        </w:rPr>
        <w:t>3</w:t>
      </w:r>
      <w:r>
        <w:rPr>
          <w:color w:val="000000"/>
          <w:spacing w:val="0"/>
          <w:w w:val="100"/>
          <w:position w:val="0"/>
          <w:sz w:val="22"/>
          <w:szCs w:val="22"/>
          <w:u w:val="single"/>
        </w:rPr>
        <w:t xml:space="preserve">级证据 </w:t>
      </w:r>
      <w:r>
        <w:rPr>
          <w:color w:val="292929"/>
          <w:spacing w:val="0"/>
          <w:w w:val="100"/>
          <w:position w:val="0"/>
          <w:sz w:val="22"/>
          <w:szCs w:val="22"/>
          <w:u w:val="single"/>
        </w:rPr>
        <w:t>非对照研究，样本量</w:t>
      </w:r>
      <w:r>
        <w:rPr>
          <w:color w:val="292929"/>
          <w:spacing w:val="0"/>
          <w:w w:val="100"/>
          <w:position w:val="0"/>
          <w:sz w:val="24"/>
          <w:szCs w:val="24"/>
          <w:u w:val="single"/>
        </w:rPr>
        <w:t>210</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180" w:right="0" w:firstLine="0"/>
        <w:jc w:val="left"/>
        <w:rPr>
          <w:sz w:val="22"/>
          <w:szCs w:val="22"/>
        </w:rPr>
      </w:pPr>
      <w:r>
        <w:rPr>
          <w:b/>
          <w:bCs/>
          <w:color w:val="000000"/>
          <w:spacing w:val="0"/>
          <w:w w:val="100"/>
          <w:position w:val="0"/>
          <w:sz w:val="24"/>
          <w:szCs w:val="24"/>
        </w:rPr>
        <w:t>4</w:t>
      </w:r>
      <w:r>
        <w:rPr>
          <w:color w:val="292929"/>
          <w:spacing w:val="0"/>
          <w:w w:val="100"/>
          <w:position w:val="0"/>
          <w:sz w:val="22"/>
          <w:szCs w:val="22"/>
        </w:rPr>
        <w:t>级证据个案报告或专家意见</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180" w:right="0" w:firstLine="0"/>
        <w:jc w:val="left"/>
        <w:rPr>
          <w:sz w:val="22"/>
          <w:szCs w:val="22"/>
        </w:rPr>
      </w:pPr>
      <w:r>
        <w:rPr>
          <w:color w:val="000000"/>
          <w:spacing w:val="0"/>
          <w:w w:val="100"/>
          <w:position w:val="0"/>
          <w:sz w:val="22"/>
          <w:szCs w:val="22"/>
          <w:u w:val="single"/>
        </w:rPr>
        <w:t>一</w:t>
      </w:r>
      <w:r>
        <w:rPr>
          <w:color w:val="292929"/>
          <w:spacing w:val="0"/>
          <w:w w:val="100"/>
          <w:position w:val="0"/>
          <w:sz w:val="22"/>
          <w:szCs w:val="22"/>
          <w:u w:val="single"/>
        </w:rPr>
        <w:t>线治疗</w:t>
      </w:r>
      <w:r>
        <w:rPr>
          <w:color w:val="292929"/>
          <w:spacing w:val="0"/>
          <w:w w:val="100"/>
          <w:position w:val="0"/>
          <w:sz w:val="24"/>
          <w:szCs w:val="24"/>
          <w:u w:val="single"/>
        </w:rPr>
        <w:t>1</w:t>
      </w:r>
      <w:r>
        <w:rPr>
          <w:color w:val="292929"/>
          <w:spacing w:val="0"/>
          <w:w w:val="100"/>
          <w:position w:val="0"/>
          <w:sz w:val="22"/>
          <w:szCs w:val="22"/>
          <w:u w:val="single"/>
        </w:rPr>
        <w:t>级或</w:t>
      </w:r>
      <w:r>
        <w:rPr>
          <w:color w:val="292929"/>
          <w:spacing w:val="0"/>
          <w:w w:val="100"/>
          <w:position w:val="0"/>
          <w:sz w:val="24"/>
          <w:szCs w:val="24"/>
          <w:u w:val="single"/>
        </w:rPr>
        <w:t>2</w:t>
      </w:r>
      <w:r>
        <w:rPr>
          <w:color w:val="292929"/>
          <w:spacing w:val="0"/>
          <w:w w:val="100"/>
          <w:position w:val="0"/>
          <w:sz w:val="22"/>
          <w:szCs w:val="22"/>
          <w:u w:val="single"/>
        </w:rPr>
        <w:t>级证据+效能及安全性临床支持</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40" w:line="360" w:lineRule="exact"/>
        <w:ind w:left="180" w:right="0" w:firstLine="0"/>
        <w:jc w:val="left"/>
        <w:rPr>
          <w:sz w:val="22"/>
          <w:szCs w:val="22"/>
        </w:rPr>
      </w:pPr>
      <w:r>
        <w:rPr>
          <w:color w:val="292929"/>
          <w:spacing w:val="0"/>
          <w:w w:val="100"/>
          <w:position w:val="0"/>
          <w:sz w:val="22"/>
          <w:szCs w:val="22"/>
          <w:u w:val="single"/>
        </w:rPr>
        <w:t>二线治疗</w:t>
      </w:r>
      <w:r>
        <w:rPr>
          <w:color w:val="292929"/>
          <w:spacing w:val="0"/>
          <w:w w:val="100"/>
          <w:position w:val="0"/>
          <w:sz w:val="24"/>
          <w:szCs w:val="24"/>
          <w:u w:val="single"/>
        </w:rPr>
        <w:t>3</w:t>
      </w:r>
      <w:r>
        <w:rPr>
          <w:color w:val="292929"/>
          <w:spacing w:val="0"/>
          <w:w w:val="100"/>
          <w:position w:val="0"/>
          <w:sz w:val="22"/>
          <w:szCs w:val="22"/>
          <w:u w:val="single"/>
        </w:rPr>
        <w:t>级或更高等级的证据+效能及安全性临床支持 三治疗</w:t>
      </w:r>
      <w:r>
        <w:rPr>
          <w:color w:val="292929"/>
          <w:spacing w:val="0"/>
          <w:w w:val="100"/>
          <w:position w:val="0"/>
          <w:sz w:val="24"/>
          <w:szCs w:val="24"/>
          <w:u w:val="single"/>
        </w:rPr>
        <w:t>4</w:t>
      </w:r>
      <w:r>
        <w:rPr>
          <w:color w:val="292929"/>
          <w:spacing w:val="0"/>
          <w:w w:val="100"/>
          <w:position w:val="0"/>
          <w:sz w:val="22"/>
          <w:szCs w:val="22"/>
          <w:u w:val="single"/>
        </w:rPr>
        <w:t xml:space="preserve">级或更高等级的证据+效能及安融临同持 </w:t>
      </w:r>
      <w:r>
        <w:rPr>
          <w:color w:val="000000"/>
          <w:spacing w:val="0"/>
          <w:w w:val="100"/>
          <w:position w:val="0"/>
          <w:sz w:val="22"/>
          <w:szCs w:val="22"/>
        </w:rPr>
        <w:t xml:space="preserve">不推荐 </w:t>
      </w:r>
      <w:r>
        <w:rPr>
          <w:color w:val="292929"/>
          <w:spacing w:val="0"/>
          <w:w w:val="100"/>
          <w:position w:val="0"/>
          <w:sz w:val="24"/>
          <w:szCs w:val="24"/>
        </w:rPr>
        <w:t>1</w:t>
      </w:r>
      <w:r>
        <w:rPr>
          <w:color w:val="292929"/>
          <w:spacing w:val="0"/>
          <w:w w:val="100"/>
          <w:position w:val="0"/>
          <w:sz w:val="22"/>
          <w:szCs w:val="22"/>
        </w:rPr>
        <w:t>级或</w:t>
      </w:r>
      <w:r>
        <w:rPr>
          <w:color w:val="292929"/>
          <w:spacing w:val="0"/>
          <w:w w:val="100"/>
          <w:position w:val="0"/>
          <w:sz w:val="24"/>
          <w:szCs w:val="24"/>
        </w:rPr>
        <w:t>2</w:t>
      </w:r>
      <w:r>
        <w:rPr>
          <w:color w:val="292929"/>
          <w:spacing w:val="0"/>
          <w:w w:val="100"/>
          <w:position w:val="0"/>
          <w:sz w:val="22"/>
          <w:szCs w:val="22"/>
        </w:rPr>
        <w:t>级证据证明其缺乏疗效</w:t>
      </w:r>
    </w:p>
    <w:p>
      <w:pPr>
        <w:widowControl w:val="0"/>
        <w:jc w:val="left"/>
        <w:rPr>
          <w:sz w:val="2"/>
          <w:szCs w:val="2"/>
        </w:rPr>
      </w:pPr>
      <w:r>
        <w:drawing>
          <wp:inline>
            <wp:extent cx="5370830" cy="36639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pic:blipFill>
                  <pic:spPr>
                    <a:xfrm>
                      <a:ext cx="5370830" cy="3663950"/>
                    </a:xfrm>
                    <a:prstGeom prst="rect"/>
                  </pic:spPr>
                </pic:pic>
              </a:graphicData>
            </a:graphic>
          </wp:inline>
        </w:drawing>
      </w:r>
      <w:r>
        <w:br w:type="page"/>
      </w:r>
    </w:p>
    <w:tbl>
      <w:tblPr>
        <w:tblOverlap w:val="never"/>
        <w:jc w:val="left"/>
        <w:tblLayout w:type="fixed"/>
      </w:tblPr>
      <w:tblGrid>
        <w:gridCol w:w="2270"/>
        <w:gridCol w:w="1891"/>
        <w:gridCol w:w="2218"/>
        <w:gridCol w:w="1930"/>
      </w:tblGrid>
      <w:tr>
        <w:trPr>
          <w:trHeight w:val="379"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抗焦虑药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抗惊願</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lang w:val="en-US" w:eastAsia="en-US" w:bidi="en-US"/>
              </w:rPr>
              <w:t>mm</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292929"/>
                <w:spacing w:val="0"/>
                <w:w w:val="100"/>
                <w:position w:val="0"/>
                <w:sz w:val="24"/>
                <w:szCs w:val="24"/>
              </w:rPr>
              <w:t>1</w:t>
            </w:r>
          </w:p>
        </w:tc>
      </w:tr>
      <w:tr>
        <w:trPr>
          <w:trHeight w:val="374"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飆</w:t>
            </w:r>
            <w:r>
              <w:rPr>
                <w:color w:val="292929"/>
                <w:spacing w:val="0"/>
                <w:w w:val="100"/>
                <w:position w:val="0"/>
                <w:sz w:val="22"/>
                <w:szCs w:val="22"/>
              </w:rPr>
              <w:t>首西泮</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rPr>
              <w:t>1</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292929"/>
                <w:spacing w:val="0"/>
                <w:w w:val="100"/>
                <w:position w:val="0"/>
                <w:sz w:val="22"/>
                <w:szCs w:val="22"/>
              </w:rPr>
              <w:t>加巴喷丁</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p>
        </w:tc>
      </w:tr>
      <w:tr>
        <w:trPr>
          <w:trHeight w:val="379"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阿普畛</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292929"/>
                <w:spacing w:val="0"/>
                <w:w w:val="100"/>
                <w:position w:val="0"/>
                <w:sz w:val="24"/>
                <w:szCs w:val="24"/>
              </w:rPr>
              <w:t>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左乙</w:t>
            </w:r>
            <w:r>
              <w:rPr>
                <w:color w:val="3E3E3E"/>
                <w:spacing w:val="0"/>
                <w:w w:val="100"/>
                <w:position w:val="0"/>
                <w:sz w:val="22"/>
                <w:szCs w:val="22"/>
              </w:rPr>
              <w:t>拉西坦</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292929"/>
                <w:spacing w:val="0"/>
                <w:w w:val="100"/>
                <w:position w:val="0"/>
                <w:sz w:val="24"/>
                <w:szCs w:val="24"/>
              </w:rPr>
              <w:t xml:space="preserve">2 </w:t>
            </w:r>
            <w:r>
              <w:rPr>
                <w:color w:val="575757"/>
                <w:spacing w:val="0"/>
                <w:w w:val="100"/>
                <w:position w:val="0"/>
                <w:sz w:val="24"/>
                <w:szCs w:val="24"/>
              </w:rPr>
              <w:t>(</w:t>
            </w:r>
            <w:r>
              <w:rPr>
                <w:color w:val="292929"/>
                <w:spacing w:val="0"/>
                <w:w w:val="100"/>
                <w:position w:val="0"/>
                <w:sz w:val="24"/>
                <w:szCs w:val="24"/>
                <w:lang w:val="en-US" w:eastAsia="en-US" w:bidi="en-US"/>
              </w:rPr>
              <w:t xml:space="preserve">-ve </w:t>
            </w:r>
            <w:r>
              <w:rPr>
                <w:color w:val="575757"/>
                <w:spacing w:val="0"/>
                <w:w w:val="100"/>
                <w:position w:val="0"/>
                <w:sz w:val="24"/>
                <w:szCs w:val="24"/>
              </w:rPr>
              <w:t>)</w:t>
            </w:r>
          </w:p>
        </w:tc>
      </w:tr>
      <w:tr>
        <w:trPr>
          <w:trHeight w:val="360"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292929"/>
                <w:spacing w:val="0"/>
                <w:w w:val="100"/>
                <w:position w:val="0"/>
                <w:sz w:val="22"/>
                <w:szCs w:val="22"/>
              </w:rPr>
              <w:t>澳西泮</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292929"/>
                <w:spacing w:val="0"/>
                <w:w w:val="100"/>
                <w:position w:val="0"/>
                <w:sz w:val="24"/>
                <w:szCs w:val="24"/>
              </w:rPr>
              <w:t>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双丙戊齢</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r>
      <w:tr>
        <w:trPr>
          <w:trHeight w:val="374"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联用氯</w:t>
            </w:r>
            <w:r>
              <w:rPr>
                <w:color w:val="292929"/>
                <w:spacing w:val="0"/>
                <w:w w:val="100"/>
                <w:position w:val="0"/>
                <w:sz w:val="22"/>
                <w:szCs w:val="22"/>
              </w:rPr>
              <w:t>《</w:t>
            </w:r>
            <w:r>
              <w:rPr>
                <w:color w:val="000000"/>
                <w:spacing w:val="0"/>
                <w:w w:val="100"/>
                <w:position w:val="0"/>
                <w:sz w:val="22"/>
                <w:szCs w:val="22"/>
              </w:rPr>
              <w:t>肖西泮</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rPr>
              <w:t xml:space="preserve">2 </w:t>
            </w:r>
            <w:r>
              <w:rPr>
                <w:color w:val="575757"/>
                <w:spacing w:val="0"/>
                <w:w w:val="100"/>
                <w:position w:val="0"/>
                <w:sz w:val="24"/>
                <w:szCs w:val="24"/>
              </w:rPr>
              <w:t xml:space="preserve">( </w:t>
            </w:r>
            <w:r>
              <w:rPr>
                <w:color w:val="3E3E3E"/>
                <w:spacing w:val="0"/>
                <w:w w:val="100"/>
                <w:position w:val="0"/>
                <w:sz w:val="24"/>
                <w:szCs w:val="24"/>
                <w:lang w:val="en-US" w:eastAsia="en-US" w:bidi="en-US"/>
              </w:rPr>
              <w:t xml:space="preserve">-ve </w:t>
            </w:r>
            <w:r>
              <w:rPr>
                <w:color w:val="3E3E3E"/>
                <w:spacing w:val="0"/>
                <w:w w:val="100"/>
                <w:position w:val="0"/>
                <w:sz w:val="24"/>
                <w:szCs w:val="24"/>
              </w:rPr>
              <w:t>)</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唾加宾</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托毗酯</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r>
      <w:tr>
        <w:trPr>
          <w:trHeight w:val="360" w:hRule="exact"/>
        </w:trPr>
        <w:tc>
          <w:tcPr>
            <w:gridSpan w:val="4"/>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其他治疗</w:t>
            </w:r>
          </w:p>
        </w:tc>
      </w:tr>
      <w:tr>
        <w:trPr>
          <w:trHeight w:val="374"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292929"/>
                <w:spacing w:val="0"/>
                <w:w w:val="100"/>
                <w:position w:val="0"/>
                <w:sz w:val="22"/>
                <w:szCs w:val="22"/>
              </w:rPr>
              <w:t>阿替^</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lang w:val="en-US" w:eastAsia="en-US" w:bidi="en-US"/>
              </w:rPr>
              <w:t>l(-ve)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翩神确</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丁^^酮</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575757"/>
                <w:spacing w:val="0"/>
                <w:w w:val="100"/>
                <w:position w:val="0"/>
                <w:sz w:val="24"/>
                <w:szCs w:val="24"/>
                <w:lang w:val="en-US" w:eastAsia="en-US" w:bidi="en-US"/>
              </w:rPr>
              <w:t>lt-ve)</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4"/>
                <w:szCs w:val="24"/>
                <w:lang w:val="en-US" w:eastAsia="en-US" w:bidi="en-US"/>
              </w:rPr>
              <w:t>law</w:t>
            </w:r>
            <w:r>
              <w:rPr>
                <w:color w:val="3E3E3E"/>
                <w:spacing w:val="0"/>
                <w:w w:val="100"/>
                <w:position w:val="0"/>
                <w:sz w:val="22"/>
                <w:szCs w:val="22"/>
              </w:rPr>
              <w:t>平</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292929"/>
                <w:spacing w:val="0"/>
                <w:w w:val="100"/>
                <w:position w:val="0"/>
                <w:sz w:val="26"/>
                <w:szCs w:val="26"/>
              </w:rPr>
              <w:t>2</w:t>
            </w:r>
          </w:p>
        </w:tc>
      </w:tr>
      <w:tr>
        <w:trPr>
          <w:trHeight w:val="360"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292929"/>
                <w:spacing w:val="0"/>
                <w:w w:val="100"/>
                <w:position w:val="0"/>
                <w:sz w:val="22"/>
                <w:szCs w:val="22"/>
              </w:rPr>
              <w:t>阿汀</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rPr>
              <w:t xml:space="preserve">2 </w:t>
            </w:r>
            <w:r>
              <w:rPr>
                <w:color w:val="575757"/>
                <w:spacing w:val="0"/>
                <w:w w:val="100"/>
                <w:position w:val="0"/>
                <w:sz w:val="24"/>
                <w:szCs w:val="24"/>
              </w:rPr>
              <w:t>(</w:t>
            </w:r>
            <w:r>
              <w:rPr>
                <w:color w:val="3E3E3E"/>
                <w:spacing w:val="0"/>
                <w:w w:val="100"/>
                <w:position w:val="0"/>
                <w:sz w:val="24"/>
                <w:szCs w:val="24"/>
                <w:lang w:val="en-US" w:eastAsia="en-US" w:bidi="en-US"/>
              </w:rPr>
              <w:t xml:space="preserve">-ve </w:t>
            </w:r>
            <w:r>
              <w:rPr>
                <w:color w:val="575757"/>
                <w:spacing w:val="0"/>
                <w:w w:val="100"/>
                <w:position w:val="0"/>
                <w:sz w:val="24"/>
                <w:szCs w:val="24"/>
              </w:rPr>
              <w:t>)</w:t>
            </w:r>
          </w:p>
        </w:tc>
      </w:tr>
      <w:tr>
        <w:trPr>
          <w:trHeight w:val="379"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292929"/>
                <w:spacing w:val="0"/>
                <w:w w:val="100"/>
                <w:position w:val="0"/>
                <w:sz w:val="22"/>
                <w:szCs w:val="22"/>
              </w:rPr>
              <w:t>普禁场</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rPr>
              <w:t xml:space="preserve">2 </w:t>
            </w:r>
            <w:r>
              <w:rPr>
                <w:color w:val="575757"/>
                <w:spacing w:val="0"/>
                <w:w w:val="100"/>
                <w:position w:val="0"/>
                <w:sz w:val="24"/>
                <w:szCs w:val="24"/>
              </w:rPr>
              <w:t xml:space="preserve">( </w:t>
            </w:r>
            <w:r>
              <w:rPr>
                <w:color w:val="3E3E3E"/>
                <w:spacing w:val="0"/>
                <w:w w:val="100"/>
                <w:position w:val="0"/>
                <w:sz w:val="24"/>
                <w:szCs w:val="24"/>
                <w:lang w:val="en-US" w:eastAsia="en-US" w:bidi="en-US"/>
              </w:rPr>
              <w:t>-ve</w:t>
            </w:r>
            <w:r>
              <w:rPr>
                <w:color w:val="3E3E3E"/>
                <w:spacing w:val="0"/>
                <w:w w:val="100"/>
                <w:position w:val="0"/>
                <w:sz w:val="24"/>
                <w:szCs w:val="24"/>
              </w:rPr>
              <w:t>)</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联用阿立哌哩</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p>
        </w:tc>
      </w:tr>
      <w:tr>
        <w:trPr>
          <w:trHeight w:val="374"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292929"/>
                <w:spacing w:val="0"/>
                <w:w w:val="100"/>
                <w:position w:val="0"/>
                <w:sz w:val="22"/>
                <w:szCs w:val="22"/>
              </w:rPr>
              <w:t>司来吉兰</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lang w:val="en-US" w:eastAsia="en-US" w:bidi="en-US"/>
              </w:rPr>
              <w:t>3</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联用利培酮</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rPr>
              <w:t>3</w:t>
            </w:r>
          </w:p>
        </w:tc>
      </w:tr>
      <w:tr>
        <w:trPr>
          <w:trHeight w:val="360"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培高利特</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575757"/>
                <w:spacing w:val="0"/>
                <w:w w:val="100"/>
                <w:position w:val="0"/>
                <w:sz w:val="24"/>
                <w:szCs w:val="24"/>
                <w:lang w:val="en-US" w:eastAsia="en-US" w:bidi="en-US"/>
              </w:rPr>
              <w:t xml:space="preserve">3 ( </w:t>
            </w:r>
            <w:r>
              <w:rPr>
                <w:color w:val="3E3E3E"/>
                <w:spacing w:val="0"/>
                <w:w w:val="100"/>
                <w:position w:val="0"/>
                <w:sz w:val="24"/>
                <w:szCs w:val="24"/>
                <w:lang w:val="en-US" w:eastAsia="en-US" w:bidi="en-US"/>
              </w:rPr>
              <w:t>-ve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联用丁噱环酮</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3E3E3E"/>
                <w:spacing w:val="0"/>
                <w:w w:val="100"/>
                <w:position w:val="0"/>
                <w:sz w:val="24"/>
                <w:szCs w:val="24"/>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联用呼噪洛尔</w:t>
            </w:r>
          </w:p>
        </w:tc>
        <w:tc>
          <w:tcPr>
            <w:tcBorders>
              <w:top w:val="single" w:sz="4"/>
              <w:left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292929"/>
                <w:spacing w:val="0"/>
                <w:w w:val="100"/>
                <w:position w:val="0"/>
                <w:sz w:val="24"/>
                <w:szCs w:val="24"/>
                <w:lang w:val="en-US" w:eastAsia="en-US" w:bidi="en-US"/>
              </w:rPr>
              <w:t xml:space="preserve">2 </w:t>
            </w:r>
            <w:r>
              <w:rPr>
                <w:color w:val="3E3E3E"/>
                <w:spacing w:val="0"/>
                <w:w w:val="100"/>
                <w:position w:val="0"/>
                <w:sz w:val="24"/>
                <w:szCs w:val="24"/>
                <w:lang w:val="en-US" w:eastAsia="en-US" w:bidi="en-US"/>
              </w:rPr>
              <w:t>C</w:t>
            </w:r>
            <w:r>
              <w:rPr>
                <w:color w:val="292929"/>
                <w:spacing w:val="0"/>
                <w:w w:val="100"/>
                <w:position w:val="0"/>
                <w:sz w:val="24"/>
                <w:szCs w:val="24"/>
                <w:lang w:val="en-US" w:eastAsia="en-US" w:bidi="en-US"/>
              </w:rPr>
              <w:t xml:space="preserve">-ve </w:t>
            </w:r>
            <w:r>
              <w:rPr>
                <w:color w:val="3E3E3E"/>
                <w:spacing w:val="0"/>
                <w:w w:val="100"/>
                <w:position w:val="0"/>
                <w:sz w:val="24"/>
                <w:szCs w:val="24"/>
                <w:lang w:val="en-US" w:eastAsia="en-US" w:bidi="en-US"/>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180" w:right="0" w:firstLine="0"/>
        <w:jc w:val="left"/>
        <w:rPr>
          <w:sz w:val="22"/>
          <w:szCs w:val="22"/>
        </w:rPr>
      </w:pPr>
      <w:r>
        <w:rPr>
          <w:color w:val="292929"/>
          <w:spacing w:val="0"/>
          <w:w w:val="100"/>
          <w:position w:val="0"/>
          <w:sz w:val="22"/>
          <w:szCs w:val="22"/>
        </w:rPr>
        <w:t>—线治疗艾司西猷普兰、氟伏</w:t>
      </w:r>
      <w:r>
        <w:rPr>
          <w:color w:val="3E3E3E"/>
          <w:spacing w:val="0"/>
          <w:w w:val="100"/>
          <w:position w:val="0"/>
          <w:sz w:val="22"/>
          <w:szCs w:val="22"/>
        </w:rPr>
        <w:t>沙明、</w:t>
      </w:r>
      <w:r>
        <w:rPr>
          <w:color w:val="292929"/>
          <w:spacing w:val="0"/>
          <w:w w:val="100"/>
          <w:position w:val="0"/>
          <w:sz w:val="22"/>
          <w:szCs w:val="22"/>
        </w:rPr>
        <w:t>氟伏沙明控</w:t>
      </w:r>
      <w:r>
        <w:rPr>
          <w:color w:val="3E3E3E"/>
          <w:spacing w:val="0"/>
          <w:w w:val="100"/>
          <w:position w:val="0"/>
          <w:sz w:val="22"/>
          <w:szCs w:val="22"/>
        </w:rPr>
        <w:t>籽制剂</w:t>
      </w:r>
      <w:r>
        <w:rPr>
          <w:color w:val="3E3E3E"/>
          <w:spacing w:val="0"/>
          <w:w w:val="100"/>
          <w:position w:val="0"/>
          <w:sz w:val="24"/>
          <w:szCs w:val="24"/>
          <w:lang w:val="en-US" w:eastAsia="en-US" w:bidi="en-US"/>
        </w:rPr>
        <w:t>（CR\</w:t>
      </w:r>
      <w:r>
        <w:rPr>
          <w:color w:val="292929"/>
          <w:spacing w:val="0"/>
          <w:w w:val="100"/>
          <w:position w:val="0"/>
          <w:sz w:val="22"/>
          <w:szCs w:val="22"/>
        </w:rPr>
        <w:t>帕罗西汀、</w:t>
      </w:r>
      <w:r>
        <w:rPr>
          <w:color w:val="3E3E3E"/>
          <w:spacing w:val="0"/>
          <w:w w:val="100"/>
          <w:position w:val="0"/>
          <w:sz w:val="22"/>
          <w:szCs w:val="22"/>
        </w:rPr>
        <w:t xml:space="preserve">帕 </w:t>
      </w:r>
      <w:r>
        <w:rPr>
          <w:color w:val="292929"/>
          <w:spacing w:val="0"/>
          <w:w w:val="100"/>
          <w:position w:val="0"/>
          <w:sz w:val="22"/>
          <w:szCs w:val="22"/>
          <w:u w:val="single"/>
        </w:rPr>
        <w:t>罗西汀控释制荆</w:t>
      </w:r>
      <w:r>
        <w:rPr>
          <w:color w:val="3E3E3E"/>
          <w:spacing w:val="0"/>
          <w:w w:val="100"/>
          <w:position w:val="0"/>
          <w:sz w:val="22"/>
          <w:szCs w:val="22"/>
          <w:u w:val="single"/>
        </w:rPr>
        <w:t>（</w:t>
      </w:r>
      <w:r>
        <w:rPr>
          <w:color w:val="292929"/>
          <w:spacing w:val="0"/>
          <w:w w:val="100"/>
          <w:position w:val="0"/>
          <w:sz w:val="24"/>
          <w:szCs w:val="24"/>
          <w:u w:val="single"/>
          <w:lang w:val="en-US" w:eastAsia="en-US" w:bidi="en-US"/>
        </w:rPr>
        <w:t xml:space="preserve">CR </w:t>
      </w:r>
      <w:r>
        <w:rPr>
          <w:rFonts w:ascii="Times New Roman" w:eastAsia="Times New Roman" w:hAnsi="Times New Roman" w:cs="Times New Roman"/>
          <w:i/>
          <w:iCs/>
          <w:color w:val="3E3E3E"/>
          <w:spacing w:val="0"/>
          <w:w w:val="100"/>
          <w:position w:val="0"/>
          <w:sz w:val="22"/>
          <w:szCs w:val="22"/>
          <w:u w:val="single"/>
        </w:rPr>
        <w:t>X</w:t>
      </w:r>
      <w:r>
        <w:rPr>
          <w:color w:val="292929"/>
          <w:spacing w:val="0"/>
          <w:w w:val="100"/>
          <w:position w:val="0"/>
          <w:sz w:val="22"/>
          <w:szCs w:val="22"/>
          <w:u w:val="single"/>
        </w:rPr>
        <w:t>普瑞巴林、舍</w:t>
      </w:r>
      <w:r>
        <w:rPr>
          <w:color w:val="3E3E3E"/>
          <w:spacing w:val="0"/>
          <w:w w:val="100"/>
          <w:position w:val="0"/>
          <w:sz w:val="22"/>
          <w:szCs w:val="22"/>
          <w:u w:val="single"/>
        </w:rPr>
        <w:t>曲林、</w:t>
      </w:r>
      <w:r>
        <w:rPr>
          <w:color w:val="292929"/>
          <w:spacing w:val="0"/>
          <w:w w:val="100"/>
          <w:position w:val="0"/>
          <w:sz w:val="22"/>
          <w:szCs w:val="22"/>
          <w:u w:val="single"/>
        </w:rPr>
        <w:t>文拉法辛缓释制剂（</w:t>
      </w:r>
      <w:r>
        <w:rPr>
          <w:color w:val="292929"/>
          <w:spacing w:val="0"/>
          <w:w w:val="100"/>
          <w:position w:val="0"/>
          <w:sz w:val="24"/>
          <w:szCs w:val="24"/>
          <w:u w:val="single"/>
          <w:lang w:val="en-US" w:eastAsia="en-US" w:bidi="en-US"/>
        </w:rPr>
        <w:t xml:space="preserve">XR </w:t>
      </w:r>
      <w:r>
        <w:rPr>
          <w:color w:val="3E3E3E"/>
          <w:spacing w:val="0"/>
          <w:w w:val="100"/>
          <w:position w:val="0"/>
          <w:sz w:val="22"/>
          <w:szCs w:val="22"/>
          <w:u w:val="single"/>
        </w:rPr>
        <w:t xml:space="preserve">） </w:t>
      </w:r>
      <w:r>
        <w:rPr>
          <w:color w:val="292929"/>
          <w:spacing w:val="0"/>
          <w:w w:val="100"/>
          <w:position w:val="0"/>
          <w:sz w:val="22"/>
          <w:szCs w:val="22"/>
          <w:u w:val="single"/>
        </w:rPr>
        <w:t>二线治疗阿普哩仑、漠西泮、西猷普兰、氯硝西泮、加巴喷丁、苯乙駢</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180" w:right="0" w:firstLine="0"/>
        <w:jc w:val="left"/>
        <w:rPr>
          <w:sz w:val="22"/>
          <w:szCs w:val="22"/>
        </w:rPr>
      </w:pPr>
      <w:r>
        <w:rPr>
          <w:color w:val="000000"/>
          <w:spacing w:val="0"/>
          <w:w w:val="100"/>
          <w:position w:val="0"/>
          <w:sz w:val="22"/>
          <w:szCs w:val="22"/>
        </w:rPr>
        <w:t>三</w:t>
      </w:r>
      <w:r>
        <w:rPr>
          <w:color w:val="292929"/>
          <w:spacing w:val="0"/>
          <w:w w:val="100"/>
          <w:position w:val="0"/>
          <w:sz w:val="22"/>
          <w:szCs w:val="22"/>
        </w:rPr>
        <w:t>线治疗阿托莫西汀、安非他酮控释制剂</w:t>
      </w:r>
      <w:r>
        <w:rPr>
          <w:color w:val="3E3E3E"/>
          <w:spacing w:val="0"/>
          <w:w w:val="100"/>
          <w:position w:val="0"/>
          <w:sz w:val="22"/>
          <w:szCs w:val="22"/>
        </w:rPr>
        <w:t>（</w:t>
      </w:r>
      <w:r>
        <w:rPr>
          <w:color w:val="292929"/>
          <w:spacing w:val="0"/>
          <w:w w:val="100"/>
          <w:position w:val="0"/>
          <w:sz w:val="24"/>
          <w:szCs w:val="24"/>
          <w:lang w:val="en-US" w:eastAsia="en-US" w:bidi="en-US"/>
        </w:rPr>
        <w:t xml:space="preserve">SR </w:t>
      </w:r>
      <w:r>
        <w:rPr>
          <w:color w:val="3E3E3E"/>
          <w:spacing w:val="0"/>
          <w:w w:val="100"/>
          <w:position w:val="0"/>
          <w:sz w:val="24"/>
          <w:szCs w:val="24"/>
        </w:rPr>
        <w:t>X</w:t>
      </w:r>
      <w:r>
        <w:rPr>
          <w:color w:val="292929"/>
          <w:spacing w:val="0"/>
          <w:w w:val="100"/>
          <w:position w:val="0"/>
          <w:sz w:val="22"/>
          <w:szCs w:val="22"/>
        </w:rPr>
        <w:t>氯米</w:t>
      </w:r>
      <w:r>
        <w:rPr>
          <w:color w:val="3E3E3E"/>
          <w:spacing w:val="0"/>
          <w:w w:val="100"/>
          <w:position w:val="0"/>
          <w:sz w:val="22"/>
          <w:szCs w:val="22"/>
        </w:rPr>
        <w:t>帕明、</w:t>
      </w:r>
      <w:r>
        <w:rPr>
          <w:color w:val="292929"/>
          <w:spacing w:val="0"/>
          <w:w w:val="100"/>
          <w:position w:val="0"/>
          <w:sz w:val="22"/>
          <w:szCs w:val="22"/>
        </w:rPr>
        <w:t xml:space="preserve">双丙戊酸盐、度 </w:t>
      </w:r>
      <w:r>
        <w:rPr>
          <w:color w:val="292929"/>
          <w:spacing w:val="0"/>
          <w:w w:val="100"/>
          <w:position w:val="0"/>
          <w:sz w:val="22"/>
          <w:szCs w:val="22"/>
          <w:u w:val="single"/>
        </w:rPr>
        <w:t>洛西汀、氟酉汀、米氮平、吗氯</w:t>
      </w:r>
      <w:r>
        <w:rPr>
          <w:color w:val="3E3E3E"/>
          <w:spacing w:val="0"/>
          <w:w w:val="100"/>
          <w:position w:val="0"/>
          <w:sz w:val="22"/>
          <w:szCs w:val="22"/>
          <w:u w:val="single"/>
        </w:rPr>
        <w:t>贝胺、</w:t>
      </w:r>
      <w:r>
        <w:rPr>
          <w:color w:val="000000"/>
          <w:spacing w:val="0"/>
          <w:w w:val="100"/>
          <w:position w:val="0"/>
          <w:sz w:val="22"/>
          <w:szCs w:val="22"/>
          <w:u w:val="single"/>
        </w:rPr>
        <w:t>奥</w:t>
      </w:r>
      <w:r>
        <w:rPr>
          <w:color w:val="292929"/>
          <w:spacing w:val="0"/>
          <w:w w:val="100"/>
          <w:position w:val="0"/>
          <w:sz w:val="22"/>
          <w:szCs w:val="22"/>
          <w:u w:val="single"/>
        </w:rPr>
        <w:t>氮平、</w:t>
      </w:r>
      <w:r>
        <w:rPr>
          <w:color w:val="000000"/>
          <w:spacing w:val="0"/>
          <w:w w:val="100"/>
          <w:position w:val="0"/>
          <w:sz w:val="22"/>
          <w:szCs w:val="22"/>
          <w:u w:val="single"/>
        </w:rPr>
        <w:t xml:space="preserve">司来吉兰、嚷加宾、托毗酯 </w:t>
      </w:r>
      <w:r>
        <w:rPr>
          <w:color w:val="292929"/>
          <w:spacing w:val="0"/>
          <w:w w:val="100"/>
          <w:position w:val="0"/>
          <w:sz w:val="22"/>
          <w:szCs w:val="22"/>
        </w:rPr>
        <w:t>联合治疗三线治疗：阿立</w:t>
      </w:r>
      <w:r>
        <w:rPr>
          <w:color w:val="3E3E3E"/>
          <w:spacing w:val="0"/>
          <w:w w:val="100"/>
          <w:position w:val="0"/>
          <w:sz w:val="22"/>
          <w:szCs w:val="22"/>
        </w:rPr>
        <w:t>哌哩、</w:t>
      </w:r>
      <w:r>
        <w:rPr>
          <w:color w:val="292929"/>
          <w:spacing w:val="0"/>
          <w:w w:val="100"/>
          <w:position w:val="0"/>
          <w:sz w:val="22"/>
          <w:szCs w:val="22"/>
        </w:rPr>
        <w:t>丁螺环酮、帕罗西汀、利培酮</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1240" w:right="0" w:firstLine="0"/>
        <w:jc w:val="left"/>
        <w:rPr>
          <w:sz w:val="22"/>
          <w:szCs w:val="22"/>
        </w:rPr>
      </w:pPr>
      <w:r>
        <w:rPr>
          <w:color w:val="292929"/>
          <w:spacing w:val="0"/>
          <w:w w:val="100"/>
          <w:position w:val="0"/>
          <w:sz w:val="22"/>
          <w:szCs w:val="22"/>
          <w:u w:val="single"/>
        </w:rPr>
        <w:t>不推荐：氯硝酉泮、</w:t>
      </w:r>
      <w:r>
        <w:rPr>
          <w:color w:val="000000"/>
          <w:spacing w:val="0"/>
          <w:w w:val="100"/>
          <w:position w:val="0"/>
          <w:sz w:val="24"/>
          <w:szCs w:val="24"/>
          <w:u w:val="single"/>
        </w:rPr>
        <w:t>0</w:t>
      </w:r>
      <w:r>
        <w:rPr>
          <w:color w:val="292929"/>
          <w:spacing w:val="0"/>
          <w:w w:val="100"/>
          <w:position w:val="0"/>
          <w:sz w:val="22"/>
          <w:szCs w:val="22"/>
          <w:u w:val="single"/>
          <w:lang w:val="zh-CN" w:eastAsia="zh-CN" w:bidi="zh-CN"/>
        </w:rPr>
        <w:t>弓睡</w:t>
      </w:r>
      <w:r>
        <w:rPr>
          <w:color w:val="292929"/>
          <w:spacing w:val="0"/>
          <w:w w:val="100"/>
          <w:position w:val="0"/>
          <w:sz w:val="22"/>
          <w:szCs w:val="22"/>
          <w:u w:val="single"/>
        </w:rPr>
        <w:t>洛尔</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60" w:lineRule="exact"/>
        <w:ind w:left="0" w:right="0" w:firstLine="180"/>
        <w:jc w:val="left"/>
        <w:rPr>
          <w:sz w:val="22"/>
          <w:szCs w:val="22"/>
        </w:rPr>
      </w:pPr>
      <w:r>
        <w:rPr>
          <w:color w:val="A51B28"/>
          <w:spacing w:val="0"/>
          <w:w w:val="100"/>
          <w:position w:val="0"/>
          <w:sz w:val="22"/>
          <w:szCs w:val="22"/>
        </w:rPr>
        <w:t>不推荐阿替洛尔*、丁螺环酮、丙咪嗪、左乙拉西坦、普蔡洛尔*、隆硫平</w:t>
      </w:r>
    </w:p>
    <w:p>
      <w:pPr>
        <w:pStyle w:val="Style30"/>
        <w:keepNext w:val="0"/>
        <w:keepLines w:val="0"/>
        <w:widowControl w:val="0"/>
        <w:shd w:val="clear" w:color="auto" w:fill="auto"/>
        <w:bidi w:val="0"/>
        <w:spacing w:before="0" w:after="400" w:line="240" w:lineRule="auto"/>
        <w:ind w:left="0" w:right="0" w:firstLine="1000"/>
        <w:jc w:val="left"/>
      </w:pPr>
      <w:r>
        <w:rPr>
          <w:color w:val="000000"/>
          <w:spacing w:val="0"/>
          <w:w w:val="100"/>
          <w:position w:val="0"/>
          <w:lang w:val="zh-CN" w:eastAsia="zh-CN" w:bidi="zh-CN"/>
        </w:rPr>
        <w:t>。结</w:t>
      </w:r>
      <w:r>
        <w:rPr>
          <w:color w:val="000000"/>
          <w:spacing w:val="0"/>
          <w:w w:val="100"/>
          <w:position w:val="0"/>
        </w:rPr>
        <w:t>果存在冲突；</w:t>
      </w:r>
      <w:r>
        <w:rPr>
          <w:rFonts w:ascii="Times New Roman" w:eastAsia="Times New Roman" w:hAnsi="Times New Roman" w:cs="Times New Roman"/>
          <w:color w:val="000000"/>
          <w:spacing w:val="0"/>
          <w:w w:val="100"/>
          <w:position w:val="0"/>
          <w:sz w:val="19"/>
          <w:szCs w:val="19"/>
          <w:lang w:val="en-US" w:eastAsia="en-US" w:bidi="en-US"/>
        </w:rPr>
        <w:t>-ve</w:t>
      </w:r>
      <w:r>
        <w:rPr>
          <w:color w:val="000000"/>
          <w:spacing w:val="0"/>
          <w:w w:val="100"/>
          <w:position w:val="0"/>
          <w:lang w:val="en-US" w:eastAsia="en-US" w:bidi="en-US"/>
        </w:rPr>
        <w:t>：</w:t>
      </w:r>
      <w:r>
        <w:rPr>
          <w:color w:val="000000"/>
          <w:spacing w:val="0"/>
          <w:w w:val="100"/>
          <w:position w:val="0"/>
        </w:rPr>
        <w:t>结果为阴性</w:t>
      </w:r>
    </w:p>
    <w:p>
      <w:pPr>
        <w:pStyle w:val="Style19"/>
        <w:keepNext w:val="0"/>
        <w:keepLines w:val="0"/>
        <w:widowControl w:val="0"/>
        <w:shd w:val="clear" w:color="auto" w:fill="auto"/>
        <w:bidi w:val="0"/>
        <w:spacing w:before="0" w:after="400" w:line="446" w:lineRule="exact"/>
        <w:ind w:left="0" w:right="0" w:firstLine="480"/>
        <w:jc w:val="left"/>
      </w:pPr>
      <w:r>
        <w:rPr>
          <w:b/>
          <w:bCs/>
          <w:color w:val="C00000"/>
          <w:spacing w:val="0"/>
          <w:w w:val="100"/>
          <w:position w:val="0"/>
        </w:rPr>
        <w:t>药物维持治疗</w:t>
      </w:r>
    </w:p>
    <w:p>
      <w:pPr>
        <w:pStyle w:val="Style19"/>
        <w:keepNext w:val="0"/>
        <w:keepLines w:val="0"/>
        <w:widowControl w:val="0"/>
        <w:shd w:val="clear" w:color="auto" w:fill="auto"/>
        <w:bidi w:val="0"/>
        <w:spacing w:before="0" w:after="0" w:line="446" w:lineRule="exact"/>
        <w:ind w:left="0" w:right="0" w:firstLine="480"/>
        <w:jc w:val="left"/>
      </w:pPr>
      <w:r>
        <w:rPr>
          <w:color w:val="000000"/>
          <w:spacing w:val="0"/>
          <w:w w:val="100"/>
          <w:position w:val="0"/>
        </w:rPr>
        <w:t xml:space="preserve">一项纳入了 </w:t>
      </w:r>
      <w:r>
        <w:rPr>
          <w:rFonts w:ascii="Times New Roman" w:eastAsia="Times New Roman" w:hAnsi="Times New Roman" w:cs="Times New Roman"/>
          <w:color w:val="000000"/>
          <w:spacing w:val="0"/>
          <w:w w:val="100"/>
          <w:position w:val="0"/>
        </w:rPr>
        <w:t>4</w:t>
      </w:r>
      <w:r>
        <w:rPr>
          <w:color w:val="000000"/>
          <w:spacing w:val="0"/>
          <w:w w:val="100"/>
          <w:position w:val="0"/>
        </w:rPr>
        <w:t>项预防复发研究、共</w:t>
      </w:r>
      <w:r>
        <w:rPr>
          <w:rFonts w:ascii="Times New Roman" w:eastAsia="Times New Roman" w:hAnsi="Times New Roman" w:cs="Times New Roman"/>
          <w:color w:val="000000"/>
          <w:spacing w:val="0"/>
          <w:w w:val="100"/>
          <w:position w:val="0"/>
        </w:rPr>
        <w:t>760</w:t>
      </w:r>
      <w:r>
        <w:rPr>
          <w:color w:val="000000"/>
          <w:spacing w:val="0"/>
          <w:w w:val="100"/>
          <w:position w:val="0"/>
        </w:rPr>
        <w:t>名个体的</w:t>
      </w:r>
      <w:r>
        <w:rPr>
          <w:rFonts w:ascii="Times New Roman" w:eastAsia="Times New Roman" w:hAnsi="Times New Roman" w:cs="Times New Roman"/>
          <w:color w:val="000000"/>
          <w:spacing w:val="0"/>
          <w:w w:val="100"/>
          <w:position w:val="0"/>
          <w:lang w:val="en-US" w:eastAsia="en-US" w:bidi="en-US"/>
        </w:rPr>
        <w:t>meta</w:t>
      </w:r>
      <w:r>
        <w:rPr>
          <w:color w:val="000000"/>
          <w:spacing w:val="0"/>
          <w:w w:val="100"/>
          <w:position w:val="0"/>
        </w:rPr>
        <w:t>分析结果显示，与安慰剂相</w:t>
      </w:r>
    </w:p>
    <w:p>
      <w:pPr>
        <w:pStyle w:val="Style9"/>
        <w:keepNext w:val="0"/>
        <w:keepLines w:val="0"/>
        <w:widowControl w:val="0"/>
        <w:shd w:val="clear" w:color="auto" w:fill="auto"/>
        <w:bidi w:val="0"/>
        <w:spacing w:before="0" w:after="0" w:line="446" w:lineRule="exact"/>
        <w:ind w:left="0" w:right="0" w:firstLine="0"/>
        <w:jc w:val="left"/>
      </w:pPr>
      <w:r>
        <w:rPr>
          <w:rFonts w:ascii="SimSun" w:eastAsia="SimSun" w:hAnsi="SimSun" w:cs="SimSun"/>
          <w:b w:val="0"/>
          <w:bCs w:val="0"/>
          <w:color w:val="000000"/>
          <w:spacing w:val="0"/>
          <w:w w:val="100"/>
          <w:position w:val="0"/>
        </w:rPr>
        <w:t>比，</w:t>
      </w:r>
      <w:r>
        <w:rPr>
          <w:rFonts w:ascii="Times New Roman" w:eastAsia="Times New Roman" w:hAnsi="Times New Roman" w:cs="Times New Roman"/>
          <w:b w:val="0"/>
          <w:bCs w:val="0"/>
          <w:color w:val="000000"/>
          <w:spacing w:val="0"/>
          <w:w w:val="100"/>
          <w:position w:val="0"/>
          <w:lang w:val="en-US" w:eastAsia="en-US" w:bidi="en-US"/>
        </w:rPr>
        <w:t>SSRIs</w:t>
      </w:r>
      <w:r>
        <w:rPr>
          <w:rFonts w:ascii="SimSun" w:eastAsia="SimSun" w:hAnsi="SimSun" w:cs="SimSun"/>
          <w:b w:val="0"/>
          <w:bCs w:val="0"/>
          <w:color w:val="000000"/>
          <w:spacing w:val="0"/>
          <w:w w:val="100"/>
          <w:position w:val="0"/>
        </w:rPr>
        <w:t>可大幅降低</w:t>
      </w:r>
      <w:r>
        <w:rPr>
          <w:rFonts w:ascii="Times New Roman" w:eastAsia="Times New Roman" w:hAnsi="Times New Roman" w:cs="Times New Roman"/>
          <w:b w:val="0"/>
          <w:bCs w:val="0"/>
          <w:color w:val="000000"/>
          <w:spacing w:val="0"/>
          <w:w w:val="100"/>
          <w:position w:val="0"/>
          <w:lang w:val="en-US" w:eastAsia="en-US" w:bidi="en-US"/>
        </w:rPr>
        <w:t>3-6</w:t>
      </w:r>
      <w:r>
        <w:rPr>
          <w:rFonts w:ascii="SimSun" w:eastAsia="SimSun" w:hAnsi="SimSun" w:cs="SimSun"/>
          <w:b w:val="0"/>
          <w:bCs w:val="0"/>
          <w:color w:val="000000"/>
          <w:spacing w:val="0"/>
          <w:w w:val="100"/>
          <w:position w:val="0"/>
        </w:rPr>
        <w:t>个月内的复发风险，相对危险度（</w:t>
      </w:r>
      <w:r>
        <w:rPr>
          <w:rFonts w:ascii="Times New Roman" w:eastAsia="Times New Roman" w:hAnsi="Times New Roman" w:cs="Times New Roman"/>
          <w:b w:val="0"/>
          <w:bCs w:val="0"/>
          <w:color w:val="000000"/>
          <w:spacing w:val="0"/>
          <w:w w:val="100"/>
          <w:position w:val="0"/>
          <w:lang w:val="en-US" w:eastAsia="en-US" w:bidi="en-US"/>
        </w:rPr>
        <w:t>RR</w:t>
      </w:r>
      <w:r>
        <w:rPr>
          <w:rFonts w:ascii="SimSun" w:eastAsia="SimSun" w:hAnsi="SimSun" w:cs="SimSun"/>
          <w:b w:val="0"/>
          <w:bCs w:val="0"/>
          <w:color w:val="000000"/>
          <w:spacing w:val="0"/>
          <w:w w:val="100"/>
          <w:position w:val="0"/>
          <w:lang w:val="en-US" w:eastAsia="en-US" w:bidi="en-US"/>
        </w:rPr>
        <w:t>）</w:t>
      </w:r>
      <w:r>
        <w:rPr>
          <w:rFonts w:ascii="SimSun" w:eastAsia="SimSun" w:hAnsi="SimSun" w:cs="SimSun"/>
          <w:b w:val="0"/>
          <w:bCs w:val="0"/>
          <w:color w:val="000000"/>
          <w:spacing w:val="0"/>
          <w:w w:val="100"/>
          <w:position w:val="0"/>
        </w:rPr>
        <w:t>为</w:t>
      </w:r>
      <w:r>
        <w:rPr>
          <w:rFonts w:ascii="Times New Roman" w:eastAsia="Times New Roman" w:hAnsi="Times New Roman" w:cs="Times New Roman"/>
          <w:b w:val="0"/>
          <w:bCs w:val="0"/>
          <w:color w:val="000000"/>
          <w:spacing w:val="0"/>
          <w:w w:val="100"/>
          <w:position w:val="0"/>
          <w:lang w:val="en-US" w:eastAsia="en-US" w:bidi="en-US"/>
        </w:rPr>
        <w:t>0.39</w:t>
      </w:r>
      <w:r>
        <w:rPr>
          <w:rFonts w:ascii="SimSun" w:eastAsia="SimSun" w:hAnsi="SimSun" w:cs="SimSun"/>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95% </w:t>
      </w:r>
      <w:r>
        <w:rPr>
          <w:rFonts w:ascii="Times New Roman" w:eastAsia="Times New Roman" w:hAnsi="Times New Roman" w:cs="Times New Roman"/>
          <w:b w:val="0"/>
          <w:bCs w:val="0"/>
          <w:color w:val="000000"/>
          <w:spacing w:val="0"/>
          <w:w w:val="100"/>
          <w:position w:val="0"/>
          <w:lang w:val="en-US" w:eastAsia="en-US" w:bidi="en-US"/>
        </w:rPr>
        <w:t>CI 0.30-</w:t>
      </w:r>
    </w:p>
    <w:p>
      <w:pPr>
        <w:pStyle w:val="Style19"/>
        <w:keepNext w:val="0"/>
        <w:keepLines w:val="0"/>
        <w:widowControl w:val="0"/>
        <w:shd w:val="clear" w:color="auto" w:fill="auto"/>
        <w:bidi w:val="0"/>
        <w:spacing w:before="0" w:after="400" w:line="446" w:lineRule="exact"/>
        <w:ind w:left="0" w:right="0" w:firstLine="0"/>
        <w:jc w:val="left"/>
      </w:pPr>
      <w:r>
        <w:rPr>
          <w:rFonts w:ascii="Times New Roman" w:eastAsia="Times New Roman" w:hAnsi="Times New Roman" w:cs="Times New Roman"/>
          <w:color w:val="000000"/>
          <w:spacing w:val="0"/>
          <w:w w:val="100"/>
          <w:position w:val="0"/>
          <w:lang w:val="en-US" w:eastAsia="en-US" w:bidi="en-US"/>
        </w:rPr>
        <w:t>0.49</w:t>
      </w:r>
      <w:r>
        <w:rPr>
          <w:color w:val="000000"/>
          <w:spacing w:val="0"/>
          <w:w w:val="100"/>
          <w:position w:val="0"/>
          <w:lang w:val="en-US" w:eastAsia="en-US" w:bidi="en-US"/>
        </w:rPr>
        <w:t>）</w:t>
      </w:r>
      <w:r>
        <w:rPr>
          <w:color w:val="000000"/>
          <w:spacing w:val="0"/>
          <w:w w:val="100"/>
          <w:position w:val="0"/>
        </w:rPr>
        <w:t>，需治数</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NNT</w:t>
      </w:r>
      <w:r>
        <w:rPr>
          <w:color w:val="000000"/>
          <w:spacing w:val="0"/>
          <w:w w:val="100"/>
          <w:position w:val="0"/>
          <w:lang w:val="en-US" w:eastAsia="en-US" w:bidi="en-US"/>
        </w:rPr>
        <w:t>）</w:t>
      </w:r>
      <w:r>
        <w:rPr>
          <w:color w:val="000000"/>
          <w:spacing w:val="0"/>
          <w:w w:val="100"/>
          <w:position w:val="0"/>
        </w:rPr>
        <w:t>为</w:t>
      </w:r>
      <w:r>
        <w:rPr>
          <w:rFonts w:ascii="Times New Roman" w:eastAsia="Times New Roman" w:hAnsi="Times New Roman" w:cs="Times New Roman"/>
          <w:color w:val="000000"/>
          <w:spacing w:val="0"/>
          <w:w w:val="100"/>
          <w:position w:val="0"/>
          <w:lang w:val="en-US" w:eastAsia="en-US" w:bidi="en-US"/>
        </w:rPr>
        <w:t>3.57</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95%CI 2.94-4.76</w:t>
      </w:r>
      <w:r>
        <w:rPr>
          <w:color w:val="000000"/>
          <w:spacing w:val="0"/>
          <w:w w:val="100"/>
          <w:position w:val="0"/>
        </w:rPr>
        <w:t>）。抗惊厥药普瑞巴林也显示岀降低 复发风险的作用。</w:t>
      </w:r>
    </w:p>
    <w:p>
      <w:pPr>
        <w:pStyle w:val="Style19"/>
        <w:keepNext w:val="0"/>
        <w:keepLines w:val="0"/>
        <w:widowControl w:val="0"/>
        <w:shd w:val="clear" w:color="auto" w:fill="auto"/>
        <w:bidi w:val="0"/>
        <w:spacing w:before="0" w:line="442" w:lineRule="exact"/>
        <w:ind w:left="0" w:right="0" w:firstLine="500"/>
        <w:jc w:val="left"/>
      </w:pPr>
      <w:r>
        <w:rPr>
          <w:rFonts w:ascii="Times New Roman" w:eastAsia="Times New Roman" w:hAnsi="Times New Roman" w:cs="Times New Roman"/>
          <w:color w:val="000000"/>
          <w:spacing w:val="0"/>
          <w:w w:val="100"/>
          <w:position w:val="0"/>
          <w:lang w:val="en-US" w:eastAsia="en-US" w:bidi="en-US"/>
        </w:rPr>
        <w:t>RCT</w:t>
      </w:r>
      <w:r>
        <w:rPr>
          <w:color w:val="000000"/>
          <w:spacing w:val="0"/>
          <w:w w:val="100"/>
          <w:position w:val="0"/>
        </w:rPr>
        <w:t>研究中，与安慰剂相比，艾司西酞普兰、氟伏沙明</w:t>
      </w:r>
      <w:r>
        <w:rPr>
          <w:rFonts w:ascii="Times New Roman" w:eastAsia="Times New Roman" w:hAnsi="Times New Roman" w:cs="Times New Roman"/>
          <w:color w:val="000000"/>
          <w:spacing w:val="0"/>
          <w:w w:val="100"/>
          <w:position w:val="0"/>
          <w:lang w:val="en-US" w:eastAsia="en-US" w:bidi="en-US"/>
        </w:rPr>
        <w:t>CR</w:t>
      </w:r>
      <w:r>
        <w:rPr>
          <w:color w:val="000000"/>
          <w:spacing w:val="0"/>
          <w:w w:val="100"/>
          <w:position w:val="0"/>
        </w:rPr>
        <w:t>及文拉法辛</w:t>
      </w:r>
      <w:r>
        <w:rPr>
          <w:rFonts w:ascii="Times New Roman" w:eastAsia="Times New Roman" w:hAnsi="Times New Roman" w:cs="Times New Roman"/>
          <w:color w:val="000000"/>
          <w:spacing w:val="0"/>
          <w:w w:val="100"/>
          <w:position w:val="0"/>
          <w:lang w:val="en-US" w:eastAsia="en-US" w:bidi="en-US"/>
        </w:rPr>
        <w:t>XR</w:t>
      </w:r>
      <w:r>
        <w:rPr>
          <w:color w:val="000000"/>
          <w:spacing w:val="0"/>
          <w:w w:val="100"/>
          <w:position w:val="0"/>
        </w:rPr>
        <w:t>均可持续 改善症状。另一项开放式随访研究则显示，吗氯贝胺在</w:t>
      </w:r>
      <w:r>
        <w:rPr>
          <w:rFonts w:ascii="Times New Roman" w:eastAsia="Times New Roman" w:hAnsi="Times New Roman" w:cs="Times New Roman"/>
          <w:color w:val="000000"/>
          <w:spacing w:val="0"/>
          <w:w w:val="100"/>
          <w:position w:val="0"/>
          <w:lang w:val="en-US" w:eastAsia="en-US" w:bidi="en-US"/>
        </w:rPr>
        <w:t>6-24</w:t>
      </w:r>
      <w:r>
        <w:rPr>
          <w:color w:val="000000"/>
          <w:spacing w:val="0"/>
          <w:w w:val="100"/>
          <w:position w:val="0"/>
        </w:rPr>
        <w:t>个月内具有长期疗效。</w:t>
      </w:r>
    </w:p>
    <w:p>
      <w:pPr>
        <w:pStyle w:val="Style34"/>
        <w:keepNext/>
        <w:keepLines/>
        <w:widowControl w:val="0"/>
        <w:shd w:val="clear" w:color="auto" w:fill="auto"/>
        <w:bidi w:val="0"/>
        <w:spacing w:before="0" w:line="436" w:lineRule="exact"/>
        <w:ind w:left="0" w:right="0" w:firstLine="500"/>
        <w:jc w:val="left"/>
      </w:pPr>
      <w:bookmarkStart w:id="18" w:name="bookmark18"/>
      <w:bookmarkStart w:id="19" w:name="bookmark19"/>
      <w:bookmarkStart w:id="20" w:name="bookmark20"/>
      <w:r>
        <w:rPr>
          <w:spacing w:val="0"/>
          <w:w w:val="100"/>
          <w:position w:val="0"/>
        </w:rPr>
        <w:t>生物及替代疗法</w:t>
      </w:r>
      <w:bookmarkEnd w:id="18"/>
      <w:bookmarkEnd w:id="19"/>
      <w:bookmarkEnd w:id="20"/>
    </w:p>
    <w:p>
      <w:pPr>
        <w:pStyle w:val="Style19"/>
        <w:keepNext w:val="0"/>
        <w:keepLines w:val="0"/>
        <w:widowControl w:val="0"/>
        <w:shd w:val="clear" w:color="auto" w:fill="auto"/>
        <w:bidi w:val="0"/>
        <w:spacing w:before="0" w:line="422" w:lineRule="exact"/>
        <w:ind w:left="0" w:right="0" w:firstLine="500"/>
        <w:jc w:val="left"/>
      </w:pPr>
      <w:r>
        <w:rPr>
          <w:color w:val="000000"/>
          <w:spacing w:val="0"/>
          <w:w w:val="100"/>
          <w:position w:val="0"/>
        </w:rPr>
        <w:t xml:space="preserve">生物疗法：在一项开放标签研究中，神经心理躯体优化——无线电不对称式输送设备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NPPO-REAC</w:t>
      </w:r>
      <w:r>
        <w:rPr>
          <w:color w:val="000000"/>
          <w:spacing w:val="0"/>
          <w:w w:val="100"/>
          <w:position w:val="0"/>
          <w:lang w:val="en-US" w:eastAsia="en-US" w:bidi="en-US"/>
        </w:rPr>
        <w:t>，</w:t>
      </w:r>
      <w:r>
        <w:rPr>
          <w:color w:val="000000"/>
          <w:spacing w:val="0"/>
          <w:w w:val="100"/>
          <w:position w:val="0"/>
        </w:rPr>
        <w:t>一种脑刺激技术）治疗</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的疗效与舍曲林相仿，证据等级为</w:t>
      </w:r>
      <w:r>
        <w:rPr>
          <w:rFonts w:ascii="Times New Roman" w:eastAsia="Times New Roman" w:hAnsi="Times New Roman" w:cs="Times New Roman"/>
          <w:color w:val="000000"/>
          <w:spacing w:val="0"/>
          <w:w w:val="100"/>
          <w:position w:val="0"/>
        </w:rPr>
        <w:t>3</w:t>
      </w:r>
      <w:r>
        <w:rPr>
          <w:color w:val="000000"/>
          <w:spacing w:val="0"/>
          <w:w w:val="100"/>
          <w:position w:val="0"/>
        </w:rPr>
        <w:t>级。</w:t>
      </w:r>
    </w:p>
    <w:p>
      <w:pPr>
        <w:pStyle w:val="Style19"/>
        <w:keepNext w:val="0"/>
        <w:keepLines w:val="0"/>
        <w:widowControl w:val="0"/>
        <w:shd w:val="clear" w:color="auto" w:fill="auto"/>
        <w:bidi w:val="0"/>
        <w:spacing w:before="0" w:line="446" w:lineRule="exact"/>
        <w:ind w:left="0" w:right="0" w:firstLine="500"/>
        <w:jc w:val="left"/>
      </w:pPr>
      <w:r>
        <w:rPr>
          <w:color w:val="000000"/>
          <w:spacing w:val="0"/>
          <w:w w:val="100"/>
          <w:position w:val="0"/>
        </w:rPr>
        <w:t>替代疗法：圣约翰草提取物的疗效不优于安慰剂，不推荐用于</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的治疗（</w:t>
      </w:r>
      <w:r>
        <w:rPr>
          <w:rFonts w:ascii="Times New Roman" w:eastAsia="Times New Roman" w:hAnsi="Times New Roman" w:cs="Times New Roman"/>
          <w:color w:val="000000"/>
          <w:spacing w:val="0"/>
          <w:w w:val="100"/>
          <w:position w:val="0"/>
        </w:rPr>
        <w:t>2</w:t>
      </w:r>
      <w:r>
        <w:rPr>
          <w:color w:val="000000"/>
          <w:spacing w:val="0"/>
          <w:w w:val="100"/>
          <w:position w:val="0"/>
        </w:rPr>
        <w:t>级证 据，阴性）。</w:t>
      </w:r>
    </w:p>
    <w:p>
      <w:pPr>
        <w:pStyle w:val="Style34"/>
        <w:keepNext/>
        <w:keepLines/>
        <w:widowControl w:val="0"/>
        <w:shd w:val="clear" w:color="auto" w:fill="auto"/>
        <w:bidi w:val="0"/>
        <w:spacing w:before="0" w:line="436" w:lineRule="exact"/>
        <w:ind w:left="0" w:right="0" w:firstLine="500"/>
        <w:jc w:val="left"/>
      </w:pPr>
      <w:bookmarkStart w:id="21" w:name="bookmark21"/>
      <w:bookmarkStart w:id="22" w:name="bookmark22"/>
      <w:bookmarkStart w:id="23" w:name="bookmark23"/>
      <w:r>
        <w:rPr>
          <w:spacing w:val="0"/>
          <w:w w:val="100"/>
          <w:position w:val="0"/>
        </w:rPr>
        <w:t>总结</w:t>
      </w:r>
      <w:bookmarkEnd w:id="21"/>
      <w:bookmarkEnd w:id="22"/>
      <w:bookmarkEnd w:id="23"/>
    </w:p>
    <w:p>
      <w:pPr>
        <w:pStyle w:val="Style19"/>
        <w:keepNext w:val="0"/>
        <w:keepLines w:val="0"/>
        <w:widowControl w:val="0"/>
        <w:shd w:val="clear" w:color="auto" w:fill="auto"/>
        <w:bidi w:val="0"/>
        <w:spacing w:before="0" w:line="434" w:lineRule="exact"/>
        <w:ind w:left="0" w:right="0" w:firstLine="500"/>
        <w:jc w:val="both"/>
      </w:pP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是最常见的焦虑障碍之一，对生活质量及功能</w:t>
      </w:r>
      <w:r>
        <w:rPr>
          <w:rFonts w:ascii="Times New Roman" w:eastAsia="Times New Roman" w:hAnsi="Times New Roman" w:cs="Times New Roman"/>
          <w:color w:val="000000"/>
          <w:spacing w:val="0"/>
          <w:w w:val="100"/>
          <w:position w:val="0"/>
        </w:rPr>
        <w:t>/</w:t>
      </w:r>
      <w:r>
        <w:rPr>
          <w:color w:val="000000"/>
          <w:spacing w:val="0"/>
          <w:w w:val="100"/>
          <w:position w:val="0"/>
        </w:rPr>
        <w:t>职业预后具有消极影响，常共病 其他精神科疾病。该病的特征为针对暴露于注视环境的高强度恐惧及焦虑，患者常主动回 避这些场合。</w:t>
      </w:r>
    </w:p>
    <w:p>
      <w:pPr>
        <w:pStyle w:val="Style19"/>
        <w:keepNext w:val="0"/>
        <w:keepLines w:val="0"/>
        <w:widowControl w:val="0"/>
        <w:shd w:val="clear" w:color="auto" w:fill="auto"/>
        <w:bidi w:val="0"/>
        <w:spacing w:before="0" w:line="434" w:lineRule="exact"/>
        <w:ind w:left="0" w:right="0" w:firstLine="500"/>
        <w:jc w:val="both"/>
      </w:pP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与单独的暴露疗法是</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的一线治疗。</w:t>
      </w:r>
      <w:r>
        <w:rPr>
          <w:rFonts w:ascii="Times New Roman" w:eastAsia="Times New Roman" w:hAnsi="Times New Roman" w:cs="Times New Roman"/>
          <w:color w:val="000000"/>
          <w:spacing w:val="0"/>
          <w:w w:val="100"/>
          <w:position w:val="0"/>
          <w:lang w:val="en-US" w:eastAsia="en-US" w:bidi="en-US"/>
        </w:rPr>
        <w:t>VRE</w:t>
      </w:r>
      <w:r>
        <w:rPr>
          <w:color w:val="000000"/>
          <w:spacing w:val="0"/>
          <w:w w:val="100"/>
          <w:position w:val="0"/>
        </w:rPr>
        <w:t xml:space="preserve">和基于网络的治疗项目同样有效。 </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治疗的收益可维持</w:t>
      </w:r>
      <w:r>
        <w:rPr>
          <w:rFonts w:ascii="Times New Roman" w:eastAsia="Times New Roman" w:hAnsi="Times New Roman" w:cs="Times New Roman"/>
          <w:color w:val="000000"/>
          <w:spacing w:val="0"/>
          <w:w w:val="100"/>
          <w:position w:val="0"/>
          <w:lang w:val="en-US" w:eastAsia="en-US" w:bidi="en-US"/>
        </w:rPr>
        <w:t>1-5</w:t>
      </w:r>
      <w:r>
        <w:rPr>
          <w:color w:val="000000"/>
          <w:spacing w:val="0"/>
          <w:w w:val="100"/>
          <w:position w:val="0"/>
        </w:rPr>
        <w:t>年，针对急性</w:t>
      </w:r>
      <w:r>
        <w:rPr>
          <w:rFonts w:ascii="Times New Roman" w:eastAsia="Times New Roman" w:hAnsi="Times New Roman" w:cs="Times New Roman"/>
          <w:color w:val="000000"/>
          <w:spacing w:val="0"/>
          <w:w w:val="100"/>
          <w:position w:val="0"/>
          <w:lang w:val="en-US" w:eastAsia="en-US" w:bidi="en-US"/>
        </w:rPr>
        <w:t>SAD</w:t>
      </w:r>
      <w:r>
        <w:rPr>
          <w:color w:val="000000"/>
          <w:spacing w:val="0"/>
          <w:w w:val="100"/>
          <w:position w:val="0"/>
        </w:rPr>
        <w:t>的疗效与药物治疗相仿，但治疗中止后疗 效维持时间长于后者。在大部分研究中，</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联用药物治疗疗效并不优于</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自身。</w:t>
      </w:r>
    </w:p>
    <w:p>
      <w:pPr>
        <w:pStyle w:val="Style19"/>
        <w:keepNext w:val="0"/>
        <w:keepLines w:val="0"/>
        <w:widowControl w:val="0"/>
        <w:shd w:val="clear" w:color="auto" w:fill="auto"/>
        <w:bidi w:val="0"/>
        <w:spacing w:before="0" w:line="437" w:lineRule="exact"/>
        <w:ind w:left="0" w:right="0" w:firstLine="500"/>
        <w:jc w:val="both"/>
      </w:pPr>
      <w:r>
        <w:rPr>
          <w:color w:val="000000"/>
          <w:spacing w:val="0"/>
          <w:w w:val="100"/>
          <w:position w:val="0"/>
        </w:rPr>
        <w:t>药物治疗应从一线药物开始，包括艾司西酞普兰、氟伏沙明等。若最优剂量效果欠 佳，或患者不能耐受，应考虑换用另一种一线药物，随后再考虑二线药物。</w:t>
      </w:r>
    </w:p>
    <w:p>
      <w:pPr>
        <w:pStyle w:val="Style19"/>
        <w:keepNext w:val="0"/>
        <w:keepLines w:val="0"/>
        <w:widowControl w:val="0"/>
        <w:shd w:val="clear" w:color="auto" w:fill="auto"/>
        <w:bidi w:val="0"/>
        <w:spacing w:before="0" w:after="540" w:line="442" w:lineRule="exact"/>
        <w:ind w:left="0" w:right="0" w:firstLine="500"/>
        <w:jc w:val="both"/>
      </w:pPr>
      <w:r>
        <w:rPr>
          <w:color w:val="000000"/>
          <w:spacing w:val="0"/>
          <w:w w:val="100"/>
          <w:position w:val="0"/>
        </w:rPr>
        <w:t>对多种药物</w:t>
      </w:r>
      <w:r>
        <w:rPr>
          <w:rFonts w:ascii="Times New Roman" w:eastAsia="Times New Roman" w:hAnsi="Times New Roman" w:cs="Times New Roman"/>
          <w:color w:val="000000"/>
          <w:spacing w:val="0"/>
          <w:w w:val="100"/>
          <w:position w:val="0"/>
          <w:lang w:val="en-US" w:eastAsia="en-US" w:bidi="en-US"/>
        </w:rPr>
        <w:t>/CBT</w:t>
      </w:r>
      <w:r>
        <w:rPr>
          <w:color w:val="000000"/>
          <w:spacing w:val="0"/>
          <w:w w:val="100"/>
          <w:position w:val="0"/>
        </w:rPr>
        <w:t>应答不良的患者可能为难治性。针对此类患者应重新评估诊断，考 虑可能影响治疗应答的躯体及精神科共病。必要时可考虑尝试三线药物。</w:t>
      </w:r>
    </w:p>
    <w:p>
      <w:pPr>
        <w:pStyle w:val="Style19"/>
        <w:keepNext w:val="0"/>
        <w:keepLines w:val="0"/>
        <w:widowControl w:val="0"/>
        <w:shd w:val="clear" w:color="auto" w:fill="auto"/>
        <w:bidi w:val="0"/>
        <w:spacing w:before="0" w:after="60" w:line="436" w:lineRule="exact"/>
        <w:ind w:left="0" w:right="0" w:firstLine="0"/>
        <w:jc w:val="center"/>
      </w:pPr>
      <w:r>
        <w:rPr>
          <w:color w:val="000000"/>
          <w:spacing w:val="0"/>
          <w:w w:val="100"/>
          <w:position w:val="0"/>
        </w:rPr>
        <w:t>指南全文下载：</w:t>
      </w:r>
      <w:r>
        <w:fldChar w:fldCharType="begin"/>
      </w:r>
      <w:r>
        <w:rPr/>
        <w:instrText> HYPERLINK "http://guide.medlive.cn/guideline/6762" </w:instrText>
      </w:r>
      <w:r>
        <w:fldChar w:fldCharType="separate"/>
      </w:r>
      <w:r>
        <w:rPr>
          <w:rFonts w:ascii="Times New Roman" w:eastAsia="Times New Roman" w:hAnsi="Times New Roman" w:cs="Times New Roman"/>
          <w:b/>
          <w:bCs/>
          <w:color w:val="1D4B87"/>
          <w:spacing w:val="0"/>
          <w:w w:val="100"/>
          <w:position w:val="0"/>
          <w:u w:val="single"/>
        </w:rPr>
        <w:t>2014</w:t>
      </w:r>
      <w:r>
        <w:rPr>
          <w:b/>
          <w:bCs/>
          <w:color w:val="1D4B87"/>
          <w:spacing w:val="0"/>
          <w:w w:val="100"/>
          <w:position w:val="0"/>
          <w:u w:val="single"/>
        </w:rPr>
        <w:t>加拿大临床实践指南：焦虑障碍、创伤后应激障碍与强迫</w:t>
      </w:r>
      <w:r>
        <w:fldChar w:fldCharType="end"/>
      </w:r>
    </w:p>
    <w:p>
      <w:pPr>
        <w:pStyle w:val="Style19"/>
        <w:keepNext w:val="0"/>
        <w:keepLines w:val="0"/>
        <w:widowControl w:val="0"/>
        <w:shd w:val="clear" w:color="auto" w:fill="auto"/>
        <w:bidi w:val="0"/>
        <w:spacing w:before="0" w:line="436" w:lineRule="exact"/>
        <w:ind w:left="0" w:right="0" w:firstLine="0"/>
        <w:jc w:val="left"/>
      </w:pPr>
      <w:r>
        <w:fldChar w:fldCharType="begin"/>
      </w:r>
      <w:r>
        <w:rPr/>
        <w:instrText> HYPERLINK "http://guide.medlive.cn/guideline/6762" </w:instrText>
      </w:r>
      <w:r>
        <w:fldChar w:fldCharType="separate"/>
      </w:r>
      <w:r>
        <w:rPr>
          <w:b/>
          <w:bCs/>
          <w:color w:val="1D4B87"/>
          <w:spacing w:val="0"/>
          <w:w w:val="100"/>
          <w:position w:val="0"/>
          <w:u w:val="single"/>
        </w:rPr>
        <w:t>性障碍的管理</w:t>
      </w:r>
      <w:r>
        <w:fldChar w:fldCharType="end"/>
      </w:r>
    </w:p>
    <w:sectPr>
      <w:headerReference w:type="default" r:id="rId8"/>
      <w:footnotePr>
        <w:pos w:val="pageBottom"/>
        <w:numFmt w:val="decimal"/>
        <w:numRestart w:val="continuous"/>
      </w:footnotePr>
      <w:type w:val="continuous"/>
      <w:pgSz w:w="11900" w:h="16840"/>
      <w:pgMar w:top="1417" w:right="982" w:bottom="1571" w:left="1774" w:header="0" w:footer="114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1416685</wp:posOffset>
              </wp:positionH>
              <wp:positionV relativeFrom="page">
                <wp:posOffset>598170</wp:posOffset>
              </wp:positionV>
              <wp:extent cx="4730750" cy="152400"/>
              <wp:wrapNone/>
              <wp:docPr id="1" name="Shape 1"/>
              <a:graphic xmlns:a="http://schemas.openxmlformats.org/drawingml/2006/main">
                <a:graphicData uri="http://schemas.microsoft.com/office/word/2010/wordprocessingShape">
                  <wps:wsp>
                    <wps:cNvSpPr txBox="1"/>
                    <wps:spPr>
                      <a:xfrm>
                        <a:ext cx="4730750" cy="152400"/>
                      </a:xfrm>
                      <a:prstGeom prst="rect"/>
                      <a:noFill/>
                    </wps:spPr>
                    <wps:txbx>
                      <w:txbxContent>
                        <w:p>
                          <w:pPr>
                            <w:pStyle w:val="Style5"/>
                            <w:keepNext w:val="0"/>
                            <w:keepLines w:val="0"/>
                            <w:widowControl w:val="0"/>
                            <w:shd w:val="clear" w:color="auto" w:fill="auto"/>
                            <w:tabs>
                              <w:tab w:pos="7450" w:val="right"/>
                            </w:tabs>
                            <w:bidi w:val="0"/>
                            <w:spacing w:before="0" w:after="0" w:line="240" w:lineRule="auto"/>
                            <w:ind w:left="0" w:right="0" w:firstLine="0"/>
                            <w:jc w:val="left"/>
                            <w:rPr>
                              <w:sz w:val="22"/>
                              <w:szCs w:val="22"/>
                            </w:rPr>
                          </w:pPr>
                          <w:r>
                            <w:rPr>
                              <w:rFonts w:ascii="SimSun" w:eastAsia="SimSun" w:hAnsi="SimSun" w:cs="SimSun"/>
                              <w:b/>
                              <w:bCs/>
                              <w:color w:val="2E75B6"/>
                              <w:spacing w:val="0"/>
                              <w:w w:val="100"/>
                              <w:position w:val="0"/>
                              <w:sz w:val="22"/>
                              <w:szCs w:val="22"/>
                              <w:lang w:val="zh-TW" w:eastAsia="zh-TW" w:bidi="zh-TW"/>
                            </w:rPr>
                            <w:t>医脉通临床指南</w:t>
                            <w:tab/>
                          </w:r>
                          <w:r>
                            <w:rPr>
                              <w:rFonts w:ascii="Times New Roman" w:eastAsia="Times New Roman" w:hAnsi="Times New Roman" w:cs="Times New Roman"/>
                              <w:b/>
                              <w:bCs/>
                              <w:color w:val="2E75B6"/>
                              <w:spacing w:val="0"/>
                              <w:w w:val="100"/>
                              <w:position w:val="0"/>
                              <w:sz w:val="22"/>
                              <w:szCs w:val="22"/>
                              <w:lang w:val="en-US" w:eastAsia="en-US" w:bidi="en-US"/>
                            </w:rPr>
                            <w:t>http://guide.medlive.cn/</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1.55pt;margin-top:47.100000000000001pt;width:372.5pt;height:12.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450" w:val="right"/>
                      </w:tabs>
                      <w:bidi w:val="0"/>
                      <w:spacing w:before="0" w:after="0" w:line="240" w:lineRule="auto"/>
                      <w:ind w:left="0" w:right="0" w:firstLine="0"/>
                      <w:jc w:val="left"/>
                      <w:rPr>
                        <w:sz w:val="22"/>
                        <w:szCs w:val="22"/>
                      </w:rPr>
                    </w:pPr>
                    <w:r>
                      <w:rPr>
                        <w:rFonts w:ascii="SimSun" w:eastAsia="SimSun" w:hAnsi="SimSun" w:cs="SimSun"/>
                        <w:b/>
                        <w:bCs/>
                        <w:color w:val="2E75B6"/>
                        <w:spacing w:val="0"/>
                        <w:w w:val="100"/>
                        <w:position w:val="0"/>
                        <w:sz w:val="22"/>
                        <w:szCs w:val="22"/>
                        <w:lang w:val="zh-TW" w:eastAsia="zh-TW" w:bidi="zh-TW"/>
                      </w:rPr>
                      <w:t>医脉通临床指南</w:t>
                      <w:tab/>
                    </w:r>
                    <w:r>
                      <w:rPr>
                        <w:rFonts w:ascii="Times New Roman" w:eastAsia="Times New Roman" w:hAnsi="Times New Roman" w:cs="Times New Roman"/>
                        <w:b/>
                        <w:bCs/>
                        <w:color w:val="2E75B6"/>
                        <w:spacing w:val="0"/>
                        <w:w w:val="100"/>
                        <w:position w:val="0"/>
                        <w:sz w:val="22"/>
                        <w:szCs w:val="22"/>
                        <w:lang w:val="en-US" w:eastAsia="en-US" w:bidi="en-US"/>
                      </w:rPr>
                      <w:t>http://guide.medlive.cn/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797560</wp:posOffset>
              </wp:positionV>
              <wp:extent cx="5312410" cy="0"/>
              <wp:wrapNone/>
              <wp:docPr id="3" name="Shape 3"/>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8.299999999999997pt;margin-top:62.800000000000004pt;width:418.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1416050</wp:posOffset>
              </wp:positionH>
              <wp:positionV relativeFrom="page">
                <wp:posOffset>598170</wp:posOffset>
              </wp:positionV>
              <wp:extent cx="4730750" cy="152400"/>
              <wp:wrapNone/>
              <wp:docPr id="5" name="Shape 5"/>
              <a:graphic xmlns:a="http://schemas.openxmlformats.org/drawingml/2006/main">
                <a:graphicData uri="http://schemas.microsoft.com/office/word/2010/wordprocessingShape">
                  <wps:wsp>
                    <wps:cNvSpPr txBox="1"/>
                    <wps:spPr>
                      <a:xfrm>
                        <a:ext cx="4730750" cy="152400"/>
                      </a:xfrm>
                      <a:prstGeom prst="rect"/>
                      <a:noFill/>
                    </wps:spPr>
                    <wps:txbx>
                      <w:txbxContent>
                        <w:p>
                          <w:pPr>
                            <w:pStyle w:val="Style42"/>
                            <w:keepNext w:val="0"/>
                            <w:keepLines w:val="0"/>
                            <w:widowControl w:val="0"/>
                            <w:shd w:val="clear" w:color="auto" w:fill="auto"/>
                            <w:tabs>
                              <w:tab w:pos="7450" w:val="right"/>
                            </w:tabs>
                            <w:bidi w:val="0"/>
                            <w:spacing w:before="0" w:after="0" w:line="240" w:lineRule="auto"/>
                            <w:ind w:left="0" w:right="0" w:firstLine="0"/>
                            <w:jc w:val="left"/>
                          </w:pPr>
                          <w:r>
                            <w:rPr>
                              <w:rFonts w:ascii="SimSun" w:eastAsia="SimSun" w:hAnsi="SimSun" w:cs="SimSun"/>
                              <w:spacing w:val="0"/>
                              <w:w w:val="100"/>
                              <w:position w:val="0"/>
                              <w:lang w:val="zh-TW" w:eastAsia="zh-TW" w:bidi="zh-TW"/>
                            </w:rPr>
                            <w:t>医脉通临床指南</w:t>
                            <w:tab/>
                          </w:r>
                          <w:r>
                            <w:rPr>
                              <w:rFonts w:ascii="Times New Roman" w:eastAsia="Times New Roman" w:hAnsi="Times New Roman" w:cs="Times New Roman"/>
                              <w:spacing w:val="0"/>
                              <w:w w:val="100"/>
                              <w:position w:val="0"/>
                              <w:lang w:val="en-US" w:eastAsia="en-US" w:bidi="en-US"/>
                            </w:rPr>
                            <w:t>http://guide.medlive.cn/</w:t>
                          </w:r>
                        </w:p>
                      </w:txbxContent>
                    </wps:txbx>
                    <wps:bodyPr lIns="0" tIns="0" rIns="0" bIns="0">
                      <a:spAutoFit/>
                    </wps:bodyPr>
                  </wps:wsp>
                </a:graphicData>
              </a:graphic>
            </wp:anchor>
          </w:drawing>
        </mc:Choice>
        <mc:Fallback>
          <w:pict>
            <v:shape id="_x0000_s1031" type="#_x0000_t202" style="position:absolute;margin-left:111.5pt;margin-top:47.100000000000001pt;width:372.5pt;height:12.pt;z-index:-188744061;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7450" w:val="right"/>
                      </w:tabs>
                      <w:bidi w:val="0"/>
                      <w:spacing w:before="0" w:after="0" w:line="240" w:lineRule="auto"/>
                      <w:ind w:left="0" w:right="0" w:firstLine="0"/>
                      <w:jc w:val="left"/>
                    </w:pPr>
                    <w:r>
                      <w:rPr>
                        <w:rFonts w:ascii="SimSun" w:eastAsia="SimSun" w:hAnsi="SimSun" w:cs="SimSun"/>
                        <w:spacing w:val="0"/>
                        <w:w w:val="100"/>
                        <w:position w:val="0"/>
                        <w:lang w:val="zh-TW" w:eastAsia="zh-TW" w:bidi="zh-TW"/>
                      </w:rPr>
                      <w:t>医脉通临床指南</w:t>
                      <w:tab/>
                    </w:r>
                    <w:r>
                      <w:rPr>
                        <w:rFonts w:ascii="Times New Roman" w:eastAsia="Times New Roman" w:hAnsi="Times New Roman" w:cs="Times New Roman"/>
                        <w:spacing w:val="0"/>
                        <w:w w:val="100"/>
                        <w:position w:val="0"/>
                        <w:lang w:val="en-US" w:eastAsia="en-US" w:bidi="en-US"/>
                      </w:rPr>
                      <w:t>http://guide.medlive.cn/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797560</wp:posOffset>
              </wp:positionV>
              <wp:extent cx="5312410" cy="0"/>
              <wp:wrapNone/>
              <wp:docPr id="7" name="Shape 7"/>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8.200000000000003pt;margin-top:62.800000000000004pt;width:418.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bCs/>
      <w:i w:val="0"/>
      <w:iCs w:val="0"/>
      <w:smallCaps w:val="0"/>
      <w:strike w:val="0"/>
      <w:color w:val="3E3E3E"/>
      <w:sz w:val="30"/>
      <w:szCs w:val="3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0">
    <w:name w:val="Body text|2_"/>
    <w:basedOn w:val="DefaultParagraphFont"/>
    <w:link w:val="Style9"/>
    <w:rPr>
      <w:b/>
      <w:bCs/>
      <w:i w:val="0"/>
      <w:iCs w:val="0"/>
      <w:smallCaps w:val="0"/>
      <w:strike w:val="0"/>
      <w:color w:val="2E75B6"/>
      <w:sz w:val="20"/>
      <w:szCs w:val="20"/>
      <w:u w:val="none"/>
      <w:shd w:val="clear" w:color="auto" w:fill="auto"/>
      <w:lang w:val="zh-TW" w:eastAsia="zh-TW" w:bidi="zh-TW"/>
    </w:rPr>
  </w:style>
  <w:style w:type="character" w:customStyle="1" w:styleId="CharStyle13">
    <w:name w:val="Other|1_"/>
    <w:basedOn w:val="DefaultParagraphFont"/>
    <w:link w:val="Style1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0">
    <w:name w:val="Body text|1_"/>
    <w:basedOn w:val="DefaultParagraphFont"/>
    <w:link w:val="Style19"/>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5">
    <w:name w:val="Table of contents|1_"/>
    <w:basedOn w:val="DefaultParagraphFont"/>
    <w:link w:val="Style24"/>
    <w:rPr>
      <w:rFonts w:ascii="SimSun" w:eastAsia="SimSun" w:hAnsi="SimSun" w:cs="SimSun"/>
      <w:b/>
      <w:bCs/>
      <w:i w:val="0"/>
      <w:iCs w:val="0"/>
      <w:smallCaps w:val="0"/>
      <w:strike w:val="0"/>
      <w:sz w:val="20"/>
      <w:szCs w:val="20"/>
      <w:u w:val="none"/>
      <w:shd w:val="clear" w:color="auto" w:fill="auto"/>
      <w:lang w:val="zh-TW" w:eastAsia="zh-TW" w:bidi="zh-TW"/>
    </w:rPr>
  </w:style>
  <w:style w:type="character" w:customStyle="1" w:styleId="CharStyle31">
    <w:name w:val="Body text|3_"/>
    <w:basedOn w:val="DefaultParagraphFont"/>
    <w:link w:val="Style30"/>
    <w:rPr>
      <w:rFonts w:ascii="SimSun" w:eastAsia="SimSun" w:hAnsi="SimSun" w:cs="SimSun"/>
      <w:b/>
      <w:bCs/>
      <w:i w:val="0"/>
      <w:iCs w:val="0"/>
      <w:smallCaps w:val="0"/>
      <w:strike w:val="0"/>
      <w:sz w:val="18"/>
      <w:szCs w:val="18"/>
      <w:u w:val="none"/>
      <w:shd w:val="clear" w:color="auto" w:fill="auto"/>
      <w:lang w:val="zh-TW" w:eastAsia="zh-TW" w:bidi="zh-TW"/>
    </w:rPr>
  </w:style>
  <w:style w:type="character" w:customStyle="1" w:styleId="CharStyle35">
    <w:name w:val="Heading #2|1_"/>
    <w:basedOn w:val="DefaultParagraphFont"/>
    <w:link w:val="Style34"/>
    <w:rPr>
      <w:rFonts w:ascii="SimSun" w:eastAsia="SimSun" w:hAnsi="SimSun" w:cs="SimSun"/>
      <w:b/>
      <w:bCs/>
      <w:i w:val="0"/>
      <w:iCs w:val="0"/>
      <w:smallCaps w:val="0"/>
      <w:strike w:val="0"/>
      <w:color w:val="C00000"/>
      <w:sz w:val="20"/>
      <w:szCs w:val="20"/>
      <w:u w:val="none"/>
      <w:shd w:val="clear" w:color="auto" w:fill="auto"/>
      <w:lang w:val="zh-TW" w:eastAsia="zh-TW" w:bidi="zh-TW"/>
    </w:rPr>
  </w:style>
  <w:style w:type="character" w:customStyle="1" w:styleId="CharStyle43">
    <w:name w:val="Header or footer|1_"/>
    <w:basedOn w:val="DefaultParagraphFont"/>
    <w:link w:val="Style42"/>
    <w:rPr>
      <w:b/>
      <w:bCs/>
      <w:i w:val="0"/>
      <w:iCs w:val="0"/>
      <w:smallCaps w:val="0"/>
      <w:strike w:val="0"/>
      <w:color w:val="2E75B6"/>
      <w:sz w:val="22"/>
      <w:szCs w:val="22"/>
      <w:u w:val="none"/>
      <w:shd w:val="clear" w:color="auto" w:fill="auto"/>
    </w:rPr>
  </w:style>
  <w:style w:type="paragraph" w:customStyle="1" w:styleId="Style2">
    <w:name w:val="Heading #1|1"/>
    <w:basedOn w:val="Normal"/>
    <w:link w:val="CharStyle3"/>
    <w:pPr>
      <w:widowControl w:val="0"/>
      <w:shd w:val="clear" w:color="auto" w:fill="auto"/>
      <w:spacing w:before="460" w:after="480"/>
      <w:jc w:val="center"/>
      <w:outlineLvl w:val="0"/>
    </w:pPr>
    <w:rPr>
      <w:rFonts w:ascii="SimSun" w:eastAsia="SimSun" w:hAnsi="SimSun" w:cs="SimSun"/>
      <w:b/>
      <w:bCs/>
      <w:i w:val="0"/>
      <w:iCs w:val="0"/>
      <w:smallCaps w:val="0"/>
      <w:strike w:val="0"/>
      <w:color w:val="3E3E3E"/>
      <w:sz w:val="30"/>
      <w:szCs w:val="3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9">
    <w:name w:val="Body text|2"/>
    <w:basedOn w:val="Normal"/>
    <w:link w:val="CharStyle10"/>
    <w:pPr>
      <w:widowControl w:val="0"/>
      <w:shd w:val="clear" w:color="auto" w:fill="auto"/>
      <w:spacing w:after="600"/>
      <w:ind w:right="800"/>
      <w:jc w:val="right"/>
    </w:pPr>
    <w:rPr>
      <w:b/>
      <w:bCs/>
      <w:i w:val="0"/>
      <w:iCs w:val="0"/>
      <w:smallCaps w:val="0"/>
      <w:strike w:val="0"/>
      <w:color w:val="2E75B6"/>
      <w:sz w:val="20"/>
      <w:szCs w:val="20"/>
      <w:u w:val="none"/>
      <w:shd w:val="clear" w:color="auto" w:fill="auto"/>
      <w:lang w:val="zh-TW" w:eastAsia="zh-TW" w:bidi="zh-TW"/>
    </w:rPr>
  </w:style>
  <w:style w:type="paragraph" w:customStyle="1" w:styleId="Style12">
    <w:name w:val="Other|1"/>
    <w:basedOn w:val="Normal"/>
    <w:link w:val="CharStyle13"/>
    <w:pPr>
      <w:widowControl w:val="0"/>
      <w:shd w:val="clear" w:color="auto" w:fill="auto"/>
      <w:spacing w:after="420" w:line="446"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9">
    <w:name w:val="Body text|1"/>
    <w:basedOn w:val="Normal"/>
    <w:link w:val="CharStyle20"/>
    <w:pPr>
      <w:widowControl w:val="0"/>
      <w:shd w:val="clear" w:color="auto" w:fill="auto"/>
      <w:spacing w:after="420" w:line="446"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4">
    <w:name w:val="Table of contents|1"/>
    <w:basedOn w:val="Normal"/>
    <w:link w:val="CharStyle25"/>
    <w:pPr>
      <w:widowControl w:val="0"/>
      <w:shd w:val="clear" w:color="auto" w:fill="auto"/>
      <w:spacing w:after="100"/>
      <w:ind w:firstLine="140"/>
    </w:pPr>
    <w:rPr>
      <w:rFonts w:ascii="SimSun" w:eastAsia="SimSun" w:hAnsi="SimSun" w:cs="SimSun"/>
      <w:b/>
      <w:bCs/>
      <w:i w:val="0"/>
      <w:iCs w:val="0"/>
      <w:smallCaps w:val="0"/>
      <w:strike w:val="0"/>
      <w:sz w:val="20"/>
      <w:szCs w:val="20"/>
      <w:u w:val="none"/>
      <w:shd w:val="clear" w:color="auto" w:fill="auto"/>
      <w:lang w:val="zh-TW" w:eastAsia="zh-TW" w:bidi="zh-TW"/>
    </w:rPr>
  </w:style>
  <w:style w:type="paragraph" w:customStyle="1" w:styleId="Style30">
    <w:name w:val="Body text|3"/>
    <w:basedOn w:val="Normal"/>
    <w:link w:val="CharStyle31"/>
    <w:pPr>
      <w:widowControl w:val="0"/>
      <w:shd w:val="clear" w:color="auto" w:fill="auto"/>
      <w:spacing w:after="640"/>
      <w:jc w:val="center"/>
    </w:pPr>
    <w:rPr>
      <w:rFonts w:ascii="SimSun" w:eastAsia="SimSun" w:hAnsi="SimSun" w:cs="SimSun"/>
      <w:b/>
      <w:bCs/>
      <w:i w:val="0"/>
      <w:iCs w:val="0"/>
      <w:smallCaps w:val="0"/>
      <w:strike w:val="0"/>
      <w:sz w:val="18"/>
      <w:szCs w:val="18"/>
      <w:u w:val="none"/>
      <w:shd w:val="clear" w:color="auto" w:fill="auto"/>
      <w:lang w:val="zh-TW" w:eastAsia="zh-TW" w:bidi="zh-TW"/>
    </w:rPr>
  </w:style>
  <w:style w:type="paragraph" w:customStyle="1" w:styleId="Style34">
    <w:name w:val="Heading #2|1"/>
    <w:basedOn w:val="Normal"/>
    <w:link w:val="CharStyle35"/>
    <w:pPr>
      <w:widowControl w:val="0"/>
      <w:shd w:val="clear" w:color="auto" w:fill="auto"/>
      <w:spacing w:after="420" w:line="434" w:lineRule="exact"/>
      <w:ind w:firstLine="480"/>
      <w:outlineLvl w:val="1"/>
    </w:pPr>
    <w:rPr>
      <w:rFonts w:ascii="SimSun" w:eastAsia="SimSun" w:hAnsi="SimSun" w:cs="SimSun"/>
      <w:b/>
      <w:bCs/>
      <w:i w:val="0"/>
      <w:iCs w:val="0"/>
      <w:smallCaps w:val="0"/>
      <w:strike w:val="0"/>
      <w:color w:val="C00000"/>
      <w:sz w:val="20"/>
      <w:szCs w:val="20"/>
      <w:u w:val="none"/>
      <w:shd w:val="clear" w:color="auto" w:fill="auto"/>
      <w:lang w:val="zh-TW" w:eastAsia="zh-TW" w:bidi="zh-TW"/>
    </w:rPr>
  </w:style>
  <w:style w:type="paragraph" w:customStyle="1" w:styleId="Style42">
    <w:name w:val="Header or footer|1"/>
    <w:basedOn w:val="Normal"/>
    <w:link w:val="CharStyle43"/>
    <w:pPr>
      <w:widowControl w:val="0"/>
      <w:shd w:val="clear" w:color="auto" w:fill="auto"/>
    </w:pPr>
    <w:rPr>
      <w:b/>
      <w:bCs/>
      <w:i w:val="0"/>
      <w:iCs w:val="0"/>
      <w:smallCaps w:val="0"/>
      <w:strike w:val="0"/>
      <w:color w:val="2E75B6"/>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
  <dc:subject/>
  <dc:creator>Administrator</dc:creator>
  <cp:keywords/>
</cp:coreProperties>
</file>