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</w:rPr>
        <w:t>2014</w:t>
      </w:r>
      <w:r>
        <w:rPr>
          <w:spacing w:val="0"/>
          <w:w w:val="100"/>
          <w:position w:val="0"/>
        </w:rPr>
        <w:t>年加拿大临床实践指南（二）：广泛性焦虑障碍</w:t>
      </w:r>
      <w:bookmarkEnd w:id="0"/>
      <w:bookmarkEnd w:id="1"/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37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</w:rPr>
        <w:t xml:space="preserve">医脉通 </w:t>
      </w:r>
      <w:r>
        <w:rPr>
          <w:rFonts w:ascii="Times New Roman" w:eastAsia="Times New Roman" w:hAnsi="Times New Roman" w:cs="Times New Roman"/>
          <w:b w:val="0"/>
          <w:bCs w:val="0"/>
          <w:color w:val="888888"/>
          <w:spacing w:val="0"/>
          <w:w w:val="100"/>
          <w:position w:val="0"/>
          <w:sz w:val="20"/>
          <w:szCs w:val="20"/>
          <w:lang w:val="en-US" w:eastAsia="en-US" w:bidi="en-US"/>
        </w:rPr>
        <w:t>2014-08-20</w:t>
      </w:r>
    </w:p>
    <w:tbl>
      <w:tblPr>
        <w:tblOverlap w:val="never"/>
        <w:jc w:val="center"/>
        <w:tblLayout w:type="fixed"/>
      </w:tblPr>
      <w:tblGrid>
        <w:gridCol w:w="1670"/>
        <w:gridCol w:w="4882"/>
        <w:gridCol w:w="1248"/>
        <w:gridCol w:w="1310"/>
      </w:tblGrid>
      <w:tr>
        <w:trPr>
          <w:trHeight w:val="66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焦虑障碍惊恐障碍社交恐怖症强迫障碍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广泛性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焦虑障碍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创跖后</w:t>
            </w:r>
          </w:p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应激障碍</w:t>
            </w:r>
          </w:p>
        </w:tc>
      </w:tr>
      <w:tr>
        <w:trPr>
          <w:trHeight w:val="374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抗抑郁药</w:t>
            </w:r>
          </w:p>
        </w:tc>
      </w:tr>
      <w:tr>
        <w:trPr>
          <w:trHeight w:val="379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SSRls</w:t>
            </w:r>
          </w:p>
        </w:tc>
      </w:tr>
      <w:tr>
        <w:trPr>
          <w:trHeight w:val="3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艾瓦西酝晋兰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氟西汀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氟伏沙明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帕罗西,丁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2492" w:val="left"/>
                <w:tab w:pos="3798" w:val="left"/>
              </w:tabs>
              <w:bidi w:val="0"/>
              <w:spacing w:before="0" w:after="0" w:line="240" w:lineRule="auto"/>
              <w:ind w:left="134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  <w:tab/>
              <w:t>V</w:t>
              <w:tab/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</w:tr>
      <w:tr>
        <w:trPr>
          <w:trHeight w:val="40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帕罗西汀控舞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2492" w:val="left"/>
              </w:tabs>
              <w:bidi w:val="0"/>
              <w:spacing w:before="0" w:after="0" w:line="240" w:lineRule="auto"/>
              <w:ind w:left="134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34"/>
                <w:szCs w:val="34"/>
              </w:rPr>
              <w:t>V</w:t>
              <w:tab/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片剂（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舍曲林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3798" w:val="left"/>
              </w:tabs>
              <w:bidi w:val="0"/>
              <w:spacing w:before="0" w:after="0" w:line="240" w:lineRule="auto"/>
              <w:ind w:left="134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  <w:tab/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TCAs</w:t>
            </w:r>
          </w:p>
        </w:tc>
      </w:tr>
      <w:tr>
        <w:trPr>
          <w:trHeight w:val="37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氯米帕明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具他抗抑郁剂</w:t>
            </w:r>
          </w:p>
        </w:tc>
      </w:tr>
      <w:tr>
        <w:trPr>
          <w:trHeight w:val="40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文泣法辛暖釋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tabs>
                <w:tab w:pos="2492" w:val="left"/>
              </w:tabs>
              <w:bidi w:val="0"/>
              <w:spacing w:before="0" w:after="0" w:line="240" w:lineRule="auto"/>
              <w:ind w:left="134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  <w:tab/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</w:rPr>
              <w:t>剂型</w:t>
            </w:r>
            <w:r>
              <w:rPr>
                <w:color w:val="3E3E3E"/>
                <w:spacing w:val="0"/>
                <w:w w:val="100"/>
                <w:position w:val="0"/>
                <w:sz w:val="20"/>
                <w:szCs w:val="2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XR</w:t>
            </w: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24"/>
                <w:szCs w:val="24"/>
              </w:rPr>
              <w:t>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度洛西汀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both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9" w:line="1" w:lineRule="exact"/>
      </w:pPr>
    </w:p>
    <w:p>
      <w:pPr>
        <w:pStyle w:val="Style2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AZAPIRONES</w:t>
      </w:r>
      <w:bookmarkEnd w:id="3"/>
      <w:bookmarkEnd w:id="4"/>
      <w:bookmarkEnd w:id="5"/>
    </w:p>
    <w:tbl>
      <w:tblPr>
        <w:tblOverlap w:val="never"/>
        <w:jc w:val="center"/>
        <w:tblLayout w:type="fixed"/>
      </w:tblPr>
      <w:tblGrid>
        <w:gridCol w:w="1565"/>
        <w:gridCol w:w="2875"/>
        <w:gridCol w:w="4670"/>
      </w:tblGrid>
      <w:tr>
        <w:trPr>
          <w:trHeight w:val="379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丁螺环酮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3E3E3E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苯二氟草类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</w:rPr>
              <w:t>V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91" w:right="0" w:firstLine="0"/>
        <w:jc w:val="left"/>
      </w:pPr>
      <w:r>
        <w:rPr>
          <w:color w:val="000000"/>
          <w:spacing w:val="0"/>
          <w:w w:val="100"/>
          <w:position w:val="0"/>
        </w:rPr>
        <w:t>获加拿大卫生部批准的焦虑治疗药物一览</w:t>
      </w:r>
    </w:p>
    <w:p>
      <w:pPr>
        <w:widowControl w:val="0"/>
        <w:spacing w:after="459" w:line="1" w:lineRule="exact"/>
      </w:pP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left"/>
      </w:pPr>
      <w:r>
        <w:rPr>
          <w:color w:val="C00000"/>
          <w:spacing w:val="0"/>
          <w:w w:val="100"/>
          <w:position w:val="0"/>
          <w:sz w:val="24"/>
          <w:szCs w:val="24"/>
        </w:rPr>
        <w:t>流行病学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9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广泛性焦虑障碍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个月患病率为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1-4%</w:t>
      </w:r>
      <w:r>
        <w:rPr>
          <w:color w:val="000000"/>
          <w:spacing w:val="0"/>
          <w:w w:val="100"/>
          <w:position w:val="0"/>
        </w:rPr>
        <w:t>，终生患病率接近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6%</w:t>
      </w:r>
      <w:r>
        <w:rPr>
          <w:color w:val="000000"/>
          <w:spacing w:val="0"/>
          <w:w w:val="100"/>
          <w:position w:val="0"/>
        </w:rPr>
        <w:t>。与其他人 种相比，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在白人中的发病率更高。发病年龄呈双峰式分布，中位年龄为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31</w:t>
      </w:r>
      <w:r>
        <w:rPr>
          <w:color w:val="000000"/>
          <w:spacing w:val="0"/>
          <w:w w:val="100"/>
          <w:position w:val="0"/>
        </w:rPr>
        <w:t>岁，平均 年龄为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32.7</w:t>
      </w:r>
      <w:r>
        <w:rPr>
          <w:color w:val="000000"/>
          <w:spacing w:val="0"/>
          <w:w w:val="100"/>
          <w:position w:val="0"/>
        </w:rPr>
        <w:t>岁。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在儿童中的患病率约为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3%</w:t>
      </w:r>
      <w:r>
        <w:rPr>
          <w:color w:val="000000"/>
          <w:spacing w:val="0"/>
          <w:w w:val="100"/>
          <w:position w:val="0"/>
        </w:rPr>
        <w:t>，在成人中约为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10.8%</w:t>
      </w:r>
      <w:r>
        <w:rPr>
          <w:color w:val="000000"/>
          <w:spacing w:val="0"/>
          <w:w w:val="100"/>
          <w:position w:val="0"/>
        </w:rPr>
        <w:t>，儿童及青少年 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10-14</w:t>
      </w:r>
      <w:r>
        <w:rPr>
          <w:color w:val="000000"/>
          <w:spacing w:val="0"/>
          <w:w w:val="100"/>
          <w:position w:val="0"/>
        </w:rPr>
        <w:t>岁之间起病。一些数据显示，女性罹患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的风险是男性的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2-3</w:t>
      </w:r>
      <w:r>
        <w:rPr>
          <w:color w:val="000000"/>
          <w:spacing w:val="0"/>
          <w:w w:val="100"/>
          <w:position w:val="0"/>
        </w:rPr>
        <w:t>倍，在老年人 群中同样更为常见。公众对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的识别存在不足，接受适宜治疗的患者不到全部患者的 三分之一；由于先前儿童期过度焦虑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Overanxious Disorder of Childhood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的存在，以 及成人及儿童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的潜在差异，这种识别不足的状况在儿童中尤为复杂。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77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常与功能、职业及生活质量损害相关，同时也造成了沉重的社会负担。另外， 在初级医疗保健机构中，有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60-94%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患者报告存在疼痛性躯体症状；对于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72%</w:t>
      </w:r>
      <w:r>
        <w:rPr>
          <w:color w:val="000000"/>
          <w:spacing w:val="0"/>
          <w:w w:val="100"/>
          <w:position w:val="0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患者而言，他们就诊的初衷正是改善这些疼痛症状。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left"/>
      </w:pPr>
      <w:r>
        <w:rPr>
          <w:color w:val="C00000"/>
          <w:spacing w:val="0"/>
          <w:w w:val="100"/>
          <w:position w:val="0"/>
          <w:sz w:val="24"/>
          <w:szCs w:val="24"/>
        </w:rPr>
        <w:t>共病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79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共病其他精神障碍的比例很高，患者常共病其他类型的焦虑或相关障碍，以及 重性抑郁（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MDD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）。</w:t>
      </w:r>
      <w:r>
        <w:rPr>
          <w:color w:val="000000"/>
          <w:spacing w:val="0"/>
          <w:w w:val="100"/>
          <w:position w:val="0"/>
        </w:rPr>
        <w:t>共病躯体疾病的风险同样较高，包括疼痛症状、高血压、心血管及胃 部问题。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 xml:space="preserve">所共病的抑郁增加了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的严重程度、功能损害及经济负担。</w:t>
      </w:r>
    </w:p>
    <w:p>
      <w:pPr>
        <w:pStyle w:val="Style30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DSM-5</w:t>
      </w:r>
      <w:r>
        <w:rPr>
          <w:rFonts w:ascii="SimSun" w:eastAsia="SimSun" w:hAnsi="SimSun" w:cs="SimSun"/>
          <w:b w:val="0"/>
          <w:bCs w:val="0"/>
          <w:spacing w:val="0"/>
          <w:w w:val="100"/>
          <w:position w:val="0"/>
          <w:sz w:val="24"/>
          <w:szCs w:val="24"/>
          <w:lang w:val="zh-TW" w:eastAsia="zh-TW" w:bidi="zh-TW"/>
        </w:rPr>
        <w:t>诊断</w:t>
      </w:r>
      <w:bookmarkEnd w:id="6"/>
      <w:bookmarkEnd w:id="7"/>
      <w:bookmarkEnd w:id="8"/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8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</w:rPr>
        <w:t>针对多种事件</w:t>
      </w:r>
      <w:r>
        <w:rPr>
          <w:color w:val="3E3E3E"/>
          <w:spacing w:val="0"/>
          <w:w w:val="100"/>
          <w:position w:val="0"/>
          <w:sz w:val="24"/>
          <w:szCs w:val="24"/>
        </w:rPr>
        <w:t>（如</w:t>
      </w:r>
      <w:r>
        <w:rPr>
          <w:color w:val="000000"/>
          <w:spacing w:val="0"/>
          <w:w w:val="100"/>
          <w:position w:val="0"/>
          <w:sz w:val="24"/>
          <w:szCs w:val="24"/>
        </w:rPr>
        <w:t>学业及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</w:rPr>
        <w:t>倦现</w:t>
      </w:r>
      <w:r>
        <w:rPr>
          <w:color w:val="3E3E3E"/>
          <w:spacing w:val="0"/>
          <w:w w:val="100"/>
          <w:position w:val="0"/>
          <w:sz w:val="24"/>
          <w:szCs w:val="24"/>
        </w:rPr>
        <w:t>）</w:t>
      </w:r>
      <w:r>
        <w:rPr>
          <w:color w:val="000000"/>
          <w:spacing w:val="0"/>
          <w:w w:val="100"/>
          <w:position w:val="0"/>
          <w:sz w:val="24"/>
          <w:szCs w:val="24"/>
        </w:rPr>
        <w:t>的过度焦虑</w:t>
      </w:r>
      <w:r>
        <w:rPr>
          <w:color w:val="3E3E3E"/>
          <w:spacing w:val="0"/>
          <w:w w:val="100"/>
          <w:position w:val="0"/>
          <w:sz w:val="24"/>
          <w:szCs w:val="24"/>
        </w:rPr>
        <w:t>及担忧</w:t>
      </w:r>
      <w:r>
        <w:rPr>
          <w:color w:val="000000"/>
          <w:spacing w:val="0"/>
          <w:w w:val="100"/>
          <w:position w:val="0"/>
          <w:sz w:val="24"/>
          <w:szCs w:val="24"/>
        </w:rPr>
        <w:t>（预期焦虑</w:t>
      </w:r>
      <w:r>
        <w:rPr>
          <w:color w:val="3E3E3E"/>
          <w:spacing w:val="0"/>
          <w:w w:val="100"/>
          <w:position w:val="0"/>
          <w:sz w:val="24"/>
          <w:szCs w:val="24"/>
        </w:rPr>
        <w:t>）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</w:rPr>
        <w:t>自己难以控制焦虑情绪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1060" w:right="0" w:hanging="3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24"/>
          <w:szCs w:val="24"/>
        </w:rPr>
        <w:t>过度焦虑及担</w:t>
      </w:r>
      <w:r>
        <w:rPr>
          <w:color w:val="3E3E3E"/>
          <w:spacing w:val="0"/>
          <w:w w:val="100"/>
          <w:position w:val="0"/>
          <w:sz w:val="24"/>
          <w:szCs w:val="24"/>
        </w:rPr>
        <w:t>忧与以下药</w:t>
      </w:r>
      <w:r>
        <w:rPr>
          <w:color w:val="000000"/>
          <w:spacing w:val="0"/>
          <w:w w:val="100"/>
          <w:position w:val="0"/>
          <w:sz w:val="24"/>
          <w:szCs w:val="24"/>
        </w:rPr>
        <w:t>个症找相关</w:t>
      </w:r>
      <w:r>
        <w:rPr>
          <w:color w:val="3E3E3E"/>
          <w:spacing w:val="0"/>
          <w:w w:val="100"/>
          <w:position w:val="0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b/>
          <w:bCs/>
          <w:color w:val="3E3E3E"/>
          <w:spacing w:val="0"/>
          <w:w w:val="100"/>
          <w:position w:val="0"/>
          <w:sz w:val="26"/>
          <w:szCs w:val="26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个月</w:t>
      </w:r>
      <w:r>
        <w:rPr>
          <w:color w:val="3E3E3E"/>
          <w:spacing w:val="0"/>
          <w:w w:val="100"/>
          <w:position w:val="0"/>
          <w:sz w:val="24"/>
          <w:szCs w:val="24"/>
        </w:rPr>
        <w:t>内</w:t>
      </w:r>
      <w:r>
        <w:rPr>
          <w:color w:val="000000"/>
          <w:spacing w:val="0"/>
          <w:w w:val="100"/>
          <w:position w:val="0"/>
          <w:sz w:val="24"/>
          <w:szCs w:val="24"/>
        </w:rPr>
        <w:t>的多数时间至少存在若干 种症状</w:t>
      </w:r>
      <w:r>
        <w:rPr>
          <w:color w:val="3E3E3E"/>
          <w:spacing w:val="0"/>
          <w:w w:val="100"/>
          <w:position w:val="0"/>
          <w:sz w:val="24"/>
          <w:szCs w:val="24"/>
        </w:rPr>
        <w:t>）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1060" w:right="0" w:firstLine="0"/>
        <w:jc w:val="left"/>
      </w:pPr>
      <w:r>
        <w:rPr>
          <w:color w:val="3E3E3E"/>
          <w:spacing w:val="0"/>
          <w:w w:val="100"/>
          <w:position w:val="0"/>
          <w:sz w:val="24"/>
          <w:szCs w:val="24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坐立不安或感觉紧张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1060" w:right="0" w:firstLine="0"/>
        <w:jc w:val="left"/>
      </w:pPr>
      <w:r>
        <w:rPr>
          <w:color w:val="3E3E3E"/>
          <w:spacing w:val="0"/>
          <w:w w:val="100"/>
          <w:position w:val="0"/>
          <w:sz w:val="24"/>
          <w:szCs w:val="24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容易疲旁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1060" w:right="0" w:firstLine="0"/>
        <w:jc w:val="left"/>
      </w:pPr>
      <w:r>
        <w:rPr>
          <w:color w:val="3E3E3E"/>
          <w:spacing w:val="0"/>
          <w:w w:val="100"/>
          <w:position w:val="0"/>
          <w:sz w:val="24"/>
          <w:szCs w:val="24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难以集中注意力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1060" w:right="0" w:firstLine="0"/>
        <w:jc w:val="left"/>
      </w:pPr>
      <w:r>
        <w:rPr>
          <w:color w:val="3E3E3E"/>
          <w:spacing w:val="0"/>
          <w:w w:val="100"/>
          <w:position w:val="0"/>
          <w:sz w:val="24"/>
          <w:szCs w:val="24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易激惹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left="1060" w:right="0" w:firstLine="0"/>
        <w:jc w:val="left"/>
      </w:pPr>
      <w:r>
        <w:rPr>
          <w:color w:val="3E3E3E"/>
          <w:spacing w:val="0"/>
          <w:w w:val="100"/>
          <w:position w:val="0"/>
          <w:sz w:val="24"/>
          <w:szCs w:val="24"/>
        </w:rPr>
        <w:t>/肌</w:t>
      </w:r>
      <w:r>
        <w:rPr>
          <w:color w:val="000000"/>
          <w:spacing w:val="0"/>
          <w:w w:val="100"/>
          <w:position w:val="0"/>
          <w:sz w:val="24"/>
          <w:szCs w:val="24"/>
        </w:rPr>
        <w:t>肉紧张</w:t>
      </w:r>
    </w:p>
    <w:p>
      <w:pPr>
        <w:pStyle w:val="Style35"/>
        <w:keepNext/>
        <w:keepLines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/>
        <w:ind w:right="0" w:firstLine="0"/>
        <w:jc w:val="left"/>
        <w:rPr>
          <w:sz w:val="26"/>
          <w:szCs w:val="26"/>
        </w:rPr>
      </w:pPr>
      <w:bookmarkStart w:id="10" w:name="bookmark10"/>
      <w:bookmarkStart w:id="11" w:name="bookmark11"/>
      <w:bookmarkStart w:id="9" w:name="bookmark9"/>
      <w:r>
        <w:rPr>
          <w:color w:val="3E3E3E"/>
          <w:spacing w:val="0"/>
          <w:w w:val="100"/>
          <w:position w:val="0"/>
          <w:sz w:val="24"/>
          <w:szCs w:val="24"/>
        </w:rPr>
        <w:t>/</w:t>
      </w:r>
      <w:r>
        <w:rPr>
          <w:color w:val="000000"/>
          <w:spacing w:val="0"/>
          <w:w w:val="100"/>
          <w:position w:val="0"/>
          <w:sz w:val="24"/>
          <w:szCs w:val="24"/>
        </w:rPr>
        <w:t>睡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眠紊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SL</w:t>
      </w:r>
      <w:bookmarkEnd w:id="10"/>
      <w:bookmarkEnd w:id="11"/>
      <w:bookmarkEnd w:id="9"/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480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</w:rPr>
        <w:t>上述</w:t>
      </w:r>
      <w:r>
        <w:rPr>
          <w:color w:val="3E3E3E"/>
          <w:spacing w:val="0"/>
          <w:w w:val="100"/>
          <w:position w:val="0"/>
          <w:sz w:val="24"/>
          <w:szCs w:val="24"/>
        </w:rPr>
        <w:t>状况</w:t>
      </w:r>
      <w:r>
        <w:rPr>
          <w:color w:val="000000"/>
          <w:spacing w:val="0"/>
          <w:w w:val="100"/>
          <w:position w:val="0"/>
          <w:sz w:val="24"/>
          <w:szCs w:val="24"/>
        </w:rPr>
        <w:t>造成了显著的精神痛苦或功融害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4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以针对多种事件及活动的过度焦虑及担忧为特征，包括学业及工作困难。上述 症状岀现于过去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个月内的大部分时间。此外，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与不安、肌肉紧张、疲劳、注意困 难、易激惹及睡眠问题相关。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79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DSM-IV</w:t>
      </w:r>
      <w:r>
        <w:rPr>
          <w:color w:val="000000"/>
          <w:spacing w:val="0"/>
          <w:w w:val="100"/>
          <w:position w:val="0"/>
        </w:rPr>
        <w:t>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DSM-5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诊断标准仅进行了一处小的修订：删除了心境障 碍、精神病性障碍及弥漫性发育障碍的排除标准。然而需要指岀的是，以下大部分治疗相 关内容均基于满足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DSM-IV</w:t>
      </w:r>
      <w:r>
        <w:rPr>
          <w:color w:val="000000"/>
          <w:spacing w:val="0"/>
          <w:w w:val="100"/>
          <w:position w:val="0"/>
        </w:rPr>
        <w:t>诊断标准（或更旧版本）的患者。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left"/>
      </w:pPr>
      <w:r>
        <w:rPr>
          <w:color w:val="C00000"/>
          <w:spacing w:val="0"/>
          <w:w w:val="100"/>
          <w:position w:val="0"/>
          <w:sz w:val="24"/>
          <w:szCs w:val="24"/>
        </w:rPr>
        <w:t>心理治疗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9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分析明确显示，认知行为疗法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）可显著改善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症状，疗效远优于安慰 剂或等候名单对照（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级证据）。在同一项试验中直接比较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 xml:space="preserve">和药物治疗的研究不多， </w:t>
      </w:r>
      <w:r>
        <w:rPr>
          <w:color w:val="000000"/>
          <w:spacing w:val="0"/>
          <w:w w:val="100"/>
          <w:position w:val="0"/>
        </w:rPr>
        <w:t>但两种疗法对症状的改善程度似乎相仿。在消除焦虑症状方面，个体及团体治疗同等有 效，但前者或可更早地缓解担忧及抑郁症状。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一项纳入了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25</w:t>
      </w:r>
      <w:r>
        <w:rPr>
          <w:color w:val="000000"/>
          <w:spacing w:val="0"/>
          <w:w w:val="100"/>
          <w:position w:val="0"/>
        </w:rPr>
        <w:t>项研究的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的治疗强度进行了探讨。结果显示，在缓 解焦虑症状方面，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次以下及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次以上的治疗方案疗效等同，但与强度较低的方案相比， 强度更高的方案在缓解担忧及抑郁症状方面更为有效。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94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多项研究显示了基于网络或电脑的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治疗项目的效用。整合认知行为治疗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9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ICBT</w:t>
      </w:r>
      <w:r>
        <w:rPr>
          <w:color w:val="000000"/>
          <w:spacing w:val="0"/>
          <w:w w:val="100"/>
          <w:position w:val="0"/>
        </w:rPr>
        <w:t>）的疗效显著优于等候名单对照，且疗效在长期随访中可得以维持。另外，一种对 等认知自我治疗项目与常规治疗疗效相仿，且对治疗师接触的需求减少。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一项纳入了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项研究的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疗效与放松疗法无显著差异。然而，近 期有更多研究显示，放松疗法的疗效有限。一项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显示，并无充足证据证明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 xml:space="preserve">患者 能在放松治疗中真正学会放松，以及激活程度的下降与焦虑改善相关。沐浴疗法是一种与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相关的放松疗法。一项大规模的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显示，在改善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患者的焦虑得分及应答率方 面，该疗法相对于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治疗具有潜在优势。然而，纵然结果颇为有趣，该研究盲法设计 及潜在偏倚方面的问题提示后续研究的必要性。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基于各种发现，研究者对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患者的若干特定变量单独进行了研究，旨在开发基于 循证的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治疗工具。这些变量包括对不确定性的不耐受、缺乏解决问题的信心及相关正 性或负性元认知信念等。基于疾病模型、以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潜在变量为靶点的特定治疗工具已应用 于个体化的治疗中。基于接纳的行为疗法、元认知疗法、针对不确定性不耐受的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及联 合正念行为疗法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MBCT</w:t>
      </w:r>
      <w:r>
        <w:rPr>
          <w:color w:val="000000"/>
          <w:spacing w:val="0"/>
          <w:w w:val="100"/>
          <w:position w:val="0"/>
        </w:rPr>
        <w:t xml:space="preserve">）也显示岀了一定的疗效。以担忧症状及放松为靶点，以及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looming vulnerability </w:t>
      </w:r>
      <w:r>
        <w:rPr>
          <w:color w:val="000000"/>
          <w:spacing w:val="0"/>
          <w:w w:val="100"/>
          <w:position w:val="0"/>
        </w:rPr>
        <w:t>（产生及维持危险增加的内在场景）可能同样有效。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心理动力治疗或许可以为患者带来收益，但研究结果尚不明了。一项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显示，在 改善焦虑得分方面，短程心理动力治疗与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效果相当，但后者在担忧及抑郁方面的表现 优于前者。另一项研究显示，简短心理动力学治疗、药物治疗及两者联用治疗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并无 显著差异。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520" w:line="38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联合支持性聆听相比，在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的基础上联用人际疗法及情绪处理疗法并无显 著收益。然而，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联合治疗前的动机性访谈可降低治疗阻力，提高患者完成家庭作业的 依从性，改善担忧症状的转归。对于更加严重的个案而言，这一治疗方案可能尤其有用。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临床实践中，需根据患者个人所经历的问题进行个体化治疗。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both"/>
      </w:pPr>
      <w:r>
        <w:rPr>
          <w:color w:val="C00000"/>
          <w:spacing w:val="0"/>
          <w:w w:val="100"/>
          <w:position w:val="0"/>
          <w:sz w:val="24"/>
          <w:szCs w:val="24"/>
        </w:rPr>
        <w:t>心理治疗联合药物治疗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关于心理治疗联用药物治疗的资料不多。一项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联合药物治疗的 效果优于单用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但仅限于治疗后；为期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 xml:space="preserve">个月的随访结束时，情况则并非如此。尽管 治疗效应量较为可观，但相关数据实际上仅来自两项研究，分别比较了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CBT+</w:t>
      </w:r>
      <w:r>
        <w:rPr>
          <w:color w:val="000000"/>
          <w:spacing w:val="0"/>
          <w:w w:val="100"/>
          <w:position w:val="0"/>
        </w:rPr>
        <w:t>地西泮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丁螺 环酮与单用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的疗效差异。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与单用药物治疗相比，联合治疗效果的证据有限，且彼此冲突。一项研究显示联合治 疗更优，而另外两项研究则未得到类似结果。不过也有研究显示，联用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有助于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GAD </w:t>
      </w:r>
      <w:r>
        <w:rPr>
          <w:color w:val="000000"/>
          <w:spacing w:val="0"/>
          <w:w w:val="100"/>
          <w:position w:val="0"/>
        </w:rPr>
        <w:t>患者减停苯二氮草类药物。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7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目前尚无证据支持常规联用心理治疗及药物治疗。然而，如同其他焦虑及相关障碍， 当患者并未从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中获益或应答欠佳时，可以试用药物治疗；与之类似，对药物治疗应答 欠佳的患者也可试用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480"/>
        <w:jc w:val="both"/>
      </w:pPr>
      <w:r>
        <w:rPr>
          <w:color w:val="C00000"/>
          <w:spacing w:val="0"/>
          <w:w w:val="100"/>
          <w:position w:val="0"/>
          <w:sz w:val="24"/>
          <w:szCs w:val="24"/>
        </w:rPr>
        <w:t>心理治疗的长期效应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9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来自一项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分析及多项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RCTs</w:t>
      </w:r>
      <w:r>
        <w:rPr>
          <w:color w:val="000000"/>
          <w:spacing w:val="0"/>
          <w:w w:val="100"/>
          <w:position w:val="0"/>
        </w:rPr>
        <w:t>的证据显示，心理治疗针对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的疗效可维持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1-3 </w:t>
      </w:r>
      <w:r>
        <w:rPr>
          <w:color w:val="000000"/>
          <w:spacing w:val="0"/>
          <w:w w:val="100"/>
          <w:position w:val="0"/>
        </w:rPr>
        <w:t>年。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80"/>
        <w:jc w:val="both"/>
      </w:pPr>
      <w:r>
        <w:rPr>
          <w:color w:val="C00000"/>
          <w:spacing w:val="0"/>
          <w:w w:val="100"/>
          <w:position w:val="0"/>
          <w:sz w:val="24"/>
          <w:szCs w:val="24"/>
        </w:rPr>
        <w:t>药物治疗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u w:val="single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 xml:space="preserve">级证据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u w:val="single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分析或至少两项随机安慰剂对照硏究（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 xml:space="preserve">RCTs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24"/>
          <w:szCs w:val="24"/>
          <w:u w:val="single"/>
        </w:rPr>
        <w:t>）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u w:val="single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级证据 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RCT,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纳入安慰荆或活性对照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60" w:line="240" w:lineRule="auto"/>
        <w:ind w:left="0" w:right="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u w:val="single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级证据 非对照研究，样本量我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u w:val="single"/>
        </w:rPr>
        <w:t>0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36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扱证据个案报告或专家意见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360" w:line="371" w:lineRule="exact"/>
        <w:ind w:left="180" w:right="0" w:firstLine="20"/>
        <w:jc w:val="both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551" w:right="982" w:bottom="1513" w:left="1774" w:header="0" w:footer="1085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治疗</w:t>
      </w:r>
      <w:r>
        <w:rPr>
          <w:rFonts w:ascii="Times New Roman" w:eastAsia="Times New Roman" w:hAnsi="Times New Roman" w:cs="Times New Roman"/>
          <w:b/>
          <w:bCs/>
          <w:color w:val="3E3E3E"/>
          <w:spacing w:val="0"/>
          <w:w w:val="100"/>
          <w:position w:val="0"/>
          <w:sz w:val="26"/>
          <w:szCs w:val="26"/>
          <w:u w:val="single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级或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u w:val="single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级证据+效能及安全性临床支持 二线治疗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u w:val="single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级或更高等级的证据+效能及安全性临床支持 三线治疗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u w:val="single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 xml:space="preserve">级或更高等级的证据+效能及安全性临床支持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不推荐 </w:t>
      </w:r>
      <w:r>
        <w:rPr>
          <w:i/>
          <w:iCs/>
          <w:color w:val="3E3E3E"/>
          <w:spacing w:val="0"/>
          <w:w w:val="100"/>
          <w:position w:val="0"/>
          <w:sz w:val="24"/>
          <w:szCs w:val="24"/>
        </w:rPr>
        <w:t>1</w:t>
      </w:r>
      <w:r>
        <w:rPr>
          <w:b/>
          <w:bCs/>
          <w:i/>
          <w:iCs/>
          <w:color w:val="000000"/>
          <w:spacing w:val="0"/>
          <w:w w:val="100"/>
          <w:position w:val="0"/>
          <w:sz w:val="26"/>
          <w:szCs w:val="26"/>
        </w:rPr>
        <w:t>级或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级证据证明其缺乏疗效</w:t>
      </w:r>
    </w:p>
    <w:tbl>
      <w:tblPr>
        <w:tblOverlap w:val="never"/>
        <w:jc w:val="left"/>
        <w:tblLayout w:type="fixed"/>
      </w:tblPr>
      <w:tblGrid>
        <w:gridCol w:w="2448"/>
        <w:gridCol w:w="1680"/>
        <w:gridCol w:w="2424"/>
        <w:gridCol w:w="1704"/>
      </w:tblGrid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药物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证颱缀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药物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证聽级</w:t>
            </w:r>
          </w:p>
        </w:tc>
      </w:tr>
      <w:tr>
        <w:trPr>
          <w:trHeight w:val="360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抗抑郁药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SSRIs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TCAs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艾司普兰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丙咪嗪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帕罗西汀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其他抗抑郁药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舍曲林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阿戈美拉汀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普兰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Vortioxetine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1*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氟西汀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安</w:t>
            </w: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非他酮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帕罗西汀控闘型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曲哩酮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SNRIs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米氮平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E3E3E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度洛酉汀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59" w:line="1" w:lineRule="exact"/>
      </w:pPr>
    </w:p>
    <w:tbl>
      <w:tblPr>
        <w:tblOverlap w:val="never"/>
        <w:jc w:val="left"/>
        <w:tblLayout w:type="fixed"/>
      </w:tblPr>
      <w:tblGrid>
        <w:gridCol w:w="2448"/>
        <w:gridCol w:w="1680"/>
        <w:gridCol w:w="2424"/>
        <w:gridCol w:w="1704"/>
      </w:tblGrid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药物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证颱缀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药物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征颱级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抗焦虑药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非典型抗精神病药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哇硫平缓释</w:t>
            </w:r>
            <w:r>
              <w:rPr>
                <w:color w:val="072548"/>
                <w:spacing w:val="0"/>
                <w:w w:val="100"/>
                <w:position w:val="0"/>
                <w:sz w:val="24"/>
                <w:szCs w:val="24"/>
              </w:rPr>
              <w:t>荆型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阿普脳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联用哇硫平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1*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漠酉洋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联用利培酮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1*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E3E3E"/>
                <w:spacing w:val="0"/>
                <w:w w:val="100"/>
                <w:position w:val="0"/>
                <w:sz w:val="24"/>
                <w:szCs w:val="24"/>
              </w:rPr>
              <w:t>地西泮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联用奥氮平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美拉西泮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联用阿立哌哩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联用嗟硫平缓爾</w:t>
            </w:r>
            <w:r>
              <w:rPr>
                <w:rFonts w:ascii="Times New Roman" w:eastAsia="Times New Roman" w:hAnsi="Times New Roman" w:cs="Times New Roman"/>
                <w:b/>
                <w:bCs/>
                <w:color w:val="141122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J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3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联用或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单用齐</w:t>
            </w: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拉西酮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80145"/>
                <w:spacing w:val="0"/>
                <w:w w:val="100"/>
                <w:position w:val="0"/>
                <w:sz w:val="24"/>
                <w:szCs w:val="24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ve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80145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抗惊殮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其他治疗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安</w:t>
            </w:r>
            <w:r>
              <w:rPr>
                <w:color w:val="33262A"/>
                <w:spacing w:val="0"/>
                <w:w w:val="100"/>
                <w:position w:val="0"/>
                <w:sz w:val="24"/>
                <w:szCs w:val="24"/>
              </w:rPr>
              <w:t>非他酮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141122"/>
                <w:spacing w:val="0"/>
                <w:w w:val="100"/>
                <w:position w:val="0"/>
                <w:sz w:val="24"/>
                <w:szCs w:val="24"/>
              </w:rPr>
              <w:t>双丙戊酸盐媛做型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羟嗪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>1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虐加宾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2004E"/>
                <w:spacing w:val="0"/>
                <w:w w:val="100"/>
                <w:positio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-ve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2004E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pexacerfont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80145"/>
                <w:spacing w:val="0"/>
                <w:w w:val="100"/>
                <w:positio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-ve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80145"/>
                <w:spacing w:val="0"/>
                <w:w w:val="100"/>
                <w:position w:val="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180145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—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A4265"/>
                <w:spacing w:val="0"/>
                <w:w w:val="100"/>
                <w:positio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262A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-ve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2B2C"/>
                <w:spacing w:val="0"/>
                <w:w w:val="100"/>
                <w:position w:val="0"/>
                <w:sz w:val="24"/>
                <w:szCs w:val="24"/>
              </w:rPr>
              <w:t>)</w:t>
            </w:r>
          </w:p>
        </w:tc>
      </w:tr>
      <w:tr>
        <w:trPr>
          <w:trHeight w:val="3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</w:rPr>
              <w:t>美金刚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41122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A4265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141122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-ve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572B2C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)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386" w:val="left"/>
        </w:tabs>
        <w:bidi w:val="0"/>
        <w:spacing w:before="0" w:after="0" w:line="350" w:lineRule="exact"/>
        <w:ind w:left="160" w:right="0" w:firstLine="20"/>
        <w:jc w:val="left"/>
      </w:pPr>
      <w:r>
        <w:rPr>
          <w:u w:val="single"/>
        </w:rPr>
        <w:t xml:space="preserve"> </w:t>
        <w:tab/>
      </w:r>
      <w:r>
        <w:rPr>
          <w:color w:val="141122"/>
          <w:spacing w:val="0"/>
          <w:w w:val="100"/>
          <w:position w:val="0"/>
          <w:sz w:val="24"/>
          <w:szCs w:val="24"/>
        </w:rPr>
        <w:t>线治疗阿戈涂汀' 育&amp;酉?丁、艾司風</w:t>
      </w:r>
      <w:r>
        <w:rPr>
          <w:color w:val="000000"/>
          <w:spacing w:val="0"/>
          <w:w w:val="100"/>
          <w:position w:val="0"/>
          <w:sz w:val="24"/>
          <w:szCs w:val="24"/>
        </w:rPr>
        <w:t>普兰、</w:t>
      </w:r>
      <w:r>
        <w:rPr>
          <w:color w:val="141122"/>
          <w:spacing w:val="0"/>
          <w:w w:val="100"/>
          <w:position w:val="0"/>
          <w:sz w:val="24"/>
          <w:szCs w:val="24"/>
        </w:rPr>
        <w:t>伯罗</w:t>
      </w:r>
      <w:r>
        <w:rPr>
          <w:color w:val="33262A"/>
          <w:spacing w:val="0"/>
          <w:w w:val="100"/>
          <w:position w:val="0"/>
          <w:sz w:val="24"/>
          <w:szCs w:val="24"/>
        </w:rPr>
        <w:t>酉汀、</w:t>
      </w:r>
      <w:r>
        <w:rPr>
          <w:color w:val="141122"/>
          <w:spacing w:val="0"/>
          <w:w w:val="100"/>
          <w:position w:val="0"/>
          <w:sz w:val="24"/>
          <w:szCs w:val="24"/>
        </w:rPr>
        <w:t xml:space="preserve">帕罗西汀控闘 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型、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普瑞</w:t>
      </w:r>
      <w:r>
        <w:rPr>
          <w:color w:val="33262A"/>
          <w:spacing w:val="0"/>
          <w:w w:val="100"/>
          <w:position w:val="0"/>
          <w:sz w:val="24"/>
          <w:szCs w:val="24"/>
          <w:u w:val="single"/>
        </w:rPr>
        <w:t>曰木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舍</w:t>
      </w:r>
      <w:r>
        <w:rPr>
          <w:color w:val="33262A"/>
          <w:spacing w:val="0"/>
          <w:w w:val="100"/>
          <w:position w:val="0"/>
          <w:sz w:val="24"/>
          <w:szCs w:val="24"/>
          <w:u w:val="single"/>
        </w:rPr>
        <w:t>曲林、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文拉法辛缓闘型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exact"/>
        <w:ind w:left="160" w:right="0" w:firstLine="20"/>
        <w:jc w:val="left"/>
      </w:pPr>
      <w:r>
        <w:rPr>
          <w:color w:val="141122"/>
          <w:spacing w:val="0"/>
          <w:w w:val="100"/>
          <w:position w:val="0"/>
          <w:sz w:val="24"/>
          <w:szCs w:val="24"/>
        </w:rPr>
        <w:t>二线敞 阿涅酣、劑他</w:t>
      </w:r>
      <w:r>
        <w:rPr>
          <w:color w:val="072548"/>
          <w:spacing w:val="0"/>
          <w:w w:val="100"/>
          <w:position w:val="0"/>
          <w:sz w:val="24"/>
          <w:szCs w:val="24"/>
        </w:rPr>
        <w:t xml:space="preserve">暨 </w:t>
      </w:r>
      <w:r>
        <w:rPr>
          <w:rFonts w:ascii="Times New Roman" w:eastAsia="Times New Roman" w:hAnsi="Times New Roman" w:cs="Times New Roman"/>
          <w:smallCaps/>
          <w:color w:val="141122"/>
          <w:spacing w:val="0"/>
          <w:w w:val="100"/>
          <w:position w:val="0"/>
          <w:sz w:val="34"/>
          <w:szCs w:val="34"/>
          <w:lang w:val="en-US" w:eastAsia="en-US" w:bidi="en-US"/>
        </w:rPr>
        <w:t>jws^</w:t>
      </w:r>
      <w:r>
        <w:rPr>
          <w:smallCaps/>
          <w:color w:val="141122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33262A"/>
          <w:spacing w:val="0"/>
          <w:w w:val="100"/>
          <w:position w:val="0"/>
          <w:sz w:val="24"/>
          <w:szCs w:val="24"/>
        </w:rPr>
        <w:t>懺泮*、</w:t>
      </w:r>
      <w:r>
        <w:rPr>
          <w:color w:val="141122"/>
          <w:spacing w:val="0"/>
          <w:w w:val="100"/>
          <w:position w:val="0"/>
          <w:sz w:val="24"/>
          <w:szCs w:val="24"/>
        </w:rPr>
        <w:t xml:space="preserve">羟 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嗪、丙咪嗪、劳拉</w:t>
      </w:r>
      <w:r>
        <w:rPr>
          <w:color w:val="33262A"/>
          <w:spacing w:val="0"/>
          <w:w w:val="100"/>
          <w:position w:val="0"/>
          <w:sz w:val="24"/>
          <w:szCs w:val="24"/>
          <w:u w:val="single"/>
        </w:rPr>
        <w:t>西泮、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哇硫平琢荆</w:t>
      </w:r>
      <w:r>
        <w:rPr>
          <w:color w:val="33262A"/>
          <w:spacing w:val="0"/>
          <w:w w:val="100"/>
          <w:position w:val="0"/>
          <w:sz w:val="24"/>
          <w:szCs w:val="24"/>
          <w:u w:val="single"/>
          <w:lang w:val="zh-CN" w:eastAsia="zh-CN" w:bidi="zh-CN"/>
        </w:rPr>
        <w:t>型*、</w:t>
      </w:r>
      <w:r>
        <w:rPr>
          <w:rFonts w:ascii="Times New Roman" w:eastAsia="Times New Roman" w:hAnsi="Times New Roman" w:cs="Times New Roman"/>
          <w:b/>
          <w:bCs/>
          <w:color w:val="33262A"/>
          <w:spacing w:val="0"/>
          <w:w w:val="100"/>
          <w:position w:val="0"/>
          <w:sz w:val="24"/>
          <w:szCs w:val="24"/>
          <w:u w:val="single"/>
          <w:lang w:val="en-US" w:eastAsia="en-US" w:bidi="en-US"/>
        </w:rPr>
        <w:t>vortioxetine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exact"/>
        <w:ind w:left="160" w:right="0" w:firstLine="2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三线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治疗西醯普兰、</w:t>
      </w:r>
      <w:r>
        <w:rPr>
          <w:color w:val="33262A"/>
          <w:spacing w:val="0"/>
          <w:w w:val="100"/>
          <w:position w:val="0"/>
          <w:sz w:val="24"/>
          <w:szCs w:val="24"/>
          <w:u w:val="single"/>
        </w:rPr>
        <w:t>双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丙戊鏈闘型、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</w:rPr>
        <w:t>氮</w:t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西汀、米氮平、曲陛酮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exact"/>
        <w:ind w:left="0" w:right="0" w:firstLine="160"/>
        <w:jc w:val="left"/>
      </w:pPr>
      <w:r>
        <w:rPr>
          <w:color w:val="141122"/>
          <w:spacing w:val="0"/>
          <w:w w:val="100"/>
          <w:position w:val="0"/>
          <w:sz w:val="24"/>
          <w:szCs w:val="24"/>
        </w:rPr>
        <w:t>联合治疗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b/>
          <w:bCs/>
          <w:color w:val="141122"/>
          <w:spacing w:val="0"/>
          <w:w w:val="100"/>
          <w:position w:val="0"/>
          <w:sz w:val="26"/>
          <w:szCs w:val="26"/>
        </w:rPr>
        <w:t xml:space="preserve">§5 </w:t>
      </w:r>
      <w:r>
        <w:rPr>
          <w:rFonts w:ascii="Times New Roman" w:eastAsia="Times New Roman" w:hAnsi="Times New Roman" w:cs="Times New Roman"/>
          <w:b/>
          <w:bCs/>
          <w:color w:val="33262A"/>
          <w:spacing w:val="0"/>
          <w:w w:val="100"/>
          <w:position w:val="0"/>
          <w:sz w:val="26"/>
          <w:szCs w:val="26"/>
        </w:rPr>
        <w:t>:</w:t>
      </w:r>
      <w:r>
        <w:rPr>
          <w:color w:val="141122"/>
          <w:spacing w:val="0"/>
          <w:w w:val="100"/>
          <w:position w:val="0"/>
          <w:sz w:val="24"/>
          <w:szCs w:val="24"/>
        </w:rPr>
        <w:t>普瑞巴林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exact"/>
        <w:ind w:left="0" w:right="0" w:firstLine="0"/>
        <w:jc w:val="center"/>
      </w:pPr>
      <w:r>
        <w:rPr>
          <w:color w:val="141122"/>
          <w:spacing w:val="0"/>
          <w:w w:val="100"/>
          <w:position w:val="0"/>
          <w:sz w:val="24"/>
          <w:szCs w:val="24"/>
        </w:rPr>
        <w:t>三尊</w:t>
      </w:r>
      <w:r>
        <w:rPr>
          <w:color w:val="33262A"/>
          <w:spacing w:val="0"/>
          <w:w w:val="100"/>
          <w:position w:val="0"/>
          <w:sz w:val="24"/>
          <w:szCs w:val="24"/>
        </w:rPr>
        <w:t>:阿</w:t>
      </w:r>
      <w:r>
        <w:rPr>
          <w:color w:val="141122"/>
          <w:spacing w:val="0"/>
          <w:w w:val="100"/>
          <w:position w:val="0"/>
          <w:sz w:val="24"/>
          <w:szCs w:val="24"/>
        </w:rPr>
        <w:t>立哌喧奥氮平、嗟硫</w:t>
      </w:r>
      <w:r>
        <w:rPr>
          <w:color w:val="000000"/>
          <w:spacing w:val="0"/>
          <w:w w:val="100"/>
          <w:position w:val="0"/>
          <w:sz w:val="24"/>
          <w:szCs w:val="24"/>
        </w:rPr>
        <w:t>平、</w:t>
      </w:r>
      <w:r>
        <w:rPr>
          <w:color w:val="141122"/>
          <w:spacing w:val="0"/>
          <w:w w:val="100"/>
          <w:position w:val="0"/>
          <w:sz w:val="24"/>
          <w:szCs w:val="24"/>
        </w:rPr>
        <w:t>嗟硫平缓闘型、用増酮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tabs>
          <w:tab w:pos="2664" w:val="left"/>
        </w:tabs>
        <w:bidi w:val="0"/>
        <w:spacing w:before="0" w:after="0" w:line="350" w:lineRule="exact"/>
        <w:ind w:left="2040" w:right="0" w:firstLine="0"/>
        <w:jc w:val="left"/>
      </w:pPr>
      <w:r>
        <w:rPr>
          <w:color w:val="33262A"/>
          <w:spacing w:val="0"/>
          <w:w w:val="100"/>
          <w:position w:val="0"/>
          <w:sz w:val="24"/>
          <w:szCs w:val="24"/>
          <w:u w:val="single"/>
        </w:rPr>
        <w:t>:</w:t>
        <w:tab/>
      </w:r>
      <w:r>
        <w:rPr>
          <w:color w:val="141122"/>
          <w:spacing w:val="0"/>
          <w:w w:val="100"/>
          <w:position w:val="0"/>
          <w:sz w:val="24"/>
          <w:szCs w:val="24"/>
          <w:u w:val="single"/>
        </w:rPr>
        <w:t>賊</w:t>
      </w:r>
    </w:p>
    <w:p>
      <w:pPr>
        <w:pStyle w:val="Style24"/>
        <w:keepNext w:val="0"/>
        <w:keepLines w:val="0"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0" w:line="350" w:lineRule="exact"/>
        <w:ind w:left="0" w:right="0" w:firstLine="160"/>
        <w:jc w:val="left"/>
      </w:pPr>
      <w:r>
        <w:rPr>
          <w:color w:val="C00000"/>
          <w:spacing w:val="0"/>
          <w:w w:val="100"/>
          <w:position w:val="0"/>
          <w:sz w:val="24"/>
          <w:szCs w:val="24"/>
        </w:rPr>
        <w:t xml:space="preserve">不推荐 卩受体阻断剂（普蔡洛尔\ </w:t>
      </w:r>
      <w:r>
        <w:rPr>
          <w:rFonts w:ascii="Times New Roman" w:eastAsia="Times New Roman" w:hAnsi="Times New Roman" w:cs="Times New Roman"/>
          <w:b/>
          <w:bCs/>
          <w:color w:val="C00000"/>
          <w:spacing w:val="0"/>
          <w:w w:val="100"/>
          <w:position w:val="0"/>
          <w:sz w:val="26"/>
          <w:szCs w:val="26"/>
          <w:lang w:val="en-US" w:eastAsia="en-US" w:bidi="en-US"/>
        </w:rPr>
        <w:t>Pexawrfont,</w:t>
      </w:r>
      <w:r>
        <w:rPr>
          <w:color w:val="C00000"/>
          <w:spacing w:val="0"/>
          <w:w w:val="100"/>
          <w:position w:val="0"/>
          <w:sz w:val="24"/>
          <w:szCs w:val="24"/>
        </w:rPr>
        <w:t>曝加宾</w:t>
      </w:r>
    </w:p>
    <w:p>
      <w:pPr>
        <w:pStyle w:val="Style7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。结果存在冲突；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-ve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结果为阴性</w:t>
      </w:r>
    </w:p>
    <w:p>
      <w:pPr>
        <w:pStyle w:val="Style79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12" w:name="bookmark12"/>
      <w:bookmarkStart w:id="13" w:name="bookmark13"/>
      <w:bookmarkStart w:id="14" w:name="bookmark14"/>
      <w:r>
        <w:rPr>
          <w:spacing w:val="0"/>
          <w:w w:val="100"/>
          <w:position w:val="0"/>
          <w:sz w:val="24"/>
          <w:szCs w:val="24"/>
        </w:rPr>
        <w:t>药物维持治疗</w:t>
      </w:r>
      <w:bookmarkEnd w:id="12"/>
      <w:bookmarkEnd w:id="13"/>
      <w:bookmarkEnd w:id="14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9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 xml:space="preserve">一项纳入了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项复发预防研究、共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1342</w:t>
      </w:r>
      <w:r>
        <w:rPr>
          <w:color w:val="000000"/>
          <w:spacing w:val="0"/>
          <w:w w:val="100"/>
          <w:position w:val="0"/>
        </w:rPr>
        <w:t>名患者的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分析显示，与服用安慰剂相 比，持续服用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6-12</w:t>
      </w:r>
      <w:r>
        <w:rPr>
          <w:color w:val="000000"/>
          <w:spacing w:val="0"/>
          <w:w w:val="100"/>
          <w:position w:val="0"/>
        </w:rPr>
        <w:t>个月内显著降低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的复发率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0.20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2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停药研究中，与安慰剂（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40-56%</w:t>
      </w:r>
      <w:r>
        <w:rPr>
          <w:color w:val="000000"/>
          <w:spacing w:val="0"/>
          <w:w w:val="100"/>
          <w:position w:val="0"/>
        </w:rPr>
        <w:t>）相比，度洛西汀、艾司西酞普兰、帕罗西 汀及文拉法辛缓释剂型（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可显著降低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6-18</w:t>
      </w:r>
      <w:r>
        <w:rPr>
          <w:color w:val="000000"/>
          <w:spacing w:val="0"/>
          <w:w w:val="100"/>
          <w:position w:val="0"/>
        </w:rPr>
        <w:t>个月内的复发率（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10-20%</w:t>
      </w:r>
      <w:r>
        <w:rPr>
          <w:color w:val="000000"/>
          <w:spacing w:val="0"/>
          <w:w w:val="100"/>
          <w:position w:val="0"/>
        </w:rPr>
        <w:t>）。普瑞巴林和 喹硫平缓释剂型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XR</w:t>
      </w:r>
      <w:r>
        <w:rPr>
          <w:color w:val="000000"/>
          <w:spacing w:val="0"/>
          <w:w w:val="100"/>
          <w:position w:val="0"/>
        </w:rPr>
        <w:t>）同样在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6-12</w:t>
      </w:r>
      <w:r>
        <w:rPr>
          <w:color w:val="000000"/>
          <w:spacing w:val="0"/>
          <w:w w:val="100"/>
          <w:position w:val="0"/>
        </w:rPr>
        <w:t>个月的停药研究中显著降低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复发率。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79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在长期的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研究中，与安慰剂相比，服用艾司西酞普兰、帕罗西汀及文拉法辛缓 释剂型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XR</w:t>
      </w:r>
      <w:r>
        <w:rPr>
          <w:color w:val="000000"/>
          <w:spacing w:val="0"/>
          <w:w w:val="100"/>
          <w:position w:val="0"/>
        </w:rPr>
        <w:t>）的个体在大约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个月的时间内显示岀持续的症状改善。</w:t>
      </w:r>
    </w:p>
    <w:p>
      <w:pPr>
        <w:pStyle w:val="Style79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15" w:name="bookmark15"/>
      <w:bookmarkStart w:id="16" w:name="bookmark16"/>
      <w:bookmarkStart w:id="17" w:name="bookmark17"/>
      <w:r>
        <w:rPr>
          <w:spacing w:val="0"/>
          <w:w w:val="100"/>
          <w:position w:val="0"/>
          <w:sz w:val="24"/>
          <w:szCs w:val="24"/>
        </w:rPr>
        <w:t>生物及替代治疗</w:t>
      </w:r>
      <w:bookmarkEnd w:id="15"/>
      <w:bookmarkEnd w:id="16"/>
      <w:bookmarkEnd w:id="17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总体而言，下述疗法可能对部分患者有效；然而，尚需更多数据。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生物疗法：在一项小型开放性试验中，重复经颅磁刺激（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rTMS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单独治疗或与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SSRIs</w:t>
      </w:r>
      <w:r>
        <w:rPr>
          <w:color w:val="000000"/>
          <w:spacing w:val="0"/>
          <w:w w:val="100"/>
          <w:position w:val="0"/>
        </w:rPr>
        <w:t>联合可有效治疗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GAD 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级证据），且治疗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个月后大部分疗效仍可维持。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替代疗法：多种中草药制剂针对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的疗效与劳拉西泮相仿，包括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silexan </w:t>
      </w:r>
      <w:r>
        <w:rPr>
          <w:color w:val="000000"/>
          <w:spacing w:val="0"/>
          <w:w w:val="100"/>
          <w:position w:val="0"/>
        </w:rPr>
        <w:t>（薰衣草 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级证据）和金英提取物（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级证据）。考克兰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meta</w:t>
      </w:r>
      <w:r>
        <w:rPr>
          <w:color w:val="000000"/>
          <w:spacing w:val="0"/>
          <w:w w:val="100"/>
          <w:position w:val="0"/>
        </w:rPr>
        <w:t>分析所纳入的两项研究显示，西 番莲治疗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的效果与苯二氮草类药物相当；另一项研究显示，缬草、安慰剂及地西泮 的疗效并无显著差异（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级证据，阴性）。遗憾的是，鉴于这些制剂的标准化程度很低， 不同产品中的活性成分差异很大，因此不能广泛推荐。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1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显示，与等候名单相比，阻力训练（举重）及有氧锻炼可显著改善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症 状。一项系统综述回顾了四项关于针灸治疗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或焦虑性神经症的研究。尽管所有研究 均得到了阳性发现，但这些研究的方法学细节有所缺失，作者认为缺乏足够证据确定其效 能（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级证据）。开放标签研究则显示，联用冥想或瑜伽治疗对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患者或许有益。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79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不推荐的替代治疗：在一项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RCT</w:t>
      </w:r>
      <w:r>
        <w:rPr>
          <w:color w:val="000000"/>
          <w:spacing w:val="0"/>
          <w:w w:val="100"/>
          <w:position w:val="0"/>
        </w:rPr>
        <w:t>中，光线疗法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bright light therapy</w:t>
      </w:r>
      <w:r>
        <w:rPr>
          <w:color w:val="000000"/>
          <w:spacing w:val="0"/>
          <w:w w:val="100"/>
          <w:position w:val="0"/>
        </w:rPr>
        <w:t>）并不显著优于 安慰剂（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级证据，阴性），不推荐使用该手段治疗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79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18" w:name="bookmark18"/>
      <w:bookmarkStart w:id="19" w:name="bookmark19"/>
      <w:bookmarkStart w:id="20" w:name="bookmark20"/>
      <w:r>
        <w:rPr>
          <w:spacing w:val="0"/>
          <w:w w:val="100"/>
          <w:position w:val="0"/>
          <w:sz w:val="24"/>
          <w:szCs w:val="24"/>
        </w:rPr>
        <w:t>总结</w:t>
      </w:r>
      <w:bookmarkEnd w:id="18"/>
      <w:bookmarkEnd w:id="19"/>
      <w:bookmarkEnd w:id="20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4" w:lineRule="exact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的终生患病率接近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6%</w:t>
      </w:r>
      <w:r>
        <w:rPr>
          <w:color w:val="000000"/>
          <w:spacing w:val="0"/>
          <w:w w:val="100"/>
          <w:position w:val="0"/>
        </w:rPr>
        <w:t>,更常见于女性，发病年龄呈双峰式分布。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常共病 其他精神障碍及躯体疾病。根据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DSM-5</w:t>
      </w:r>
      <w:r>
        <w:rPr>
          <w:color w:val="000000"/>
          <w:spacing w:val="0"/>
          <w:w w:val="100"/>
          <w:position w:val="0"/>
        </w:rPr>
        <w:t>的诊断标准，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的主要特征为对多种事件及活 动的过度焦虑及担忧，并与不安、肌肉紧张及行为改变相关。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2" w:lineRule="exact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是治疗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GAD</w:t>
      </w:r>
      <w:r>
        <w:rPr>
          <w:color w:val="000000"/>
          <w:spacing w:val="0"/>
          <w:w w:val="100"/>
          <w:position w:val="0"/>
        </w:rPr>
        <w:t>的一线治疗选择，与药物治疗疗效相仿。基于网络及电脑的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CBT </w:t>
      </w:r>
      <w:r>
        <w:rPr>
          <w:color w:val="000000"/>
          <w:spacing w:val="0"/>
          <w:w w:val="100"/>
          <w:position w:val="0"/>
        </w:rPr>
        <w:t>同样有效。现有证据并不支持常规联用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及药物治疗，但当患者无法从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CBT</w:t>
      </w:r>
      <w:r>
        <w:rPr>
          <w:color w:val="000000"/>
          <w:spacing w:val="0"/>
          <w:w w:val="100"/>
          <w:position w:val="0"/>
        </w:rPr>
        <w:t>中获益 时，可考虑联用药物治疗；反之亦然。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79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药物治疗应从一种一线治疗药物开始，多为抗抑郁药，而普瑞巴林也是推荐的治疗选 择。若最优剂量效果欠佳，或患者不能耐受，应考虑换用另一种一线药物，随后再考虑二 线药物。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line="382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对多种药物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/CBT</w:t>
      </w:r>
      <w:r>
        <w:rPr>
          <w:color w:val="000000"/>
          <w:spacing w:val="0"/>
          <w:w w:val="100"/>
          <w:position w:val="0"/>
        </w:rPr>
        <w:t>应答不良的患者可能为难治性。针对此类患者应重新评估诊断，考 虑可能影响治疗应答的躯体及精神科共病。当患者对单用或联用一线及二线治疗应答不佳 时，三线药物、联合治疗及生物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/</w:t>
      </w:r>
      <w:r>
        <w:rPr>
          <w:color w:val="000000"/>
          <w:spacing w:val="0"/>
          <w:w w:val="100"/>
          <w:position w:val="0"/>
        </w:rPr>
        <w:t>替代治疗或许有用。</w:t>
      </w:r>
    </w:p>
    <w:p>
      <w:pPr>
        <w:pStyle w:val="Style8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E3*</w:t>
      </w:r>
    </w:p>
    <w:p>
      <w:pPr>
        <w:pStyle w:val="Style27"/>
        <w:keepNext w:val="0"/>
        <w:keepLines w:val="0"/>
        <w:widowControl w:val="0"/>
        <w:shd w:val="clear" w:color="auto" w:fill="auto"/>
        <w:tabs>
          <w:tab w:pos="2910" w:val="left"/>
        </w:tabs>
        <w:bidi w:val="0"/>
        <w:spacing w:before="0" w:after="4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点击下载指南全文：</w:t>
        <w:tab/>
      </w:r>
      <w:r>
        <w:fldChar w:fldCharType="begin"/>
      </w:r>
      <w:r>
        <w:rPr/>
        <w:instrText> HYPERLINK "http://guide.medlive.cn/guideline/6762" 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b/>
          <w:bCs/>
          <w:color w:val="1D4B87"/>
          <w:spacing w:val="0"/>
          <w:w w:val="100"/>
          <w:position w:val="0"/>
          <w:sz w:val="22"/>
          <w:szCs w:val="22"/>
          <w:u w:val="single"/>
        </w:rPr>
        <w:t>2014</w:t>
      </w:r>
      <w:r>
        <w:rPr>
          <w:color w:val="1D4B87"/>
          <w:spacing w:val="0"/>
          <w:w w:val="100"/>
          <w:position w:val="0"/>
          <w:u w:val="single"/>
        </w:rPr>
        <w:t>加拿大临床实践指南：焦虑障碍、创伤后应激障碍</w:t>
      </w:r>
      <w:r>
        <w:fldChar w:fldCharType="end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480" w:line="382" w:lineRule="exact"/>
        <w:ind w:left="0" w:right="0" w:firstLine="0"/>
        <w:jc w:val="left"/>
      </w:pPr>
      <w:r>
        <w:fldChar w:fldCharType="begin"/>
      </w:r>
      <w:r>
        <w:rPr/>
        <w:instrText> HYPERLINK "http://guide.medlive.cn/guideline/6762" </w:instrText>
      </w:r>
      <w:r>
        <w:fldChar w:fldCharType="separate"/>
      </w:r>
      <w:r>
        <w:rPr>
          <w:color w:val="1D4B87"/>
          <w:spacing w:val="0"/>
          <w:w w:val="100"/>
          <w:position w:val="0"/>
          <w:u w:val="single"/>
        </w:rPr>
        <w:t>与强迫性障碍的管理</w:t>
      </w:r>
      <w:r>
        <w:fldChar w:fldCharType="end"/>
      </w:r>
    </w:p>
    <w:p>
      <w:pPr>
        <w:pStyle w:val="Style7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1" w:name="bookmark21"/>
      <w:bookmarkStart w:id="22" w:name="bookmark22"/>
      <w:bookmarkStart w:id="23" w:name="bookmark23"/>
      <w:r>
        <w:rPr>
          <w:spacing w:val="0"/>
          <w:w w:val="100"/>
          <w:position w:val="0"/>
          <w:sz w:val="24"/>
          <w:szCs w:val="24"/>
        </w:rPr>
        <w:t>医脉通编译，转载请注明出处</w:t>
      </w:r>
      <w:bookmarkEnd w:id="21"/>
      <w:bookmarkEnd w:id="22"/>
      <w:bookmarkEnd w:id="23"/>
    </w:p>
    <w:sectPr>
      <w:headerReference w:type="default" r:id="rId6"/>
      <w:footnotePr>
        <w:pos w:val="pageBottom"/>
        <w:numFmt w:val="decimal"/>
        <w:numRestart w:val="continuous"/>
      </w:footnotePr>
      <w:pgSz w:w="11900" w:h="16840"/>
      <w:pgMar w:top="1551" w:right="982" w:bottom="1513" w:left="1774" w:header="0" w:footer="1085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1416685</wp:posOffset>
              </wp:positionH>
              <wp:positionV relativeFrom="page">
                <wp:posOffset>598170</wp:posOffset>
              </wp:positionV>
              <wp:extent cx="4730750" cy="14605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307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5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70C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医脉通临床指南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70C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lang w:val="en-US" w:eastAsia="en-US" w:bidi="en-US"/>
                            </w:rPr>
                            <w:t>http://guide,medlive.cn/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1.55pt;margin-top:47.100000000000001pt;width:372.5pt;height:11.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5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70C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医脉通临床指南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70C0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lang w:val="en-US" w:eastAsia="en-US" w:bidi="en-US"/>
                      </w:rPr>
                      <w:t>http://guide,medlive.cn/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1121410</wp:posOffset>
              </wp:positionH>
              <wp:positionV relativeFrom="page">
                <wp:posOffset>797560</wp:posOffset>
              </wp:positionV>
              <wp:extent cx="53124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3124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8.299999999999997pt;margin-top:62.800000000000004pt;width:418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1416050</wp:posOffset>
              </wp:positionH>
              <wp:positionV relativeFrom="page">
                <wp:posOffset>598170</wp:posOffset>
              </wp:positionV>
              <wp:extent cx="4730750" cy="14605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3075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3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spacing w:val="0"/>
                              <w:w w:val="100"/>
                              <w:position w:val="0"/>
                              <w:u w:val="none"/>
                              <w:lang w:val="zh-TW" w:eastAsia="zh-TW" w:bidi="zh-TW"/>
                            </w:rPr>
                            <w:t>医脉通临床指南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http://guide.medlive.cn/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1.5pt;margin-top:47.100000000000001pt;width:372.5pt;height:11.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3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spacing w:val="0"/>
                        <w:w w:val="100"/>
                        <w:position w:val="0"/>
                        <w:u w:val="none"/>
                        <w:lang w:val="zh-TW" w:eastAsia="zh-TW" w:bidi="zh-TW"/>
                      </w:rPr>
                      <w:t>医脉通临床指南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http://guide.medlive.cn/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1120140</wp:posOffset>
              </wp:positionH>
              <wp:positionV relativeFrom="page">
                <wp:posOffset>797560</wp:posOffset>
              </wp:positionV>
              <wp:extent cx="531241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3124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8.200000000000003pt;margin-top:62.800000000000004pt;width:418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0">
    <w:name w:val="Table caption|1_"/>
    <w:basedOn w:val="DefaultParagraphFont"/>
    <w:link w:val="Style9"/>
    <w:rPr>
      <w:rFonts w:ascii="SimSun" w:eastAsia="SimSun" w:hAnsi="SimSun" w:cs="SimSun"/>
      <w:b/>
      <w:bCs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14">
    <w:name w:val="Other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3">
    <w:name w:val="Heading #2|1_"/>
    <w:basedOn w:val="DefaultParagraphFont"/>
    <w:link w:val="Style22"/>
    <w:rPr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25">
    <w:name w:val="Body text|2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28">
    <w:name w:val="Body text|1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1">
    <w:name w:val="Heading #4|1_"/>
    <w:basedOn w:val="DefaultParagraphFont"/>
    <w:link w:val="Style30"/>
    <w:rPr>
      <w:b/>
      <w:bCs/>
      <w:i w:val="0"/>
      <w:iCs w:val="0"/>
      <w:smallCaps w:val="0"/>
      <w:strike w:val="0"/>
      <w:color w:val="C00000"/>
      <w:u w:val="none"/>
      <w:shd w:val="clear" w:color="auto" w:fill="auto"/>
    </w:rPr>
  </w:style>
  <w:style w:type="character" w:customStyle="1" w:styleId="CharStyle36">
    <w:name w:val="Heading #3|1_"/>
    <w:basedOn w:val="DefaultParagraphFont"/>
    <w:link w:val="Style35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56">
    <w:name w:val="Header or footer|1_"/>
    <w:basedOn w:val="DefaultParagraphFont"/>
    <w:link w:val="Style55"/>
    <w:rPr>
      <w:b/>
      <w:bCs/>
      <w:i w:val="0"/>
      <w:iCs w:val="0"/>
      <w:smallCaps w:val="0"/>
      <w:strike w:val="0"/>
      <w:color w:val="0070C0"/>
      <w:sz w:val="22"/>
      <w:szCs w:val="22"/>
      <w:u w:val="single"/>
      <w:shd w:val="clear" w:color="auto" w:fill="auto"/>
    </w:rPr>
  </w:style>
  <w:style w:type="character" w:customStyle="1" w:styleId="CharStyle77">
    <w:name w:val="Body text|3_"/>
    <w:basedOn w:val="DefaultParagraphFont"/>
    <w:link w:val="Style76"/>
    <w:rPr>
      <w:rFonts w:ascii="SimSun" w:eastAsia="SimSun" w:hAnsi="SimSun" w:cs="SimSun"/>
      <w:b/>
      <w:bCs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80">
    <w:name w:val="Heading #5|1_"/>
    <w:basedOn w:val="DefaultParagraphFont"/>
    <w:link w:val="Style79"/>
    <w:rPr>
      <w:rFonts w:ascii="SimSun" w:eastAsia="SimSun" w:hAnsi="SimSun" w:cs="SimSun"/>
      <w:b w:val="0"/>
      <w:bCs w:val="0"/>
      <w:i w:val="0"/>
      <w:iCs w:val="0"/>
      <w:smallCaps w:val="0"/>
      <w:strike w:val="0"/>
      <w:color w:val="C00000"/>
      <w:u w:val="none"/>
      <w:shd w:val="clear" w:color="auto" w:fill="auto"/>
      <w:lang w:val="zh-TW" w:eastAsia="zh-TW" w:bidi="zh-TW"/>
    </w:rPr>
  </w:style>
  <w:style w:type="character" w:customStyle="1" w:styleId="CharStyle82">
    <w:name w:val="Body text|4_"/>
    <w:basedOn w:val="DefaultParagraphFont"/>
    <w:link w:val="Style81"/>
    <w:rPr>
      <w:b/>
      <w:bCs/>
      <w:i w:val="0"/>
      <w:iCs w:val="0"/>
      <w:smallCaps w:val="0"/>
      <w:strike w:val="0"/>
      <w:color w:val="9B414E"/>
      <w:sz w:val="22"/>
      <w:szCs w:val="22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340" w:after="520"/>
      <w:ind w:firstLine="620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color w:val="3E3E3E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9">
    <w:name w:val="Table caption|1"/>
    <w:basedOn w:val="Normal"/>
    <w:link w:val="CharStyle10"/>
    <w:pPr>
      <w:widowControl w:val="0"/>
      <w:shd w:val="clear" w:color="auto" w:fill="auto"/>
    </w:pPr>
    <w:rPr>
      <w:rFonts w:ascii="SimSun" w:eastAsia="SimSun" w:hAnsi="SimSun" w:cs="SimSun"/>
      <w:b/>
      <w:bCs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13">
    <w:name w:val="Other|1"/>
    <w:basedOn w:val="Normal"/>
    <w:link w:val="CharStyle14"/>
    <w:pPr>
      <w:widowControl w:val="0"/>
      <w:shd w:val="clear" w:color="auto" w:fill="auto"/>
      <w:spacing w:after="360" w:line="39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2">
    <w:name w:val="Heading #2|1"/>
    <w:basedOn w:val="Normal"/>
    <w:link w:val="CharStyle23"/>
    <w:pPr>
      <w:widowControl w:val="0"/>
      <w:shd w:val="clear" w:color="auto" w:fill="auto"/>
      <w:ind w:firstLine="140"/>
      <w:outlineLvl w:val="1"/>
    </w:pPr>
    <w:rPr>
      <w:b/>
      <w:bCs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24">
    <w:name w:val="Body text|2"/>
    <w:basedOn w:val="Normal"/>
    <w:link w:val="CharStyle25"/>
    <w:pPr>
      <w:widowControl w:val="0"/>
      <w:shd w:val="clear" w:color="auto" w:fill="auto"/>
      <w:spacing w:after="220" w:line="360" w:lineRule="exact"/>
      <w:ind w:firstLine="1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7">
    <w:name w:val="Body text|1"/>
    <w:basedOn w:val="Normal"/>
    <w:link w:val="CharStyle28"/>
    <w:pPr>
      <w:widowControl w:val="0"/>
      <w:shd w:val="clear" w:color="auto" w:fill="auto"/>
      <w:spacing w:after="360" w:line="39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0">
    <w:name w:val="Heading #4|1"/>
    <w:basedOn w:val="Normal"/>
    <w:link w:val="CharStyle31"/>
    <w:pPr>
      <w:widowControl w:val="0"/>
      <w:shd w:val="clear" w:color="auto" w:fill="auto"/>
      <w:spacing w:after="480"/>
      <w:ind w:firstLine="480"/>
      <w:outlineLvl w:val="3"/>
    </w:pPr>
    <w:rPr>
      <w:b/>
      <w:bCs/>
      <w:i w:val="0"/>
      <w:iCs w:val="0"/>
      <w:smallCaps w:val="0"/>
      <w:strike w:val="0"/>
      <w:color w:val="C00000"/>
      <w:u w:val="none"/>
      <w:shd w:val="clear" w:color="auto" w:fill="auto"/>
    </w:rPr>
  </w:style>
  <w:style w:type="paragraph" w:customStyle="1" w:styleId="Style35">
    <w:name w:val="Heading #3|1"/>
    <w:basedOn w:val="Normal"/>
    <w:link w:val="CharStyle36"/>
    <w:pPr>
      <w:widowControl w:val="0"/>
      <w:shd w:val="clear" w:color="auto" w:fill="auto"/>
      <w:spacing w:line="360" w:lineRule="exact"/>
      <w:ind w:left="1060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55">
    <w:name w:val="Header or footer|1"/>
    <w:basedOn w:val="Normal"/>
    <w:link w:val="CharStyle56"/>
    <w:pPr>
      <w:widowControl w:val="0"/>
      <w:shd w:val="clear" w:color="auto" w:fill="auto"/>
    </w:pPr>
    <w:rPr>
      <w:b/>
      <w:bCs/>
      <w:i w:val="0"/>
      <w:iCs w:val="0"/>
      <w:smallCaps w:val="0"/>
      <w:strike w:val="0"/>
      <w:color w:val="0070C0"/>
      <w:sz w:val="22"/>
      <w:szCs w:val="22"/>
      <w:u w:val="single"/>
      <w:shd w:val="clear" w:color="auto" w:fill="auto"/>
    </w:rPr>
  </w:style>
  <w:style w:type="paragraph" w:customStyle="1" w:styleId="Style76">
    <w:name w:val="Body text|3"/>
    <w:basedOn w:val="Normal"/>
    <w:link w:val="CharStyle77"/>
    <w:pPr>
      <w:widowControl w:val="0"/>
      <w:shd w:val="clear" w:color="auto" w:fill="auto"/>
      <w:spacing w:after="480"/>
      <w:ind w:firstLine="640"/>
    </w:pPr>
    <w:rPr>
      <w:rFonts w:ascii="SimSun" w:eastAsia="SimSun" w:hAnsi="SimSun" w:cs="SimSun"/>
      <w:b/>
      <w:bCs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79">
    <w:name w:val="Heading #5|1"/>
    <w:basedOn w:val="Normal"/>
    <w:link w:val="CharStyle80"/>
    <w:pPr>
      <w:widowControl w:val="0"/>
      <w:shd w:val="clear" w:color="auto" w:fill="auto"/>
      <w:spacing w:after="360"/>
      <w:ind w:firstLine="480"/>
      <w:outlineLvl w:val="4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C00000"/>
      <w:u w:val="none"/>
      <w:shd w:val="clear" w:color="auto" w:fill="auto"/>
      <w:lang w:val="zh-TW" w:eastAsia="zh-TW" w:bidi="zh-TW"/>
    </w:rPr>
  </w:style>
  <w:style w:type="paragraph" w:customStyle="1" w:styleId="Style81">
    <w:name w:val="Body text|4"/>
    <w:basedOn w:val="Normal"/>
    <w:link w:val="CharStyle82"/>
    <w:pPr>
      <w:widowControl w:val="0"/>
      <w:shd w:val="clear" w:color="auto" w:fill="auto"/>
      <w:spacing w:after="40"/>
      <w:ind w:left="2420"/>
    </w:pPr>
    <w:rPr>
      <w:b/>
      <w:bCs/>
      <w:i w:val="0"/>
      <w:iCs w:val="0"/>
      <w:smallCaps w:val="0"/>
      <w:strike w:val="0"/>
      <w:color w:val="9B414E"/>
      <w:sz w:val="22"/>
      <w:szCs w:val="22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Administrator</dc:creator>
  <cp:keywords/>
</cp:coreProperties>
</file>