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CN" w:eastAsia="zh-CN" w:bidi="zh-CN"/>
        </w:rPr>
        <w:t>2015</w:t>
      </w:r>
      <w:r>
        <w:rPr>
          <w:spacing w:val="0"/>
          <w:w w:val="100"/>
          <w:position w:val="0"/>
        </w:rPr>
        <w:t>美国精神病学会实践指南：</w:t>
      </w:r>
      <w:bookmarkEnd w:id="0"/>
      <w:bookmarkEnd w:id="1"/>
      <w:bookmarkEnd w:id="2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bookmarkStart w:id="0" w:name="bookmark0"/>
      <w:bookmarkStart w:id="1" w:name="bookmark1"/>
      <w:bookmarkStart w:id="3" w:name="bookmark3"/>
      <w:r>
        <w:rPr>
          <w:spacing w:val="0"/>
          <w:w w:val="100"/>
          <w:position w:val="0"/>
        </w:rPr>
        <w:t>成人精神科评估要点</w:t>
      </w:r>
      <w:bookmarkEnd w:id="0"/>
      <w:bookmarkEnd w:id="1"/>
      <w:bookmarkEnd w:id="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485" w:lineRule="exact"/>
        <w:ind w:left="5320" w:right="0" w:firstLine="0"/>
        <w:jc w:val="right"/>
      </w:pPr>
      <w:r>
        <w:rPr>
          <w:color w:val="3E3E3E"/>
          <w:spacing w:val="0"/>
          <w:w w:val="100"/>
          <w:position w:val="0"/>
          <w:sz w:val="18"/>
          <w:szCs w:val="18"/>
        </w:rPr>
        <w:t xml:space="preserve">医脉通 </w:t>
      </w:r>
      <w:r>
        <w:rPr>
          <w:rFonts w:ascii="Times New Roman" w:eastAsia="Times New Roman" w:hAnsi="Times New Roman" w:cs="Times New Roman"/>
          <w:color w:val="888888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2015-09-14 </w:t>
      </w:r>
      <w:r>
        <w:rPr>
          <w:b/>
          <w:bCs/>
          <w:color w:val="000000"/>
          <w:spacing w:val="0"/>
          <w:w w:val="100"/>
          <w:position w:val="0"/>
        </w:rPr>
        <w:t>医脉通编译，转载请注明出处。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fldChar w:fldCharType="begin"/>
      </w:r>
      <w:r>
        <w:rPr/>
        <w:instrText> HYPERLINK "http://guide.medlive.cn/guideline/9080" </w:instrText>
      </w:r>
      <w:r>
        <w:fldChar w:fldCharType="separate"/>
      </w:r>
      <w:bookmarkStart w:id="4" w:name="bookmark4"/>
      <w:bookmarkStart w:id="5" w:name="bookmark5"/>
      <w:bookmarkStart w:id="6" w:name="bookmark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The American Psychiatric Association Practice Guidelines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br/>
      </w:r>
      <w:r>
        <w:fldChar w:fldCharType="begin"/>
      </w:r>
      <w:r>
        <w:rPr/>
        <w:instrText> HYPERLINK "http://guide.medlive.cn/guideline/9080"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for the Psychiatric Evaluation of Adults</w:t>
      </w:r>
      <w:bookmarkEnd w:id="4"/>
      <w:bookmarkEnd w:id="5"/>
      <w:bookmarkEnd w:id="6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需要指岀的是，精神科评估并不局限于针对患者的直接检查；事实上，其定义为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>通 过各种方法获取患者信息的过程，包括面对面晤谈、查阅病历、体格检查（由精神科医 师、其他医师或经过医学培训的临床医师实施）、诊断性测试，或来自亲属方面的病史采 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评</w:t>
      </w:r>
      <w:r>
        <w:rPr>
          <w:color w:val="000000"/>
          <w:spacing w:val="0"/>
          <w:w w:val="100"/>
          <w:position w:val="0"/>
        </w:rPr>
        <w:t>估可能需要与患者、家属或其他人多次会面方可完成。评估所花费的时间取决于症 状的复杂性、临床设置及患者配合评估的能力和意愿。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40" w:line="432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推荐等级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推</w:t>
      </w:r>
      <w:r>
        <w:rPr>
          <w:color w:val="000000"/>
          <w:spacing w:val="0"/>
          <w:w w:val="100"/>
          <w:position w:val="0"/>
        </w:rPr>
        <w:t>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）提示干预措施利大于弊，推荐等级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>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）提示利弊权衡尚 存在不确定性。鉴于在对照研究中探讨精神评估方法的困难，这些建议和意见的支持研究 证据强度评级为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（低）。具体推荐或建议来自表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罗马数字所指代的指南。</w:t>
      </w:r>
    </w:p>
    <w:tbl>
      <w:tblPr>
        <w:tblOverlap w:val="never"/>
        <w:jc w:val="center"/>
        <w:tblLayout w:type="fixed"/>
      </w:tblPr>
      <w:tblGrid>
        <w:gridCol w:w="1022"/>
        <w:gridCol w:w="3965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指南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标题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回顾精神症状、创伤史及精神疾病治疗史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评估物质滥用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评估自杀风险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IV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评估攻击行为风险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V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评估文化因素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VI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评估躯体健康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vn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</w:rPr>
              <w:t>定量评估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vm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患者在治疗决策中的参与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IX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3E3E3E"/>
                <w:spacing w:val="0"/>
                <w:w w:val="100"/>
                <w:position w:val="0"/>
                <w:sz w:val="18"/>
                <w:szCs w:val="18"/>
              </w:rPr>
              <w:t>精神牌文件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6" w:right="0" w:firstLine="0"/>
        <w:jc w:val="left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成年人精神科评估实践指南框架</w:t>
      </w:r>
    </w:p>
    <w:p>
      <w:pPr>
        <w:widowControl w:val="0"/>
        <w:spacing w:after="559" w:line="1" w:lineRule="exact"/>
      </w:pP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240" w:line="240" w:lineRule="auto"/>
        <w:ind w:left="0" w:right="0"/>
        <w:jc w:val="both"/>
      </w:pPr>
      <w:bookmarkStart w:id="10" w:name="bookmark10"/>
      <w:bookmarkStart w:id="7" w:name="bookmark7"/>
      <w:bookmarkStart w:id="8" w:name="bookmark8"/>
      <w:bookmarkStart w:id="9" w:name="bookmark9"/>
      <w:r>
        <w:rPr>
          <w:spacing w:val="0"/>
          <w:w w:val="100"/>
          <w:position w:val="0"/>
          <w:sz w:val="24"/>
          <w:szCs w:val="24"/>
        </w:rPr>
        <w:t>一</w:t>
      </w:r>
      <w:bookmarkEnd w:id="9"/>
      <w:r>
        <w:rPr>
          <w:spacing w:val="0"/>
          <w:w w:val="100"/>
          <w:position w:val="0"/>
          <w:sz w:val="24"/>
          <w:szCs w:val="24"/>
        </w:rPr>
        <w:t>、现病史</w:t>
      </w:r>
      <w:bookmarkEnd w:id="10"/>
      <w:bookmarkEnd w:id="7"/>
      <w:bookmarkEnd w:id="8"/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762000" cy="31686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6200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除了导致患者寻求精神科评估的症状之外，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初始精神科评估应包 </w:t>
      </w:r>
      <w:r>
        <w:rPr>
          <w:color w:val="000000"/>
          <w:spacing w:val="0"/>
          <w:w w:val="100"/>
          <w:position w:val="0"/>
        </w:rPr>
        <w:t>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系统的精神科回顾（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），包括焦虑症状和惊恐发作（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既往或当前的睡眠异常，包括睡眠呼吸暂停（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冲动性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6"/>
        <w:keepNext/>
        <w:keepLines/>
        <w:widowControl w:val="0"/>
        <w:shd w:val="clear" w:color="auto" w:fill="auto"/>
        <w:tabs>
          <w:tab w:pos="1002" w:val="left"/>
        </w:tabs>
        <w:bidi w:val="0"/>
        <w:spacing w:before="0" w:after="180" w:line="240" w:lineRule="auto"/>
        <w:ind w:left="0" w:right="0"/>
        <w:jc w:val="left"/>
      </w:pPr>
      <w:bookmarkStart w:id="11" w:name="bookmark11"/>
      <w:bookmarkStart w:id="12" w:name="bookmark12"/>
      <w:bookmarkStart w:id="13" w:name="bookmark13"/>
      <w:bookmarkStart w:id="14" w:name="bookmark14"/>
      <w:r>
        <w:rPr>
          <w:spacing w:val="0"/>
          <w:w w:val="100"/>
          <w:position w:val="0"/>
          <w:sz w:val="24"/>
          <w:szCs w:val="24"/>
        </w:rPr>
        <w:t>二</w:t>
      </w:r>
      <w:bookmarkEnd w:id="13"/>
      <w:r>
        <w:rPr>
          <w:spacing w:val="0"/>
          <w:w w:val="100"/>
          <w:position w:val="0"/>
          <w:sz w:val="24"/>
          <w:szCs w:val="24"/>
        </w:rPr>
        <w:t>、</w:t>
        <w:tab/>
        <w:t>既往精神病史</w:t>
      </w:r>
      <w:bookmarkEnd w:id="11"/>
      <w:bookmarkEnd w:id="12"/>
      <w:bookmarkEnd w:id="14"/>
    </w:p>
    <w:p>
      <w:pPr>
        <w:pStyle w:val="Style8"/>
        <w:keepNext w:val="0"/>
        <w:keepLines w:val="0"/>
        <w:widowControl w:val="0"/>
        <w:shd w:val="clear" w:color="auto" w:fill="auto"/>
        <w:tabs>
          <w:tab w:pos="887" w:val="left"/>
        </w:tabs>
        <w:bidi w:val="0"/>
        <w:spacing w:before="0" w:after="180" w:line="240" w:lineRule="auto"/>
        <w:ind w:left="0" w:right="0" w:firstLine="480"/>
        <w:jc w:val="left"/>
      </w:pPr>
      <w:bookmarkStart w:id="15" w:name="bookmark1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bookmarkEnd w:id="15"/>
      <w:r>
        <w:rPr>
          <w:b/>
          <w:bCs/>
          <w:color w:val="000000"/>
          <w:spacing w:val="0"/>
          <w:w w:val="100"/>
          <w:position w:val="0"/>
        </w:rPr>
        <w:t>、</w:t>
        <w:tab/>
        <w:t>疾病方面，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既往及当前的精神科诊断（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既往精神病性或攻击观念，包括躯体攻击、性侵犯或杀人（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既往攻击行为（如杀人、家庭或工作场所暴力、其他躯体或性侵犯威胁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行为）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既往自杀观念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计划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未遂史，包括中止或中断的自杀尝试及每次尝试的细节（如背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景、手段、伤害程度、潜在致死性、意图）（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既往故意自伤史（无自杀意图者）（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887" w:val="left"/>
        </w:tabs>
        <w:bidi w:val="0"/>
        <w:spacing w:before="0" w:after="180" w:line="240" w:lineRule="auto"/>
        <w:ind w:left="0" w:right="0" w:firstLine="480"/>
        <w:jc w:val="left"/>
      </w:pPr>
      <w:bookmarkStart w:id="16" w:name="bookmark1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bookmarkEnd w:id="16"/>
      <w:r>
        <w:rPr>
          <w:b/>
          <w:bCs/>
          <w:color w:val="000000"/>
          <w:spacing w:val="0"/>
          <w:w w:val="100"/>
          <w:position w:val="0"/>
        </w:rPr>
        <w:t>、</w:t>
        <w:tab/>
        <w:t>治疗方面，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因精神问题至精神科住院及急诊科就诊史（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既往精神科治疗（类型、持续时间、可用部位、剂量）（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对既往精神科治疗的应答（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对既往及当前药物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非药物治疗的依从性（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6"/>
        <w:keepNext/>
        <w:keepLines/>
        <w:widowControl w:val="0"/>
        <w:shd w:val="clear" w:color="auto" w:fill="auto"/>
        <w:tabs>
          <w:tab w:pos="1002" w:val="left"/>
        </w:tabs>
        <w:bidi w:val="0"/>
        <w:spacing w:before="0" w:after="180" w:line="240" w:lineRule="auto"/>
        <w:ind w:left="0" w:right="0"/>
        <w:jc w:val="left"/>
      </w:pPr>
      <w:bookmarkStart w:id="17" w:name="bookmark17"/>
      <w:bookmarkStart w:id="18" w:name="bookmark18"/>
      <w:bookmarkStart w:id="19" w:name="bookmark19"/>
      <w:bookmarkStart w:id="20" w:name="bookmark20"/>
      <w:r>
        <w:rPr>
          <w:spacing w:val="0"/>
          <w:w w:val="100"/>
          <w:position w:val="0"/>
          <w:sz w:val="24"/>
          <w:szCs w:val="24"/>
        </w:rPr>
        <w:t>三</w:t>
      </w:r>
      <w:bookmarkEnd w:id="19"/>
      <w:r>
        <w:rPr>
          <w:spacing w:val="0"/>
          <w:w w:val="100"/>
          <w:position w:val="0"/>
          <w:sz w:val="24"/>
          <w:szCs w:val="24"/>
        </w:rPr>
        <w:t>、</w:t>
        <w:tab/>
        <w:t>物质滥用史</w:t>
      </w:r>
      <w:bookmarkEnd w:id="17"/>
      <w:bookmarkEnd w:id="18"/>
      <w:bookmarkEnd w:id="2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患者使用烟草、酒精及其他物质（如大麻、可卡因、海洛因、致幻剂），以及任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何滥用处方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非处方药物的情况（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当前或近期存在物质使用障碍，或酒精或其他物质使用情况的变化（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、躯体疾病史（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VI</w:t>
      </w:r>
      <w:r>
        <w:rPr>
          <w:b/>
          <w:bCs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</w:rPr>
        <w:t>）包括：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过敏史或药物敏感史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患者目前或近期服用的所有药物及其副作用（如处方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非处方药物、草药及营养补 充剂、维生素）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患者是否与初级保健人员保持联系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既往或当前所患躯体疾病及相关住院史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既往或当前的相关治疗，包括手术、其他操作或补充及替代治疗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既往或当前的神经性或神经认知性疾病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症状（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躯体创伤，包括头外伤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性和生育史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54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建议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心肺功能状态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既往或当前的内分泌系统疾病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既往或当前的感染性疾病，包括性病、艾滋病、肺结核、丙型肝炎及地方性流行 病，如莱姆病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既往或当前与显著疼痛或不适相关的症状或临床状况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r>
        <w:rPr>
          <w:b/>
          <w:bCs/>
          <w:color w:val="000000"/>
          <w:spacing w:val="0"/>
          <w:w w:val="100"/>
          <w:position w:val="0"/>
        </w:rPr>
        <w:t>、系统回顾（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VI</w:t>
      </w:r>
      <w:r>
        <w:rPr>
          <w:b/>
          <w:bCs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包括系统的精神科检查（如果未被纳入现病史内）；此外，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APA </w:t>
      </w:r>
      <w:r>
        <w:rPr>
          <w:color w:val="000000"/>
          <w:spacing w:val="0"/>
          <w:w w:val="100"/>
          <w:position w:val="0"/>
        </w:rPr>
        <w:t>还建议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2C</w:t>
      </w:r>
      <w:r>
        <w:rPr>
          <w:color w:val="000000"/>
          <w:spacing w:val="0"/>
          <w:w w:val="100"/>
          <w:position w:val="0"/>
        </w:rPr>
        <w:t>）回顾：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全身症状（如发烧、体重减轻）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眼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•</w:t>
      </w:r>
      <w:r>
        <w:rPr>
          <w:color w:val="000000"/>
          <w:spacing w:val="0"/>
          <w:w w:val="100"/>
          <w:position w:val="0"/>
        </w:rPr>
        <w:t>耳、鼻、口、喉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心血管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呼吸道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胃肠道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泌尿生殖系统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骨骼肌肉系统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皮肤系统（皮肤和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或乳腺）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神经系统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内分泌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血液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淋巴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过敏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免疫</w:t>
      </w:r>
    </w:p>
    <w:p>
      <w:pPr>
        <w:pStyle w:val="Style26"/>
        <w:keepNext/>
        <w:keepLines/>
        <w:widowControl w:val="0"/>
        <w:shd w:val="clear" w:color="auto" w:fill="auto"/>
        <w:tabs>
          <w:tab w:pos="982" w:val="left"/>
        </w:tabs>
        <w:bidi w:val="0"/>
        <w:spacing w:before="0" w:after="0" w:line="434" w:lineRule="exact"/>
        <w:ind w:left="0" w:right="0"/>
        <w:jc w:val="left"/>
      </w:pPr>
      <w:bookmarkStart w:id="21" w:name="bookmark21"/>
      <w:bookmarkStart w:id="22" w:name="bookmark22"/>
      <w:bookmarkStart w:id="23" w:name="bookmark23"/>
      <w:bookmarkStart w:id="24" w:name="bookmark24"/>
      <w:r>
        <w:rPr>
          <w:spacing w:val="0"/>
          <w:w w:val="100"/>
          <w:position w:val="0"/>
          <w:sz w:val="24"/>
          <w:szCs w:val="24"/>
        </w:rPr>
        <w:t>四</w:t>
      </w:r>
      <w:bookmarkEnd w:id="23"/>
      <w:r>
        <w:rPr>
          <w:spacing w:val="0"/>
          <w:w w:val="100"/>
          <w:position w:val="0"/>
          <w:sz w:val="24"/>
          <w:szCs w:val="24"/>
        </w:rPr>
        <w:t>、</w:t>
        <w:tab/>
        <w:t>家族史</w:t>
      </w:r>
      <w:bookmarkEnd w:id="21"/>
      <w:bookmarkEnd w:id="22"/>
      <w:bookmarkEnd w:id="24"/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5" w:val="left"/>
        </w:tabs>
        <w:bidi w:val="0"/>
        <w:spacing w:before="0" w:after="0" w:line="434" w:lineRule="exact"/>
        <w:ind w:left="0" w:right="0" w:firstLine="480"/>
        <w:jc w:val="left"/>
      </w:pPr>
      <w:bookmarkStart w:id="25" w:name="bookmark25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，针对报告当前存在自杀观念的患者，其初始精神评估应包括其 生物学亲属的自杀行为史（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5" w:val="left"/>
        </w:tabs>
        <w:bidi w:val="0"/>
        <w:spacing w:before="0" w:after="420" w:line="434" w:lineRule="exact"/>
        <w:ind w:left="0" w:right="0" w:firstLine="48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一旦确定患者存在攻击观念，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</w:rPr>
        <w:t>）评估其生物学亲属的暴力行为史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26"/>
        <w:keepNext/>
        <w:keepLines/>
        <w:widowControl w:val="0"/>
        <w:shd w:val="clear" w:color="auto" w:fill="auto"/>
        <w:tabs>
          <w:tab w:pos="1002" w:val="left"/>
        </w:tabs>
        <w:bidi w:val="0"/>
        <w:spacing w:before="0" w:after="0" w:line="432" w:lineRule="exact"/>
        <w:ind w:left="0" w:right="0"/>
        <w:jc w:val="left"/>
      </w:pPr>
      <w:bookmarkStart w:id="27" w:name="bookmark27"/>
      <w:bookmarkStart w:id="28" w:name="bookmark28"/>
      <w:bookmarkStart w:id="29" w:name="bookmark29"/>
      <w:bookmarkStart w:id="30" w:name="bookmark30"/>
      <w:r>
        <w:rPr>
          <w:spacing w:val="0"/>
          <w:w w:val="100"/>
          <w:position w:val="0"/>
          <w:sz w:val="24"/>
          <w:szCs w:val="24"/>
        </w:rPr>
        <w:t>五</w:t>
      </w:r>
      <w:bookmarkEnd w:id="29"/>
      <w:r>
        <w:rPr>
          <w:spacing w:val="0"/>
          <w:w w:val="100"/>
          <w:position w:val="0"/>
          <w:sz w:val="24"/>
          <w:szCs w:val="24"/>
        </w:rPr>
        <w:t>、</w:t>
        <w:tab/>
        <w:t>个人及社会史</w:t>
      </w:r>
      <w:bookmarkEnd w:id="27"/>
      <w:bookmarkEnd w:id="28"/>
      <w:bookmarkEnd w:id="3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心理社会应激源（如经济、家居、法律、学校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职业或人际关系问题；缺乏社会支 持；疼痛性、碍容性或终末期疾病）（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回顾患者的创伤史（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暴露于暴力或攻击行为，包括战争或童年期虐待（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既往攻击行为的法律或纪律后果（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与患者社会环境有关的文化因素（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患者对语言翻译的需求（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建议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，初始精神病学评估应包括患者的个人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文化信仰，以及对精神疾病 的文化解释（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26"/>
        <w:keepNext/>
        <w:keepLines/>
        <w:widowControl w:val="0"/>
        <w:shd w:val="clear" w:color="auto" w:fill="auto"/>
        <w:tabs>
          <w:tab w:pos="1002" w:val="left"/>
        </w:tabs>
        <w:bidi w:val="0"/>
        <w:spacing w:before="0" w:after="0" w:line="433" w:lineRule="exact"/>
        <w:ind w:left="0" w:right="0"/>
        <w:jc w:val="left"/>
      </w:pPr>
      <w:bookmarkStart w:id="31" w:name="bookmark31"/>
      <w:bookmarkStart w:id="32" w:name="bookmark32"/>
      <w:bookmarkStart w:id="33" w:name="bookmark33"/>
      <w:bookmarkStart w:id="34" w:name="bookmark34"/>
      <w:r>
        <w:rPr>
          <w:spacing w:val="0"/>
          <w:w w:val="100"/>
          <w:position w:val="0"/>
          <w:sz w:val="24"/>
          <w:szCs w:val="24"/>
        </w:rPr>
        <w:t>六</w:t>
      </w:r>
      <w:bookmarkEnd w:id="33"/>
      <w:r>
        <w:rPr>
          <w:spacing w:val="0"/>
          <w:w w:val="100"/>
          <w:position w:val="0"/>
          <w:sz w:val="24"/>
          <w:szCs w:val="24"/>
        </w:rPr>
        <w:t>、</w:t>
        <w:tab/>
        <w:t>检查，包括精神状态检查</w:t>
      </w:r>
      <w:bookmarkEnd w:id="31"/>
      <w:bookmarkEnd w:id="32"/>
      <w:bookmarkEnd w:id="34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建议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身高、体重及体重指数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51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生命体征（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皮肤，包括任何创伤印记、自伤或药物使用（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总体外貌及营养状态（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协调性及步态（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不自主运动或运动张力异常（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51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视觉和听觉（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语言，包括流畅性和清晰度（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432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情绪、焦虑水平、思维内容及过程，以及感觉及认知（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I,III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51" w:lineRule="auto"/>
        <w:ind w:left="0" w:right="0" w:firstLine="480"/>
        <w:jc w:val="left"/>
        <w:sectPr>
          <w:footerReference w:type="default" r:id="rId7"/>
          <w:foot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205" w:right="1807" w:bottom="545" w:left="1747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无望感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当前的自杀观念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计划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企图，包括主动或被动的自杀或死亡观念（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）。若当前存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在自杀观念，评估：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。若当前症状恶化，患者的预期行为过程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。可能采取的自杀方式，包括火器在内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。患者可能的自杀动机（如他人的关注或反应、报复、羞耻、羞辱、妄想性内 疚、命令性幻听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。生存的理由（如对儿童或其他人的责任感，宗教信仰）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。治疗联盟的质量及强度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当前的攻击性或精神病性观念，包括躯体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性侵犯或杀人（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III, IV</w:t>
      </w:r>
      <w:r>
        <w:rPr>
          <w:color w:val="000000"/>
          <w:spacing w:val="0"/>
          <w:w w:val="100"/>
          <w:position w:val="0"/>
        </w:rPr>
        <w:t>）:若目前存在攻 击性观念，评估：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。既往或当前杀人或攻击观念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行为所指向的具体个人或团体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。冲动性，包括愤怒管理问题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43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。接触火器的机会；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</w:pPr>
      <w:bookmarkStart w:id="35" w:name="bookmark35"/>
      <w:bookmarkStart w:id="36" w:name="bookmark36"/>
      <w:bookmarkStart w:id="37" w:name="bookmark37"/>
      <w:r>
        <w:rPr>
          <w:spacing w:val="0"/>
          <w:w w:val="100"/>
          <w:position w:val="0"/>
          <w:sz w:val="24"/>
          <w:szCs w:val="24"/>
        </w:rPr>
        <w:t>七、临床印象和计划</w:t>
      </w:r>
      <w:bookmarkEnd w:id="35"/>
      <w:bookmarkEnd w:id="36"/>
      <w:bookmarkEnd w:id="37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，实施初步精神科评估的临床医生应记录：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患者自杀风险评估，包括影响风险的因素（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治疗选择的理论依据，包括针对影响治疗选择的具体因素的讨论（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IX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7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询问患者治疗相关的偏好（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418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向患者解释以下内容：鉴别诊断、疾病不加治疗的风险、治疗选择、治疗的收益 和风险（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临床医生和患者关于治疗决策的合作（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APA</w:t>
      </w:r>
      <w:r>
        <w:rPr>
          <w:color w:val="000000"/>
          <w:spacing w:val="0"/>
          <w:w w:val="100"/>
          <w:position w:val="0"/>
        </w:rPr>
        <w:t>建议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包括：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症状、功能水平及生活质量的量化指标（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VII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评估攻击行为（包括杀人）风险的文件，包括影响风险的因素（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20" w:line="449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记录临床检查依据的文件（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IX</w:t>
      </w:r>
      <w:r>
        <w:rPr>
          <w:color w:val="000000"/>
          <w:spacing w:val="0"/>
          <w:w w:val="100"/>
          <w:position w:val="0"/>
        </w:rPr>
        <w:t>）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762000" cy="316865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6200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8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文献索弓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Silverman JJ et al. The American Psychiatric Association Practice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Guidelines for the Psychiatric Evaluation of Adults.Am J Psychiatry. 2015 Aug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1;172(8):798-802. doi: 10.1176/appi.ajp.2015.1720501.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42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点击下载指南页：</w:t>
      </w:r>
      <w:r>
        <w:fldChar w:fldCharType="begin"/>
      </w:r>
      <w:r>
        <w:rPr/>
        <w:instrText> HYPERLINK "http://guide.medlive.cn/guideline/9080"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2015</w:t>
      </w:r>
      <w:r>
        <w:rPr>
          <w:b/>
          <w:bCs/>
          <w:color w:val="1D4B87"/>
          <w:spacing w:val="0"/>
          <w:w w:val="100"/>
          <w:position w:val="0"/>
          <w:u w:val="single"/>
        </w:rPr>
        <w:t>美国精神医学学会</w:t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APA</w:t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)</w:t>
      </w:r>
      <w:r>
        <w:rPr>
          <w:b/>
          <w:bCs/>
          <w:color w:val="1D4B87"/>
          <w:spacing w:val="0"/>
          <w:w w:val="100"/>
          <w:position w:val="0"/>
          <w:u w:val="single"/>
        </w:rPr>
        <w:t>实践指南：成人精神科评估</w:t>
      </w:r>
      <w:r>
        <w:fldChar w:fldCharType="end"/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762000" cy="31686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76200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13"/>
      <w:footnotePr>
        <w:pos w:val="pageBottom"/>
        <w:numFmt w:val="decimal"/>
        <w:numRestart w:val="continuous"/>
      </w:footnotePr>
      <w:type w:val="continuous"/>
      <w:pgSz w:w="11900" w:h="16840"/>
      <w:pgMar w:top="1205" w:right="1807" w:bottom="545" w:left="1747" w:header="777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1327785</wp:posOffset>
              </wp:positionH>
              <wp:positionV relativeFrom="page">
                <wp:posOffset>10395585</wp:posOffset>
              </wp:positionV>
              <wp:extent cx="5833745" cy="16446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3374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1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medlive.cn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04.55pt;margin-top:818.55000000000007pt;width:459.35000000000002pt;height:12.9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1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medlive.cn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5826760</wp:posOffset>
              </wp:positionH>
              <wp:positionV relativeFrom="page">
                <wp:posOffset>10077450</wp:posOffset>
              </wp:positionV>
              <wp:extent cx="1313815" cy="1644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58.80000000000001pt;margin-top:793.5pt;width:103.45pt;height:12.9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5826760</wp:posOffset>
              </wp:positionH>
              <wp:positionV relativeFrom="page">
                <wp:posOffset>10077450</wp:posOffset>
              </wp:positionV>
              <wp:extent cx="1313815" cy="16446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58.80000000000001pt;margin-top:793.5pt;width:103.45pt;height:12.95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4">
    <w:name w:val="Heading #2|1_"/>
    <w:basedOn w:val="DefaultParagraphFont"/>
    <w:link w:val="Style13"/>
    <w:rPr>
      <w:b w:val="0"/>
      <w:bCs w:val="0"/>
      <w:i w:val="0"/>
      <w:iCs w:val="0"/>
      <w:smallCaps w:val="0"/>
      <w:strike w:val="0"/>
      <w:color w:val="0563C1"/>
      <w:sz w:val="26"/>
      <w:szCs w:val="26"/>
      <w:u w:val="single"/>
      <w:shd w:val="clear" w:color="auto" w:fill="auto"/>
    </w:rPr>
  </w:style>
  <w:style w:type="character" w:customStyle="1" w:styleId="CharStyle17">
    <w:name w:val="Table caption|1_"/>
    <w:basedOn w:val="DefaultParagraphFont"/>
    <w:link w:val="Style16"/>
    <w:rPr>
      <w:rFonts w:ascii="SimSun" w:eastAsia="SimSun" w:hAnsi="SimSun" w:cs="SimSun"/>
      <w:b/>
      <w:bCs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0">
    <w:name w:val="Other|1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7">
    <w:name w:val="Heading #3|1_"/>
    <w:basedOn w:val="DefaultParagraphFont"/>
    <w:link w:val="Style26"/>
    <w:rPr>
      <w:rFonts w:ascii="SimSun" w:eastAsia="SimSun" w:hAnsi="SimSun" w:cs="SimSun"/>
      <w:b/>
      <w:bCs/>
      <w:i w:val="0"/>
      <w:iCs w:val="0"/>
      <w:smallCaps w:val="0"/>
      <w:strike w:val="0"/>
      <w:color w:val="C00000"/>
      <w:u w:val="none"/>
      <w:shd w:val="clear" w:color="auto" w:fill="auto"/>
      <w:lang w:val="zh-TW" w:eastAsia="zh-TW" w:bidi="zh-TW"/>
    </w:rPr>
  </w:style>
  <w:style w:type="character" w:customStyle="1" w:styleId="CharStyle33">
    <w:name w:val="Body text|2_"/>
    <w:basedOn w:val="DefaultParagraphFont"/>
    <w:link w:val="Style3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330"/>
      <w:jc w:val="center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43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3">
    <w:name w:val="Heading #2|1"/>
    <w:basedOn w:val="Normal"/>
    <w:link w:val="CharStyle14"/>
    <w:pPr>
      <w:widowControl w:val="0"/>
      <w:shd w:val="clear" w:color="auto" w:fill="auto"/>
      <w:spacing w:after="260" w:line="348" w:lineRule="auto"/>
      <w:jc w:val="center"/>
      <w:outlineLvl w:val="1"/>
    </w:pPr>
    <w:rPr>
      <w:b w:val="0"/>
      <w:bCs w:val="0"/>
      <w:i w:val="0"/>
      <w:iCs w:val="0"/>
      <w:smallCaps w:val="0"/>
      <w:strike w:val="0"/>
      <w:color w:val="0563C1"/>
      <w:sz w:val="26"/>
      <w:szCs w:val="26"/>
      <w:u w:val="single"/>
      <w:shd w:val="clear" w:color="auto" w:fill="auto"/>
    </w:rPr>
  </w:style>
  <w:style w:type="paragraph" w:customStyle="1" w:styleId="Style16">
    <w:name w:val="Table caption|1"/>
    <w:basedOn w:val="Normal"/>
    <w:link w:val="CharStyle17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19">
    <w:name w:val="Other|1"/>
    <w:basedOn w:val="Normal"/>
    <w:link w:val="CharStyle20"/>
    <w:pPr>
      <w:widowControl w:val="0"/>
      <w:shd w:val="clear" w:color="auto" w:fill="auto"/>
      <w:spacing w:line="43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6">
    <w:name w:val="Heading #3|1"/>
    <w:basedOn w:val="Normal"/>
    <w:link w:val="CharStyle27"/>
    <w:pPr>
      <w:widowControl w:val="0"/>
      <w:shd w:val="clear" w:color="auto" w:fill="auto"/>
      <w:spacing w:after="90" w:line="310" w:lineRule="auto"/>
      <w:ind w:firstLine="480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color w:val="C00000"/>
      <w:u w:val="none"/>
      <w:shd w:val="clear" w:color="auto" w:fill="auto"/>
      <w:lang w:val="zh-TW" w:eastAsia="zh-TW" w:bidi="zh-TW"/>
    </w:rPr>
  </w:style>
  <w:style w:type="paragraph" w:customStyle="1" w:styleId="Style32">
    <w:name w:val="Body text|2"/>
    <w:basedOn w:val="Normal"/>
    <w:link w:val="CharStyle33"/>
    <w:pPr>
      <w:widowControl w:val="0"/>
      <w:shd w:val="clear" w:color="auto" w:fill="auto"/>
      <w:spacing w:after="400"/>
      <w:ind w:firstLine="24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footer" Target="footer3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ky-25</dc:creator>
  <cp:keywords/>
</cp:coreProperties>
</file>