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18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文章编号: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-6946(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10 -0741 -04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/>
        <w:ind w:right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417" w:right="709" w:bottom="990" w:left="1000" w:header="0" w:footer="3" w:gutter="0"/>
          <w:pgNumType w:start="74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《妊娠和产后甲状腺疾病诊治指南(第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2</w:t>
      </w:r>
      <w:r>
        <w:rPr>
          <w:color w:val="000000"/>
          <w:spacing w:val="0"/>
          <w:w w:val="100"/>
          <w:position w:val="0"/>
        </w:rPr>
        <w:t>版</w:t>
      </w:r>
      <w:r>
        <w:rPr>
          <w:color w:val="000000"/>
          <w:spacing w:val="0"/>
          <w:w w:val="100"/>
          <w:position w:val="0"/>
          <w:sz w:val="40"/>
          <w:szCs w:val="40"/>
        </w:rPr>
        <w:t>)</w:t>
      </w:r>
      <w:r>
        <w:rPr>
          <w:color w:val="000000"/>
          <w:spacing w:val="0"/>
          <w:w w:val="100"/>
          <w:position w:val="0"/>
          <w:sz w:val="46"/>
          <w:szCs w:val="46"/>
        </w:rPr>
        <w:t xml:space="preserve">》 </w:t>
      </w:r>
      <w:r>
        <w:rPr>
          <w:color w:val="000000"/>
          <w:spacing w:val="0"/>
          <w:w w:val="100"/>
          <w:position w:val="0"/>
        </w:rPr>
        <w:t>解读</w:t>
      </w:r>
      <w:bookmarkEnd w:id="0"/>
      <w:bookmarkEnd w:id="1"/>
      <w:bookmarkEnd w:id="2"/>
    </w:p>
    <w:p>
      <w:pPr>
        <w:widowControl w:val="0"/>
        <w:spacing w:line="50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6" w:right="0" w:bottom="95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54000" distL="114300" distR="114300" simplePos="0" relativeHeight="125829378" behindDoc="0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7781290</wp:posOffset>
                </wp:positionV>
                <wp:extent cx="4090670" cy="31686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90670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基金项目：四川省区域创新合作项目(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20QYCX0100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,四川大学创新火花项目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2018SCUH0084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o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通讯作者：张雨薇，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doczhangyuwei@ sina. com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66.599999999999994pt;margin-top:612.70000000000005pt;width:322.10000000000002pt;height:24.949999999999999pt;z-index:-125829375;mso-wrap-distance-left:9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基金项目：四川省区域创新合作项目(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20QYCX0100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,四川大学创新火花项目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2018SCUH0084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o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通讯作者：张雨薇，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E-mail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doczhangyuwei@ sina. 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李春雨，牟 童，白明暄，李 杨，张雨薇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(四川大学华西医院内分泌科，四川成都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,610041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2974" w:val="left"/>
        </w:tabs>
        <w:bidi w:val="0"/>
        <w:spacing w:before="0" w:after="20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中图分类号: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R714.256</w:t>
        <w:tab/>
      </w:r>
      <w:r>
        <w:rPr>
          <w:color w:val="000000"/>
          <w:spacing w:val="0"/>
          <w:w w:val="100"/>
          <w:position w:val="0"/>
        </w:rPr>
        <w:t>文献标志码：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妊娠期甲状腺疾病一直是近年来内分泌学界和 围产医学界的热点领域之一，其对母体及胎儿神经系 统和智力发育的影响也受到广泛的关注。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2017</w:t>
      </w:r>
      <w:r>
        <w:rPr>
          <w:color w:val="000000"/>
          <w:spacing w:val="0"/>
          <w:w w:val="100"/>
          <w:position w:val="0"/>
        </w:rPr>
        <w:t>年，美 国甲状腺学会(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American Thyroid Association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ATA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颁 布《妊娠期和产后甲状腺疾病诊断和管理指南》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。 </w:t>
      </w:r>
      <w:r>
        <w:rPr>
          <w:color w:val="000000"/>
          <w:spacing w:val="0"/>
          <w:w w:val="100"/>
          <w:position w:val="0"/>
        </w:rPr>
        <w:t xml:space="preserve">在此基础上，我国中华医学会内分泌学分会、中华围 产医学分会和国家卫生健康委员会结合国内外诸多 新的研究证据，颁布了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2019</w:t>
      </w:r>
      <w:r>
        <w:rPr>
          <w:color w:val="000000"/>
          <w:spacing w:val="0"/>
          <w:w w:val="100"/>
          <w:position w:val="0"/>
        </w:rPr>
        <w:t>年《妊娠和产后甲状腺疾 病诊治指南(第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版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  <w:sz w:val="26"/>
          <w:szCs w:val="26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2</w:t>
      </w:r>
      <w:r>
        <w:rPr>
          <w:color w:val="000000"/>
          <w:spacing w:val="0"/>
          <w:w w:val="100"/>
          <w:position w:val="0"/>
        </w:rPr>
        <w:t>。现结合国内外最新研究 解读该指南中的重点内容。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妊娠早期促甲状腺激素参考范围上限变化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6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在妊娠早期，由于人绒毛膜促性腺激素浓度的增 高刺激促甲状腺激素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thyroid stimulating hormone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受体，使游离甲状腺素(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free thyroxine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FT4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轻度 增加，进而引起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水平的降低。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ATA</w:t>
      </w:r>
      <w:r>
        <w:rPr>
          <w:color w:val="000000"/>
          <w:spacing w:val="0"/>
          <w:w w:val="100"/>
          <w:position w:val="0"/>
        </w:rPr>
        <w:t>《妊娠 和产后甲状腺疾病诊治指南》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3</w:t>
      </w:r>
      <w:r>
        <w:rPr>
          <w:color w:val="000000"/>
          <w:spacing w:val="0"/>
          <w:w w:val="100"/>
          <w:position w:val="0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2012</w:t>
      </w:r>
      <w:r>
        <w:rPr>
          <w:color w:val="000000"/>
          <w:spacing w:val="0"/>
          <w:w w:val="100"/>
          <w:position w:val="0"/>
        </w:rPr>
        <w:t>年中国《妊娠 和产后甲状腺疾病诊治指南》国推荐以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2.5 mU/L</w:t>
      </w:r>
      <w:r>
        <w:rPr>
          <w:color w:val="000000"/>
          <w:spacing w:val="0"/>
          <w:w w:val="100"/>
          <w:position w:val="0"/>
        </w:rPr>
        <w:t>作 为妊娠早期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上限切点值。而近年大量研究证明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上限值明显高于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mU/L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国内一项 研究对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4800</w:t>
      </w:r>
      <w:r>
        <w:rPr>
          <w:color w:val="000000"/>
          <w:spacing w:val="0"/>
          <w:w w:val="100"/>
          <w:position w:val="0"/>
        </w:rPr>
        <w:t>例妊娠早期妇女的甲状腺功能进行筛 查,对其中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TSH&gt;2.5 mU/L</w:t>
      </w:r>
      <w:r>
        <w:rPr>
          <w:color w:val="000000"/>
          <w:spacing w:val="0"/>
          <w:w w:val="100"/>
          <w:position w:val="0"/>
        </w:rPr>
        <w:t>的妇女进行妊娠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</w:t>
      </w:r>
      <w:r>
        <w:rPr>
          <w:color w:val="000000"/>
          <w:spacing w:val="0"/>
          <w:w w:val="100"/>
          <w:position w:val="0"/>
        </w:rPr>
        <w:t xml:space="preserve">周和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30</w:t>
      </w:r>
      <w:r>
        <w:rPr>
          <w:color w:val="000000"/>
          <w:spacing w:val="0"/>
          <w:w w:val="100"/>
          <w:position w:val="0"/>
        </w:rPr>
        <w:t>周的随访，随访结果表明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</w:t>
      </w:r>
      <w:r>
        <w:rPr>
          <w:color w:val="000000"/>
          <w:spacing w:val="0"/>
          <w:w w:val="100"/>
          <w:position w:val="0"/>
        </w:rPr>
        <w:t>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30</w:t>
      </w:r>
      <w:r>
        <w:rPr>
          <w:color w:val="000000"/>
          <w:spacing w:val="0"/>
          <w:w w:val="100"/>
          <w:position w:val="0"/>
        </w:rPr>
        <w:t>周时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TSH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3.0 mU/L</w:t>
      </w:r>
      <w:r>
        <w:rPr>
          <w:color w:val="000000"/>
          <w:spacing w:val="0"/>
          <w:w w:val="100"/>
          <w:position w:val="0"/>
        </w:rPr>
        <w:t>的妇女分别只占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30.2%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24.0%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05</w:t>
      </w:r>
      <w:r>
        <w:rPr>
          <w:color w:val="000000"/>
          <w:spacing w:val="0"/>
          <w:w w:val="100"/>
          <w:position w:val="0"/>
        </w:rPr>
        <w:t>。提 示若以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mU/L</w:t>
      </w:r>
      <w:r>
        <w:rPr>
          <w:color w:val="000000"/>
          <w:spacing w:val="0"/>
          <w:w w:val="100"/>
          <w:position w:val="0"/>
        </w:rPr>
        <w:t>作为妊娠早期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上限切点值，会 导致亚临床甲状腺功能减退症(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subclinical hypothy</w:t>
        <w:softHyphen/>
        <w:t>roidism, SCH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的过度诊断。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2019</w:t>
      </w:r>
      <w:r>
        <w:rPr>
          <w:color w:val="000000"/>
          <w:spacing w:val="0"/>
          <w:w w:val="100"/>
          <w:position w:val="0"/>
        </w:rPr>
        <w:t>年新版指南纳入了 国内一项基于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11</w:t>
      </w:r>
      <w:r>
        <w:rPr>
          <w:color w:val="000000"/>
          <w:spacing w:val="0"/>
          <w:w w:val="100"/>
          <w:position w:val="0"/>
        </w:rPr>
        <w:t>个研究、涵盖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种试剂和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13046</w:t>
      </w:r>
      <w:r>
        <w:rPr>
          <w:color w:val="000000"/>
          <w:spacing w:val="0"/>
          <w:w w:val="100"/>
          <w:position w:val="0"/>
        </w:rPr>
        <w:t>例妊 娠女性的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06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分析显示妊娠早期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 比普通人群上限下降约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22%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据此计算所得数值非常 接近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4.0 mU/L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,4.0 mU/L</w:t>
      </w:r>
      <w:r>
        <w:rPr>
          <w:color w:val="000000"/>
          <w:spacing w:val="0"/>
          <w:w w:val="100"/>
          <w:position w:val="0"/>
        </w:rPr>
        <w:t>也可以作为中国妇 女妊娠早期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上限的切点值。故新版指南修改为</w:t>
      </w:r>
      <w:r>
        <w:rPr>
          <w:b/>
          <w:bCs/>
          <w:color w:val="000000"/>
          <w:spacing w:val="0"/>
          <w:w w:val="100"/>
          <w:position w:val="0"/>
        </w:rPr>
        <w:t xml:space="preserve">： </w:t>
      </w:r>
      <w:r>
        <w:rPr>
          <w:color w:val="000000"/>
          <w:spacing w:val="0"/>
          <w:w w:val="100"/>
          <w:position w:val="0"/>
        </w:rPr>
        <w:t>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上限的切点值为普通人群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参考范 围上限下降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22%</w:t>
      </w:r>
      <w:r>
        <w:rPr>
          <w:color w:val="000000"/>
          <w:spacing w:val="0"/>
          <w:w w:val="100"/>
          <w:position w:val="0"/>
        </w:rPr>
        <w:t>得到的数值或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4.0 mU/L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这一变动 是近年来国内外学者对妊娠期甲状腺正常参考值范 </w:t>
      </w:r>
      <w:r>
        <w:rPr>
          <w:color w:val="000000"/>
          <w:spacing w:val="0"/>
          <w:w w:val="100"/>
          <w:position w:val="0"/>
        </w:rPr>
        <w:t>围认识的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推进。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妊娠期甲状腺功能减退的治疗目标改变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孕妇妊娠期临床甲状腺功能减退(简称甲减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发 生率约为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0.2% ~1%</w:t>
      </w:r>
      <w:r>
        <w:rPr>
          <w:color w:val="000000"/>
          <w:spacing w:val="0"/>
          <w:w w:val="100"/>
          <w:position w:val="0"/>
        </w:rPr>
        <w:t>，甲减会增加妊娠不良结局的风 险,包括子痫前期、早产、低出生体质量儿和流产等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还可能损害婴儿神经系统功能发育，因此必须予以治 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中国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2012</w:t>
      </w:r>
      <w:r>
        <w:rPr>
          <w:color w:val="000000"/>
          <w:spacing w:val="0"/>
          <w:w w:val="100"/>
          <w:position w:val="0"/>
        </w:rPr>
        <w:t>版指南推荐妊娠期甲减治疗目标是 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mU/L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妊娠中期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 xml:space="preserve">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0.2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3.0 mU/L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 xml:space="preserve">妊娠晚期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TSH </w:t>
      </w:r>
      <w:r>
        <w:rPr>
          <w:color w:val="000000"/>
          <w:spacing w:val="0"/>
          <w:w w:val="100"/>
          <w:position w:val="0"/>
        </w:rPr>
        <w:t xml:space="preserve">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0.3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3.0 mU/L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对 此,新版指南修改为：将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控制在妊娠期特异性参 考范围的下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1/2</w:t>
      </w:r>
      <w:r>
        <w:rPr>
          <w:b/>
          <w:b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如无法获得妊娠期特异性参考范围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则可控制血清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2.5 mU/L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以下。</w:t>
      </w:r>
      <w:r>
        <w:rPr>
          <w:color w:val="000000"/>
          <w:spacing w:val="0"/>
          <w:w w:val="100"/>
          <w:position w:val="0"/>
        </w:rPr>
        <w:t>由于妊娠期甲 减对妊娠结局及新生儿均会产生不良影响，应及时在 妊娠早期对孕妇进行常规甲状腺筛查，早期诊断有利 于积极控制病情，改善妊娠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结局。</w:t>
      </w:r>
      <w:r>
        <w:rPr>
          <w:color w:val="000000"/>
          <w:spacing w:val="0"/>
          <w:w w:val="100"/>
          <w:position w:val="0"/>
        </w:rPr>
        <w:t>目前临床首选左旋 甲状腺素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levothyroxine, L-T4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治疗妊娠期甲减，它能 有效调节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水平，达到指南要求的治疗目标，且副 反应较小。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的治疗策略分层细化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大量病例对照及回顾性研究结果表明妊娠期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SCH </w:t>
      </w:r>
      <w:r>
        <w:rPr>
          <w:color w:val="000000"/>
          <w:spacing w:val="0"/>
          <w:w w:val="100"/>
          <w:position w:val="0"/>
        </w:rPr>
        <w:t>可导致早产、流产、妊娠期糖尿病等不良妊娠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结局。</w:t>
      </w:r>
      <w:r>
        <w:rPr>
          <w:color w:val="000000"/>
          <w:spacing w:val="0"/>
          <w:w w:val="100"/>
          <w:position w:val="0"/>
        </w:rPr>
        <w:t>近 年来,妊娠期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是否需要干预治疗引起医学界的广 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关注。</w:t>
      </w:r>
      <w:r>
        <w:rPr>
          <w:color w:val="000000"/>
          <w:spacing w:val="0"/>
          <w:w w:val="100"/>
          <w:position w:val="0"/>
        </w:rPr>
        <w:t>美国一项研究纳入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5405</w:t>
      </w:r>
      <w:r>
        <w:rPr>
          <w:color w:val="000000"/>
          <w:spacing w:val="0"/>
          <w:w w:val="100"/>
          <w:position w:val="0"/>
        </w:rPr>
        <w:t>例妊娠期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患者</w:t>
      </w:r>
      <w:r>
        <w:rPr>
          <w:b/>
          <w:bCs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研究甲状腺激素治疗对孕妇及胎儿的影响，结果提示与 未接受治疗的患者相比,妊娠期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患者接受甲状腺 激素治疗可降低流产、死产风险，但增加早产、妊娠糖尿 病和先兆子痫的风险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而妊娠期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的干预治疗能 否改善后代智力是该研究领域的热点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问题。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CATS</w:t>
      </w:r>
      <w:r>
        <w:rPr>
          <w:color w:val="000000"/>
          <w:spacing w:val="0"/>
          <w:w w:val="100"/>
          <w:position w:val="0"/>
        </w:rPr>
        <w:t>研 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09</w:t>
      </w:r>
      <w:r>
        <w:rPr>
          <w:color w:val="000000"/>
          <w:spacing w:val="0"/>
          <w:w w:val="100"/>
          <w:position w:val="0"/>
        </w:rPr>
        <w:t>结果显示:对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或低甲状腺素血症的妊娠妇女</w:t>
      </w:r>
      <w:r>
        <w:rPr>
          <w:b/>
          <w:bCs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在妊娠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13</w:t>
      </w:r>
      <w:r>
        <w:rPr>
          <w:color w:val="000000"/>
          <w:spacing w:val="0"/>
          <w:w w:val="100"/>
          <w:position w:val="0"/>
        </w:rPr>
        <w:t>周启动筛查与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干预对于后代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岁时的 智力并无改善</w:t>
      </w:r>
      <w:r>
        <w:rPr>
          <w:b/>
          <w:bCs/>
          <w:color w:val="000000"/>
          <w:spacing w:val="0"/>
          <w:w w:val="100"/>
          <w:position w:val="0"/>
        </w:rPr>
        <w:t>;</w:t>
      </w:r>
      <w:r>
        <w:rPr>
          <w:color w:val="000000"/>
          <w:spacing w:val="0"/>
          <w:w w:val="100"/>
          <w:position w:val="0"/>
        </w:rPr>
        <w:t>另外，美国的一项研究也表明，妊娠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17 </w:t>
      </w:r>
      <w:r>
        <w:rPr>
          <w:color w:val="000000"/>
          <w:spacing w:val="0"/>
          <w:w w:val="100"/>
          <w:position w:val="0"/>
        </w:rPr>
        <w:t>周接受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治疗干预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和低甲状腺素血症未能改 善后代智力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010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 xml:space="preserve">然而这两项研究的阴性结果是否与其 </w:t>
      </w:r>
      <w:r>
        <w:rPr>
          <w:color w:val="000000"/>
          <w:spacing w:val="0"/>
          <w:w w:val="100"/>
          <w:position w:val="0"/>
        </w:rPr>
        <w:t>干预时间较晚有关,仍值得探讨。一项关于妊娠期母体 甲状腺功能与儿童脑形态的前瞻性队列研究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11</w:t>
      </w:r>
      <w:r>
        <w:rPr>
          <w:color w:val="000000"/>
          <w:spacing w:val="0"/>
          <w:w w:val="100"/>
          <w:position w:val="0"/>
        </w:rPr>
        <w:t>表明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母体甲状腺功能与后代神经发育的相关性从妊娠早期 开始逐渐减弱</w:t>
      </w:r>
      <w:r>
        <w:rPr>
          <w:b/>
          <w:b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即妊娠早期是胎儿受母体甲状腺功能影 响最大的时期。研究结果提示，未来的研究宜纳入妊娠 早期的研究对象，且最好根据母亲采血时的孕周进行分 层分析。在妊娠期间服用左甲状腺素钠片是相对安全 的，到目前为止，国内外暂无报道表明该药品会产生致 畸等危害，若将妊娠早期孕妇纳为研究对象，需严密监 测其甲状腺功能及胎儿情况。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关于妊娠期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患者的治疗策略，新版指南进一 步分层细化。由于妊娠早期甲状腺过氧化物酶抗体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thyroid peroxidase antibody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/</w:t>
      </w:r>
      <w:r>
        <w:rPr>
          <w:color w:val="000000"/>
          <w:spacing w:val="0"/>
          <w:w w:val="100"/>
          <w:position w:val="0"/>
        </w:rPr>
        <w:t>抗甲状腺球蛋 白抗体（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antithyroglobulin antibody, TgAb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阳性显著增 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流产发生风险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因此治疗妊娠期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时必 须考虑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 xml:space="preserve">是否阳性。伊朗的一项研究表明若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2.5 mU/L&lt;TSH &lt;4.0 mU/L, TPOAb </w:t>
      </w:r>
      <w:r>
        <w:rPr>
          <w:color w:val="000000"/>
          <w:spacing w:val="0"/>
          <w:w w:val="100"/>
          <w:position w:val="0"/>
        </w:rPr>
        <w:t xml:space="preserve">阴性的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SCH </w:t>
      </w:r>
      <w:r>
        <w:rPr>
          <w:color w:val="000000"/>
          <w:spacing w:val="0"/>
          <w:w w:val="100"/>
          <w:position w:val="0"/>
        </w:rPr>
        <w:t>患 者在整个妊娠过程接受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治疗与未接受治疗组相 比，在早产方面没有显著差异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 =0.61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回。然而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 &gt;4.0 mU/L</w:t>
      </w:r>
      <w:r>
        <w:rPr>
          <w:color w:val="000000"/>
          <w:spacing w:val="0"/>
          <w:w w:val="100"/>
          <w:position w:val="0"/>
        </w:rPr>
        <w:t xml:space="preserve">时，与未接受治疗的妇女相比，接受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治疗的妇女的早产率明显较低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 =0.04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新 版指南推荐根据血清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水平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.TPOAb</w:t>
      </w:r>
      <w:r>
        <w:rPr>
          <w:color w:val="000000"/>
          <w:spacing w:val="0"/>
          <w:w w:val="100"/>
          <w:position w:val="0"/>
        </w:rPr>
        <w:t>是否阳性选择 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的不同治疗方案。若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TSH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&gt;</w:t>
      </w:r>
      <w:r>
        <w:rPr>
          <w:color w:val="000000"/>
          <w:spacing w:val="0"/>
          <w:w w:val="100"/>
          <w:position w:val="0"/>
        </w:rPr>
        <w:t>妊娠期特异 性参考范围上限（或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4.0 mU/L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b/>
          <w:b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无论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是否阳 性,均推荐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</w:t>
      </w:r>
      <w:r>
        <w:rPr>
          <w:b/>
          <w:bCs/>
          <w:color w:val="000000"/>
          <w:spacing w:val="0"/>
          <w:w w:val="100"/>
          <w:position w:val="0"/>
        </w:rPr>
        <w:t>;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 &gt;2.5 mU/L</w:t>
      </w:r>
      <w:r>
        <w:rPr>
          <w:color w:val="000000"/>
          <w:spacing w:val="0"/>
          <w:w w:val="100"/>
          <w:position w:val="0"/>
        </w:rPr>
        <w:t>且低于妊娠 特异性参考范围上限（或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4.0 mU/L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，伴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 性，考虑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治疗;若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 &gt;2.5 mU/L</w:t>
      </w:r>
      <w:r>
        <w:rPr>
          <w:color w:val="000000"/>
          <w:spacing w:val="0"/>
          <w:w w:val="100"/>
          <w:position w:val="0"/>
        </w:rPr>
        <w:t>且低于妊娠特 异性参考范围上限（或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4.0 mU/L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阴性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不推荐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</w:t>
      </w:r>
      <w:r>
        <w:rPr>
          <w:b/>
          <w:bCs/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 &lt;2.5 mU/L</w:t>
      </w:r>
      <w:r>
        <w:rPr>
          <w:color w:val="000000"/>
          <w:spacing w:val="0"/>
          <w:w w:val="100"/>
          <w:position w:val="0"/>
        </w:rPr>
        <w:t>且高于妊娠特 异性参考范围下限（或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mU/L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，不推荐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 疗，伴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阳性时，需要监测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反之无需监测。 检测血清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对妊娠期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的诊断、鉴别诊 断以及治疗方案的确定均有重要的临床意义。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妊娠期单纯低甲状腺素血症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3" w:lineRule="exact"/>
        <w:ind w:left="0" w:right="0" w:firstLine="4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妊娠期单纯低甲状腺素血症病因暂时不明，可能 与碘缺乏或碘过量有关。一项在碘充足地区的调查 发现，妊娠早期碘过量会增加低甲状腺素血症的患病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风险诃</w:t>
      </w:r>
      <w:r>
        <w:rPr>
          <w:color w:val="000000"/>
          <w:spacing w:val="0"/>
          <w:w w:val="100"/>
          <w:position w:val="0"/>
          <w:sz w:val="20"/>
          <w:szCs w:val="20"/>
        </w:rPr>
        <w:t>。另一项研究结果提示：备孕期和妊娠早期 铁缺乏将显著降低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FT4</w:t>
      </w:r>
      <w:r>
        <w:rPr>
          <w:color w:val="000000"/>
          <w:spacing w:val="0"/>
          <w:w w:val="100"/>
          <w:position w:val="0"/>
          <w:sz w:val="20"/>
          <w:szCs w:val="20"/>
        </w:rPr>
        <w:t>的水平，导致低甲状腺素血症 患病率增加约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</w:rPr>
        <w:t>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20"/>
          <w:szCs w:val="20"/>
        </w:rPr>
        <w:t>。目前妊娠期低甲状腺素血症 是否与妊娠不良结局相关，是否对胎儿神经及智力发 育存在危害仍未可知。关于妊娠期低甲状腺素血症 是否需要治疗，目前证据不足，国际指南观点不一，但 仍以不推荐治疗为主。新版指南沿用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2012</w:t>
      </w:r>
      <w:r>
        <w:rPr>
          <w:color w:val="000000"/>
          <w:spacing w:val="0"/>
          <w:w w:val="100"/>
          <w:position w:val="0"/>
          <w:sz w:val="20"/>
          <w:szCs w:val="20"/>
        </w:rPr>
        <w:t>版指南意 见,既不推荐也不反对在妊娠早期给予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治疗，同 </w:t>
      </w:r>
      <w:r>
        <w:rPr>
          <w:color w:val="000000"/>
          <w:spacing w:val="0"/>
          <w:w w:val="100"/>
          <w:position w:val="0"/>
          <w:sz w:val="20"/>
          <w:szCs w:val="20"/>
        </w:rPr>
        <w:t>时建议查找低甲状腺素血症的原因（如铁缺乏、碘缺 乏或碘过量等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）</w:t>
      </w:r>
      <w:r>
        <w:rPr>
          <w:color w:val="000000"/>
          <w:spacing w:val="0"/>
          <w:w w:val="100"/>
          <w:position w:val="0"/>
          <w:sz w:val="26"/>
          <w:szCs w:val="26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妊娠期甲状腺自身抗体阳性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目前,对于妊娠期单纯甲状腺自身抗体阳性患者 干预治疗的相关研究甚少。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Negro</w:t>
      </w:r>
      <w:r>
        <w:rPr>
          <w:color w:val="000000"/>
          <w:spacing w:val="0"/>
          <w:w w:val="100"/>
          <w:position w:val="0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16</w:t>
      </w:r>
      <w:r>
        <w:rPr>
          <w:color w:val="000000"/>
          <w:spacing w:val="0"/>
          <w:w w:val="100"/>
          <w:position w:val="0"/>
        </w:rPr>
        <w:t>证实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 疗妊娠期单纯甲状腺自身抗体阳性妇女后早产率及 流产率均显著低于非治疗组。但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2019</w:t>
      </w:r>
      <w:r>
        <w:rPr>
          <w:color w:val="000000"/>
          <w:spacing w:val="0"/>
          <w:w w:val="100"/>
          <w:position w:val="0"/>
        </w:rPr>
        <w:t>年一项研究表 明单纯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阳性的孕妇接受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治疗并没有比非 治疗组更高的活产率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17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2012</w:t>
      </w:r>
      <w:r>
        <w:rPr>
          <w:color w:val="000000"/>
          <w:spacing w:val="0"/>
          <w:w w:val="100"/>
          <w:position w:val="0"/>
        </w:rPr>
        <w:t>版指南中不推荐也不 反对给予干预治疗。新版指南则推荐对单纯甲状腺 自身抗体阳性且有不明原因流产史的妊娠妇女予小 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目前，国内外关于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阳性的孕妇是否接受补 硒治疗证据不足。有研究显示给予单纯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 的妊娠妇女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jig/d</w:t>
      </w:r>
      <w:r>
        <w:rPr>
          <w:color w:val="000000"/>
          <w:spacing w:val="0"/>
          <w:w w:val="100"/>
          <w:position w:val="0"/>
        </w:rPr>
        <w:t>硒治疗（妊娠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12</w:t>
      </w:r>
      <w:r>
        <w:rPr>
          <w:color w:val="000000"/>
          <w:spacing w:val="0"/>
          <w:w w:val="100"/>
          <w:position w:val="0"/>
        </w:rPr>
        <w:t>周至产后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12 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）,</w:t>
      </w:r>
      <w:r>
        <w:rPr>
          <w:color w:val="000000"/>
          <w:spacing w:val="0"/>
          <w:w w:val="100"/>
          <w:position w:val="0"/>
        </w:rPr>
        <w:t>与安慰剂组相比，可降低妊娠期间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浓度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同时减少产后甲状腺功能异常和永久性甲减的发生 率面。然而，英国的一项临床试验发现：与安慰剂组 相比,单纯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阳性的孕妇（轻、中度缺碘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 xml:space="preserve">接受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ig/d</w:t>
      </w:r>
      <w:r>
        <w:rPr>
          <w:color w:val="000000"/>
          <w:spacing w:val="0"/>
          <w:w w:val="100"/>
          <w:position w:val="0"/>
        </w:rPr>
        <w:t>的硒治疗（妊娠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12</w:t>
      </w:r>
      <w:r>
        <w:rPr>
          <w:color w:val="000000"/>
          <w:spacing w:val="0"/>
          <w:w w:val="100"/>
          <w:position w:val="0"/>
        </w:rPr>
        <w:t>周至分娩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 xml:space="preserve">，并未影响其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的浓度或阳性率，且长期硒治疗可能增加患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2 </w:t>
      </w:r>
      <w:r>
        <w:rPr>
          <w:color w:val="000000"/>
          <w:spacing w:val="0"/>
          <w:w w:val="100"/>
          <w:position w:val="0"/>
        </w:rPr>
        <w:t>型糖尿病的风险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凹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现有研究缺乏硒制剂降低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</w:t>
        <w:softHyphen/>
        <w:t xml:space="preserve">Ab </w:t>
      </w:r>
      <w:r>
        <w:rPr>
          <w:color w:val="000000"/>
          <w:spacing w:val="0"/>
          <w:w w:val="100"/>
          <w:position w:val="0"/>
        </w:rPr>
        <w:t>浓度的持续时间、量效关系的证明，且其副反应有 待进一步考量。因此，新版指南不推荐妊娠期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TPOAb </w:t>
      </w:r>
      <w:r>
        <w:rPr>
          <w:color w:val="000000"/>
          <w:spacing w:val="0"/>
          <w:w w:val="100"/>
          <w:position w:val="0"/>
        </w:rPr>
        <w:t>阳性的妇女接受补硒治疗。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6</w:t>
      </w:r>
      <w:r>
        <w:rPr>
          <w:color w:val="000000"/>
          <w:spacing w:val="0"/>
          <w:w w:val="100"/>
          <w:position w:val="0"/>
        </w:rPr>
        <w:t>妊娠期甲状腺毒症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韩国一项研究纳入了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2886970</w:t>
      </w:r>
      <w:r>
        <w:rPr>
          <w:color w:val="000000"/>
          <w:spacing w:val="0"/>
          <w:w w:val="100"/>
          <w:position w:val="0"/>
        </w:rPr>
        <w:t>例妊娠妇女，研究 抗甲状腺药物（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antithyroid drug, ATD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与新生儿先天性 畸形的关系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结果表明，接受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ATD</w:t>
      </w:r>
      <w:r>
        <w:rPr>
          <w:color w:val="000000"/>
          <w:spacing w:val="0"/>
          <w:w w:val="100"/>
          <w:position w:val="0"/>
        </w:rPr>
        <w:t>治疗（妊娠早 期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的孕妇子代畸形患病率为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7.27%</w:t>
      </w:r>
      <w:r>
        <w:rPr>
          <w:color w:val="000000"/>
          <w:spacing w:val="0"/>
          <w:w w:val="100"/>
          <w:position w:val="0"/>
        </w:rPr>
        <w:t>，而未使用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ATD </w:t>
      </w:r>
      <w:r>
        <w:rPr>
          <w:color w:val="000000"/>
          <w:spacing w:val="0"/>
          <w:w w:val="100"/>
          <w:position w:val="0"/>
        </w:rPr>
        <w:t>的孕妇子代畸形患病率为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94% （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&lt;0.001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26"/>
          <w:szCs w:val="26"/>
        </w:rPr>
        <w:t>。</w:t>
      </w:r>
      <w:r>
        <w:rPr>
          <w:color w:val="000000"/>
          <w:spacing w:val="0"/>
          <w:w w:val="100"/>
          <w:position w:val="0"/>
        </w:rPr>
        <w:t>同时</w:t>
      </w:r>
      <w:r>
        <w:rPr>
          <w:b/>
          <w:b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在甲硫咪唑（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methimazole, MM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I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 xml:space="preserve">治疗组中，与低剂量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（1 ~ 126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mg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相比,妊娠早期的高累积剂量</w:t>
      </w:r>
      <w:r>
        <w:rPr>
          <w:color w:val="000000"/>
          <w:spacing w:val="0"/>
          <w:w w:val="100"/>
          <w:position w:val="0"/>
          <w:sz w:val="19"/>
          <w:szCs w:val="19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&gt;495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mg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增加了先天性畸形的风险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研究表明妊娠早期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ATD </w:t>
      </w:r>
      <w:r>
        <w:rPr>
          <w:color w:val="000000"/>
          <w:spacing w:val="0"/>
          <w:w w:val="100"/>
          <w:position w:val="0"/>
        </w:rPr>
        <w:t>治疗可增加新生儿先天性畸形风险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特别是对于接受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MMI</w:t>
      </w:r>
      <w:r>
        <w:rPr>
          <w:color w:val="000000"/>
          <w:spacing w:val="0"/>
          <w:w w:val="100"/>
          <w:position w:val="0"/>
        </w:rPr>
        <w:t>治疗或曾接受两种抗甲状腺药物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MMI</w:t>
      </w:r>
      <w:r>
        <w:rPr>
          <w:color w:val="000000"/>
          <w:spacing w:val="0"/>
          <w:w w:val="100"/>
          <w:position w:val="0"/>
        </w:rPr>
        <w:t>和丙硫氧 嘧啶（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propylthiouracil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）］</w:t>
      </w:r>
      <w:r>
        <w:rPr>
          <w:color w:val="000000"/>
          <w:spacing w:val="0"/>
          <w:w w:val="100"/>
          <w:position w:val="0"/>
        </w:rPr>
        <w:t>治疗的孕妇。有研究发 现，妊娠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6~10</w:t>
      </w:r>
      <w:r>
        <w:rPr>
          <w:color w:val="000000"/>
          <w:spacing w:val="0"/>
          <w:w w:val="100"/>
          <w:position w:val="0"/>
        </w:rPr>
        <w:t>周是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ATD</w:t>
      </w:r>
      <w:r>
        <w:rPr>
          <w:color w:val="000000"/>
          <w:spacing w:val="0"/>
          <w:w w:val="100"/>
          <w:position w:val="0"/>
        </w:rPr>
        <w:t>致后代出生缺陷的危险窗口 期處。因此，新版指南建议正在接受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ATD</w:t>
      </w:r>
      <w:r>
        <w:rPr>
          <w:color w:val="000000"/>
          <w:spacing w:val="0"/>
          <w:w w:val="100"/>
          <w:position w:val="0"/>
        </w:rPr>
        <w:t xml:space="preserve">治疗的妇 女一旦确定妊娠,立即检测甲状腺功能和促甲状腺素 受体抗体，并在妊娠早期密切监测甲状腺功能。根据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FT4</w:t>
      </w:r>
      <w:r>
        <w:rPr>
          <w:color w:val="000000"/>
          <w:spacing w:val="0"/>
          <w:w w:val="100"/>
          <w:position w:val="0"/>
        </w:rPr>
        <w:t xml:space="preserve">和三碘甲状腺原氨酸水平，决定是否继续应用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ATD</w:t>
      </w:r>
      <w:r>
        <w:rPr>
          <w:color w:val="000000"/>
          <w:spacing w:val="0"/>
          <w:w w:val="100"/>
          <w:position w:val="0"/>
        </w:rPr>
        <w:t>治疗，尽量在致畸关键期（妊娠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6 ~10</w:t>
      </w:r>
      <w:r>
        <w:rPr>
          <w:color w:val="000000"/>
          <w:spacing w:val="0"/>
          <w:w w:val="100"/>
          <w:position w:val="0"/>
        </w:rPr>
        <w:t>周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之前 停药。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研究发现备孕期及妊娠早期应用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color w:val="000000"/>
          <w:spacing w:val="0"/>
          <w:w w:val="100"/>
          <w:position w:val="0"/>
        </w:rPr>
        <w:t xml:space="preserve">导致子代 </w:t>
      </w:r>
      <w:r>
        <w:rPr>
          <w:color w:val="000000"/>
          <w:spacing w:val="0"/>
          <w:w w:val="100"/>
          <w:position w:val="0"/>
        </w:rPr>
        <w:t>出生缺陷率低于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I,</w:t>
      </w:r>
      <w:r>
        <w:rPr>
          <w:color w:val="000000"/>
          <w:spacing w:val="0"/>
          <w:w w:val="100"/>
          <w:position w:val="0"/>
        </w:rPr>
        <w:t>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8.0%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1%</w:t>
      </w:r>
      <w:r>
        <w:rPr>
          <w:color w:val="000000"/>
          <w:spacing w:val="0"/>
          <w:w w:val="100"/>
          <w:position w:val="0"/>
        </w:rPr>
        <w:t>以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因 此，既往应用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MMI</w:t>
      </w:r>
      <w:r>
        <w:rPr>
          <w:color w:val="000000"/>
          <w:spacing w:val="0"/>
          <w:w w:val="100"/>
          <w:position w:val="0"/>
        </w:rPr>
        <w:t>的甲状腺功能亢进妇女妊娠后若继 续用药应转换为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且妊娠早期甲状腺功能亢进妇 女用药首选为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关于妊娠中晚期用药建议，新版 指南对于妊娠中晚期是否将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color w:val="000000"/>
          <w:spacing w:val="0"/>
          <w:w w:val="100"/>
          <w:position w:val="0"/>
        </w:rPr>
        <w:t>改换为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MMI</w:t>
      </w:r>
      <w:r>
        <w:rPr>
          <w:color w:val="000000"/>
          <w:spacing w:val="0"/>
          <w:w w:val="100"/>
          <w:position w:val="0"/>
        </w:rPr>
        <w:t>没有明 确推荐，但建议仅在妊娠早期使用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PTU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以减少造成 肝脏损伤的概率。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7</w:t>
      </w:r>
      <w:r>
        <w:rPr>
          <w:color w:val="000000"/>
          <w:spacing w:val="0"/>
          <w:w w:val="100"/>
          <w:position w:val="0"/>
        </w:rPr>
        <w:t>妊娠期碘营养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妊娠期间，甲状腺激素的分泌、肾脏碘排泄、胎儿 碘需求均会增加。因此，妊娠妇女的碘需要量显著高 于非妊娠妇女。新版指南推荐备孕、妊娠和哺乳期妇 女每天要保证至少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250</w:t>
      </w:r>
      <w:r>
        <w:rPr>
          <w:color w:val="000000"/>
          <w:spacing w:val="0"/>
          <w:w w:val="100"/>
          <w:position w:val="0"/>
        </w:rPr>
        <w:t xml:space="preserve">峪的碘摄入量，但不宜超过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500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g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否则有导致胎儿甲减的危险。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碘最主要的来源是食盐，普通人群从食物中摄取 的碘是有限的。中国人每天摄入约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食盐,其中含 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p,g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可满足妊娠期间的碘需要量；如果不 食用含碘盐，妊娠期每天需要以碘化钾的形式额外补 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150</w:t>
      </w:r>
      <w:r>
        <w:rPr>
          <w:color w:val="000000"/>
          <w:spacing w:val="0"/>
          <w:w w:val="100"/>
          <w:position w:val="0"/>
        </w:rPr>
        <w:t>峪，或者补充含相同剂量碘化钾的复合维 生素。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3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新版指南新增关于妊娠期碘营养的评估。国内 一项研究通过评估妊娠期碘营养的动态变化，发现尿 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/</w:t>
      </w:r>
      <w:r>
        <w:rPr>
          <w:color w:val="000000"/>
          <w:spacing w:val="0"/>
          <w:w w:val="100"/>
          <w:position w:val="0"/>
        </w:rPr>
        <w:t>尿肌酐比值和血清无机碘均是良好的评估指 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</w:rPr>
        <w:t>23</w:t>
      </w:r>
      <w:r>
        <w:rPr>
          <w:color w:val="000000"/>
          <w:spacing w:val="0"/>
          <w:w w:val="100"/>
          <w:position w:val="0"/>
        </w:rPr>
        <w:t>。而应用单次尿碘评估妊娠期碘营养有其局限 性</w:t>
      </w:r>
      <w:r>
        <w:rPr>
          <w:b/>
          <w:bCs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其变化受到地区碘营养状态、尿碘清除率、采样时 间点的影响。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ATA</w:t>
      </w:r>
      <w:r>
        <w:rPr>
          <w:color w:val="000000"/>
          <w:spacing w:val="0"/>
          <w:w w:val="100"/>
          <w:position w:val="0"/>
        </w:rPr>
        <w:t>指南推荐尿碘浓度中位值 为评估指标而非单次尿碘浓度，我国新版指南也指出 评估妊娠妇女碘营养时，单次尿碘与尿肌酐的比值优 于单次尿碘浓度。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8</w:t>
      </w:r>
      <w:r>
        <w:rPr>
          <w:color w:val="000000"/>
          <w:spacing w:val="0"/>
          <w:w w:val="100"/>
          <w:position w:val="0"/>
        </w:rPr>
        <w:t>妊娠期甲状腺结节和甲状腺癌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妊娠早期行甲状腺切除术可能导致流产和胎儿器 官发育受损，妊娠晚期行手术会增加早产的风险,因此</w:t>
      </w:r>
      <w:r>
        <w:rPr>
          <w:b/>
          <w:bCs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妊娠中期的甲状腺切除术对母亲和胎儿的风险最低。 但是，如果在妊娠期间进行手术，则应考虑到术后产妇 甲减和潜在的甲状旁腺功能减退的风险。对此,新版指 南增加超声监测频率和推迟手术的适应证:妊娠早期发 现的乳头状甲状腺癌应该进行超声监测，每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 xml:space="preserve">个月复查 甲状腺超声，监测肿瘤的增长速度。如果妊娠中期结节 仍然保持稳定，或者是在妊娠后半期发现的结节，手术 或许可以推迟到产后。指南还修改了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抑制目标: 对暂不手术的妊娠期分化型甲状腺癌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,2017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ATA</w:t>
      </w:r>
      <w:r>
        <w:rPr>
          <w:color w:val="000000"/>
          <w:spacing w:val="0"/>
          <w:w w:val="100"/>
          <w:position w:val="0"/>
        </w:rPr>
        <w:t>指 南及我国新版指南则修改为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 &gt;2.0 mU/L</w:t>
      </w:r>
      <w:r>
        <w:rPr>
          <w:color w:val="000000"/>
          <w:spacing w:val="0"/>
          <w:w w:val="100"/>
          <w:position w:val="0"/>
        </w:rPr>
        <w:t xml:space="preserve">时，考虑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治疗，控制血清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TSH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0.3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~2.0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mU/L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9</w:t>
      </w:r>
      <w:r>
        <w:rPr>
          <w:color w:val="000000"/>
          <w:spacing w:val="0"/>
          <w:w w:val="100"/>
          <w:position w:val="0"/>
        </w:rPr>
        <w:t>不孕与辅助生殖和甲状腺疾病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印度的一项研究纳入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394</w:t>
      </w:r>
      <w:r>
        <w:rPr>
          <w:color w:val="000000"/>
          <w:spacing w:val="0"/>
          <w:w w:val="100"/>
          <w:position w:val="0"/>
        </w:rPr>
        <w:t xml:space="preserve">例不孕患者，其中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23.9%</w:t>
      </w:r>
      <w:r>
        <w:rPr>
          <w:color w:val="000000"/>
          <w:spacing w:val="0"/>
          <w:w w:val="100"/>
          <w:position w:val="0"/>
        </w:rPr>
        <w:t>为甲减(临床甲减或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,76%</w:t>
      </w:r>
      <w:r>
        <w:rPr>
          <w:color w:val="000000"/>
          <w:spacing w:val="0"/>
          <w:w w:val="100"/>
          <w:position w:val="0"/>
        </w:rPr>
        <w:t>的甲减患 者在治疗后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 xml:space="preserve">年内成功自然妊娠西。同时，应用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能够防止妊娠后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向临床甲减的发展，而且 低剂量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治疗风险较低。因此新版指南推荐对患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的不孕症的备孕妇女给予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 xml:space="preserve">治疗，起始剂 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25 ~50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pig/d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一项开放性随机临床试验表明，在甲状腺功能正 常、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阳性且正在接受体外受精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-</w:t>
      </w:r>
      <w:r>
        <w:rPr>
          <w:color w:val="000000"/>
          <w:spacing w:val="0"/>
          <w:w w:val="100"/>
          <w:position w:val="0"/>
        </w:rPr>
        <w:t>胚胎移植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in vitro fertilization -embryo transfer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IVF-ET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的中国女性 中，使用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治疗与不接受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 xml:space="preserve">治疗相比，并未降低 流产率或增加活产率處。对于甲状腺功能正常、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阳性进行辅助生殖的不孕妇女，新版指南指出 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改善辅助生殖结局的证据不足，但若其有 流产史，则应选择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L-T4</w:t>
      </w:r>
      <w:r>
        <w:rPr>
          <w:color w:val="000000"/>
          <w:spacing w:val="0"/>
          <w:w w:val="100"/>
          <w:position w:val="0"/>
        </w:rPr>
        <w:t>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</w:rPr>
        <w:t>10</w:t>
      </w:r>
      <w:r>
        <w:rPr>
          <w:color w:val="000000"/>
          <w:spacing w:val="0"/>
          <w:w w:val="100"/>
          <w:position w:val="0"/>
        </w:rPr>
        <w:t>结语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0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妊娠期及产后甲状腺疾病的发病率不断增加，我 们对其认识也在逐步深入。随着我国在妊娠和产后 甲状腺疾病诊治方面的循征医学证据的增多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sz w:val="26"/>
          <w:szCs w:val="26"/>
        </w:rPr>
        <w:t>《</w:t>
      </w:r>
      <w:r>
        <w:rPr>
          <w:color w:val="000000"/>
          <w:spacing w:val="0"/>
          <w:w w:val="100"/>
          <w:position w:val="0"/>
        </w:rPr>
        <w:t>妊娠 和产后甲状腺疾病诊治指南》将会进一步修改完善。 指南的推广应用，会对我国妊娠和产后甲状腺疾病的 规范化诊断和治疗起到指导和推动作用。对于妊娠 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SCH</w:t>
      </w:r>
      <w:r>
        <w:rPr>
          <w:color w:val="000000"/>
          <w:spacing w:val="0"/>
          <w:w w:val="100"/>
          <w:position w:val="0"/>
        </w:rPr>
        <w:t>的干预治疗能否改善后代智力、妊娠期低甲状 腺素血症是否治疗&gt;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TPOAb</w:t>
      </w:r>
      <w:r>
        <w:rPr>
          <w:color w:val="000000"/>
          <w:spacing w:val="0"/>
          <w:w w:val="100"/>
          <w:position w:val="0"/>
        </w:rPr>
        <w:t>阳性妇女是否需要补硒治 疗等问题，也亟待更多高质量的医学研究证据。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317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Alexander EK, Pearce EN, Brent GA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2017 Guidelines of the A</w:t>
        <w:softHyphen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merican thyroid association for thediagnosis and management of thy</w:t>
        <w:softHyphen/>
        <w:t>roid disease during pregnancy and the postpartum J . Thyroid, 2017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27(3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315 -389.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right="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5"/>
          <w:szCs w:val="15"/>
        </w:rPr>
        <w:t>中华医学会内分泌学分会</w:t>
      </w:r>
      <w:r>
        <w:rPr>
          <w:color w:val="000000"/>
          <w:spacing w:val="0"/>
          <w:w w:val="100"/>
          <w:position w:val="0"/>
          <w:sz w:val="12"/>
          <w:szCs w:val="12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妊娠和产后甲状腺疾病诊治指南(第 </w:t>
      </w:r>
      <w:r>
        <w:rPr>
          <w:color w:val="000000"/>
          <w:spacing w:val="0"/>
          <w:w w:val="100"/>
          <w:position w:val="0"/>
          <w:sz w:val="12"/>
          <w:szCs w:val="12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</w:rPr>
        <w:t>版)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</w:rPr>
        <w:t>中华内分泌代谢杂志,</w:t>
      </w:r>
      <w:r>
        <w:rPr>
          <w:color w:val="000000"/>
          <w:spacing w:val="0"/>
          <w:w w:val="100"/>
          <w:position w:val="0"/>
          <w:sz w:val="12"/>
          <w:szCs w:val="12"/>
        </w:rPr>
        <w:t>019</w:t>
      </w:r>
      <w:r>
        <w:rPr>
          <w:color w:val="000000"/>
          <w:spacing w:val="0"/>
          <w:w w:val="100"/>
          <w:position w:val="0"/>
          <w:sz w:val="15"/>
          <w:szCs w:val="15"/>
        </w:rPr>
        <w:t>,</w:t>
      </w:r>
      <w:r>
        <w:rPr>
          <w:color w:val="000000"/>
          <w:spacing w:val="0"/>
          <w:w w:val="100"/>
          <w:position w:val="0"/>
          <w:sz w:val="12"/>
          <w:szCs w:val="12"/>
        </w:rPr>
        <w:t>5(8</w:t>
      </w:r>
      <w:r>
        <w:rPr>
          <w:color w:val="000000"/>
          <w:spacing w:val="0"/>
          <w:w w:val="100"/>
          <w:position w:val="0"/>
          <w:sz w:val="15"/>
          <w:szCs w:val="15"/>
        </w:rPr>
        <w:t>)</w:t>
      </w:r>
      <w:r>
        <w:rPr>
          <w:color w:val="000000"/>
          <w:spacing w:val="0"/>
          <w:w w:val="100"/>
          <w:position w:val="0"/>
          <w:sz w:val="12"/>
          <w:szCs w:val="12"/>
        </w:rPr>
        <w:t>: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636 -665.</w:t>
      </w:r>
    </w:p>
    <w:p>
      <w:pPr>
        <w:pStyle w:val="Style1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264" w:lineRule="exact"/>
        <w:ind w:left="440" w:right="0" w:hanging="44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  <w:lang w:val="en-US" w:eastAsia="en-US" w:bidi="en-US"/>
        </w:rPr>
        <w:t>Stagnaro-Green A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Abalovich 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Alexander E, et al. Guidelines of the American Thyroid Association for the diagnosis and management of thyroid disease during pregnancy and postpartum J . Thyroid, 2011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 (10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1466 -1467.</w:t>
      </w:r>
    </w:p>
    <w:p>
      <w:pPr>
        <w:pStyle w:val="Style3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260" w:lineRule="exact"/>
        <w:ind w:left="0" w:right="0" w:firstLine="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中华医学会内分泌学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分会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</w:rPr>
        <w:t>.</w:t>
      </w:r>
      <w:r>
        <w:rPr>
          <w:color w:val="000000"/>
          <w:spacing w:val="0"/>
          <w:w w:val="100"/>
          <w:position w:val="0"/>
        </w:rPr>
        <w:t>妊娠和产后甲状腺疾病诊治指南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中华内分泌代谢杂志</w:t>
      </w:r>
      <w:r>
        <w:rPr>
          <w:color w:val="000000"/>
          <w:spacing w:val="0"/>
          <w:w w:val="100"/>
          <w:position w:val="0"/>
          <w:lang w:val="zh-TW" w:eastAsia="zh-TW" w:bidi="zh-TW"/>
        </w:rPr>
        <w:t>,2012,28(5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354 -367.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right="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</w:rPr>
        <w:t xml:space="preserve">5 </w:t>
      </w:r>
      <w:r>
        <w:rPr>
          <w:color w:val="000000"/>
          <w:spacing w:val="0"/>
          <w:w w:val="100"/>
          <w:position w:val="0"/>
          <w:sz w:val="15"/>
          <w:szCs w:val="15"/>
        </w:rPr>
        <w:t>中华医学会，中华医学会内分泌学分会</w:t>
      </w:r>
      <w:r>
        <w:rPr>
          <w:color w:val="000000"/>
          <w:spacing w:val="0"/>
          <w:w w:val="100"/>
          <w:position w:val="0"/>
          <w:sz w:val="12"/>
          <w:szCs w:val="12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</w:rPr>
        <w:t>中华医学会第十二次全 国内分泌学学术会议论文汇编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C .</w:t>
      </w:r>
      <w:r>
        <w:rPr>
          <w:color w:val="000000"/>
          <w:spacing w:val="0"/>
          <w:w w:val="100"/>
          <w:position w:val="0"/>
          <w:sz w:val="15"/>
          <w:szCs w:val="15"/>
        </w:rPr>
        <w:t>中华医学会，中华医学会内 分泌学分会：中华医学会,</w:t>
      </w:r>
      <w:r>
        <w:rPr>
          <w:color w:val="000000"/>
          <w:spacing w:val="0"/>
          <w:w w:val="100"/>
          <w:position w:val="0"/>
          <w:sz w:val="12"/>
          <w:szCs w:val="12"/>
        </w:rPr>
        <w:t xml:space="preserve">013：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7" w:val="left"/>
        </w:tabs>
        <w:bidi w:val="0"/>
        <w:spacing w:before="0" w:after="0" w:line="263" w:lineRule="exact"/>
        <w:ind w:left="440" w:right="0" w:hanging="44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  <w:lang w:val="en-US" w:eastAsia="en-US" w:bidi="en-US"/>
        </w:rPr>
        <w:t>Gao XT, Li YZ, Li JS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Gestational TSH and FT4 reference inter</w:t>
        <w:softHyphen/>
        <w:t>vals in Chinese women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asystematic review and Meta-analysis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Front Endocrinol (Lausanne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,2018,9：432.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7" w:val="left"/>
        </w:tabs>
        <w:bidi w:val="0"/>
        <w:spacing w:before="0" w:after="0" w:line="263" w:lineRule="exact"/>
        <w:ind w:left="440" w:right="0" w:hanging="44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  <w:lang w:val="en-US" w:eastAsia="en-US" w:bidi="en-US"/>
        </w:rPr>
        <w:t>American College of Obstetricians and Gynecologists. Thyroid disease in pregnancy J . Obstet Gynecol,2015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125(4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996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1005.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7" w:val="left"/>
        </w:tabs>
        <w:bidi w:val="0"/>
        <w:spacing w:before="0" w:after="0" w:line="263" w:lineRule="exact"/>
        <w:ind w:left="440" w:right="0" w:hanging="44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  <w:lang w:val="en-US" w:eastAsia="en-US" w:bidi="en-US"/>
        </w:rPr>
        <w:t>Maraka 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Mwangi R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McCoy RG, et al. Thyroid hormone treatment a</w:t>
        <w:softHyphen/>
        <w:t>mong pregnant women with subclinical hypothyroidism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US national assessment J . BMJ, 2017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56： i6865.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9 Lazarus JH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Bestwick JP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Channon 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Antenatal thyroid screen</w:t>
        <w:softHyphen/>
      </w:r>
      <w:r>
        <w:rPr>
          <w:color w:val="000000"/>
          <w:spacing w:val="0"/>
          <w:w w:val="100"/>
          <w:position w:val="0"/>
          <w:lang w:val="en-US" w:eastAsia="en-US" w:bidi="en-US"/>
        </w:rPr>
        <w:t>ing and childhood cognitive function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New England Journal of Medicine, 2012,366(6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493 -501.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10 Casey BM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Thom EA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Peaceman AM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Treatment ofsubclinical hy</w:t>
        <w:softHyphen/>
        <w:t>pothyroidism or hypothyroxinemia in pregnancy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New England Journal of Medicine,2017,376 (9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815 -825.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Jansen TA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Korevaar TIM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Mulder TA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Maternal thyroid function during pregnancy and child brain morphology：a time window-specific analysis of a prospective cohort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Lancet Diabetes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Endocrinolo- gy,2019,7(8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629 -637.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12 Liu 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Shan Z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 C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Maternal subclinical hypothyroidism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thyroid autoimmunity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and the risk of miscarriage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prospective cohort study J . Thyroid, 2014,24( 11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1642-1649.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Nazarpour 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Ramezani Tehrani F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Simbar 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Effects of levothy</w:t>
        <w:softHyphen/>
        <w:t>roxine on pregnant women with subclinical hypothyroidism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negative for thyroid peroxidase antibodies J 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Metabolism, 2017,103(3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926 -935.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14 Shi X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Han C, Li C, et al. Optimal and safe upper limits of iodine in</w:t>
        <w:softHyphen/>
        <w:t xml:space="preserve">take for early pregnancy in iodine-sufficient regions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cross-sectional study of 7190 pregnant women in China J . Journal of Clinical Endo</w:t>
        <w:softHyphen/>
        <w:t xml:space="preserve">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Metabolism,2015,100(4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1630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1638.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Yu X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Shan Z, Li C, et al. Iron deficiency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 independent risk factor for isolated hypothyroxinemia in pregnant and nonpregnant women of childbearing age in China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Metabolism, 2015,100 (4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1594 -1601.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16 Negro R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Formoso G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Mangieri T, et al. Levothyroxine treatment in eu</w:t>
        <w:softHyphen/>
        <w:t>thyroid pregnant women with autoimmune thyroid disease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effects on obstetrical complications J 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</w:t>
        <w:softHyphen/>
        <w:t>tabolism, 2006,91 (7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2587 -2591.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17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Dhillon-Smith RK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Middleton LJ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Sunner KK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Levothyroxine in women with thyroid peroxidase antibodies before conception J . New England Journal of Medicine,2019,380 (14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1316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1325.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18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Negro R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Greco G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Mangieri T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The influence of selenium supple</w:t>
        <w:softHyphen/>
        <w:t>mentation on postpartum thyroid status in pregnant women with thyroid peroxidase autoantibodies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Metabolism, 2007,92 (4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1263 -1268.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19 Mao J, Pop VJ, Bath SC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Effect of low-dose selenium on thyroid autoimmunity and thyroid function in UK pregnant women with mild-to-moderate iodine deficiency J . European Journal of Nutrition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2016,55 ( 1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55 -61.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2" w:val="left"/>
        </w:tabs>
        <w:bidi w:val="0"/>
        <w:spacing w:before="0" w:after="0"/>
        <w:ind w:right="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  <w:lang w:val="en-US" w:eastAsia="en-US" w:bidi="en-US"/>
        </w:rPr>
        <w:t>Seo GH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Kim TH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Chung JH. Antithyroid drugs and congenital malfor</w:t>
        <w:softHyphen/>
        <w:t>mations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nationwide Korean cohort study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Annals of Internal Medicine,2018,168(6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405 -413.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2" w:val="left"/>
        </w:tabs>
        <w:bidi w:val="0"/>
        <w:spacing w:before="0" w:after="0"/>
        <w:ind w:right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  <w:lang w:val="en-US" w:eastAsia="en-US" w:bidi="en-US"/>
        </w:rPr>
        <w:t>Laurberg P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Andersen SL. Therapy of endocrine disease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antithyroid drug use in early pregnancy and birth defects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 windows of relative safety and high risk J . European Journal of Endocrinology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171 (1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R13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R20.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bookmarkStart w:id="10" w:name="bookmark10"/>
      <w:r>
        <w:rPr>
          <w:color w:val="000000"/>
          <w:spacing w:val="0"/>
          <w:w w:val="100"/>
          <w:position w:val="0"/>
          <w:lang w:val="en-US" w:eastAsia="en-US" w:bidi="en-US"/>
        </w:rPr>
        <w:t>2</w:t>
      </w:r>
      <w:bookmarkEnd w:id="10"/>
      <w:r>
        <w:rPr>
          <w:color w:val="000000"/>
          <w:spacing w:val="0"/>
          <w:w w:val="100"/>
          <w:position w:val="0"/>
          <w:lang w:val="en-US" w:eastAsia="en-US" w:bidi="en-US"/>
        </w:rPr>
        <w:t>2 Andersen SL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Olsen J, Wu CS, et al. Birth defects after early pregnan</w:t>
        <w:softHyphen/>
        <w:t>cy use of antithyroid drugs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Danish nationwide study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Metabolism,2013,98 (11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4373 -4381.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2" w:val="left"/>
        </w:tabs>
        <w:bidi w:val="0"/>
        <w:spacing w:before="0" w:after="0"/>
        <w:ind w:right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lang w:val="en-US" w:eastAsia="en-US" w:bidi="en-US"/>
        </w:rPr>
        <w:t>Li C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Peng 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Zhang X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The urine iodine to creatinine as an optimal index of iodine during pregnancy in an iodine adequate area in China J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Journal of Clinical Endocrinology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Metabolism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101(3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1290 -1298.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2" w:val="left"/>
        </w:tabs>
        <w:bidi w:val="0"/>
        <w:spacing w:before="0" w:after="0"/>
        <w:ind w:right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  <w:lang w:val="en-US" w:eastAsia="en-US" w:bidi="en-US"/>
        </w:rPr>
        <w:t>Verma I, Sood R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Juneja 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Prevalence of hypothyroidism in in</w:t>
        <w:softHyphen/>
        <w:t>fertile women and evaluation of response of treatment for hypothyroid</w:t>
        <w:softHyphen/>
        <w:t>ism on infertility J . Int J Appl Basic Med Res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(1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17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2" w:val="left"/>
        </w:tabs>
        <w:bidi w:val="0"/>
        <w:spacing w:before="0" w:after="60"/>
        <w:ind w:right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lang w:val="en-US" w:eastAsia="en-US" w:bidi="en-US"/>
        </w:rPr>
        <w:t>Wang 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Gao 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Chi 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 al. Effect of levothyroxine on miscarriage a</w:t>
        <w:softHyphen/>
        <w:t>mong women with normal thyroid function and thyroid autoimmunity undergoing in vitro fertilization and embryo transfer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randomized clinical trial J .JAMA, 2017,318 (22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2190 -2198.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right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6" w:right="729" w:bottom="955" w:left="981" w:header="0" w:footer="3" w:gutter="0"/>
          <w:cols w:num="2" w:space="287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2020-07-28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6" w:after="5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36" w:right="0" w:bottom="13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</w:rPr>
        <w:t>启事</w:t>
      </w:r>
      <w:bookmarkEnd w:id="14"/>
      <w:bookmarkEnd w:id="15"/>
      <w:bookmarkEnd w:id="16"/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0" w:val="left"/>
        </w:tabs>
        <w:bidi w:val="0"/>
        <w:spacing w:before="0" w:after="140" w:line="240" w:lineRule="auto"/>
        <w:ind w:left="0" w:right="0" w:firstLine="300"/>
        <w:jc w:val="left"/>
        <w:rPr>
          <w:sz w:val="16"/>
          <w:szCs w:val="16"/>
        </w:rPr>
      </w:pPr>
      <w:bookmarkStart w:id="17" w:name="bookmark17"/>
      <w:bookmarkEnd w:id="17"/>
      <w:r>
        <w:rPr>
          <w:color w:val="000000"/>
          <w:spacing w:val="0"/>
          <w:w w:val="100"/>
          <w:position w:val="0"/>
          <w:sz w:val="17"/>
          <w:szCs w:val="17"/>
        </w:rPr>
        <w:t>欢迎广大读者、作者积极投稿，投稿前请认真阅读本刊《稿约》(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jpog. sma. org. cn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z w:val="17"/>
          <w:szCs w:val="17"/>
        </w:rPr>
        <w:t>以了解本刊对来稿的要求，并请遵照撰写</w:t>
      </w:r>
      <w:r>
        <w:rPr>
          <w:color w:val="000000"/>
          <w:spacing w:val="0"/>
          <w:w w:val="100"/>
          <w:position w:val="0"/>
          <w:sz w:val="16"/>
          <w:szCs w:val="16"/>
        </w:rPr>
        <w:t>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25" w:val="left"/>
        </w:tabs>
        <w:bidi w:val="0"/>
        <w:spacing w:before="0" w:after="140" w:line="240" w:lineRule="auto"/>
        <w:ind w:left="0" w:right="0" w:firstLine="300"/>
        <w:jc w:val="left"/>
        <w:rPr>
          <w:sz w:val="16"/>
          <w:szCs w:val="16"/>
        </w:rPr>
      </w:pPr>
      <w:bookmarkStart w:id="18" w:name="bookmark18"/>
      <w:bookmarkEnd w:id="18"/>
      <w:r>
        <w:rPr>
          <w:color w:val="000000"/>
          <w:spacing w:val="0"/>
          <w:w w:val="100"/>
          <w:position w:val="0"/>
          <w:sz w:val="17"/>
          <w:szCs w:val="17"/>
        </w:rPr>
        <w:t>本刊微信公众号已开通，欢迎登录</w:t>
      </w:r>
      <w:r>
        <w:rPr>
          <w:color w:val="000000"/>
          <w:spacing w:val="0"/>
          <w:w w:val="100"/>
          <w:position w:val="0"/>
          <w:sz w:val="16"/>
          <w:szCs w:val="16"/>
        </w:rPr>
        <w:t>。</w:t>
      </w:r>
      <w:r>
        <w:rPr>
          <w:color w:val="000000"/>
          <w:spacing w:val="0"/>
          <w:w w:val="100"/>
          <w:position w:val="0"/>
          <w:sz w:val="17"/>
          <w:szCs w:val="17"/>
        </w:rPr>
        <w:t>微信公众号二维码见目次页</w:t>
      </w:r>
      <w:r>
        <w:rPr>
          <w:color w:val="000000"/>
          <w:spacing w:val="0"/>
          <w:w w:val="100"/>
          <w:position w:val="0"/>
          <w:sz w:val="16"/>
          <w:szCs w:val="16"/>
        </w:rPr>
        <w:t>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25" w:val="left"/>
        </w:tabs>
        <w:bidi w:val="0"/>
        <w:spacing w:before="0" w:after="200" w:line="240" w:lineRule="auto"/>
        <w:ind w:left="0" w:right="0" w:firstLine="300"/>
        <w:jc w:val="left"/>
        <w:rPr>
          <w:sz w:val="16"/>
          <w:szCs w:val="16"/>
        </w:rPr>
      </w:pPr>
      <w:bookmarkStart w:id="19" w:name="bookmark19"/>
      <w:bookmarkEnd w:id="19"/>
      <w:r>
        <w:rPr>
          <w:color w:val="000000"/>
          <w:spacing w:val="0"/>
          <w:w w:val="100"/>
          <w:position w:val="0"/>
          <w:sz w:val="17"/>
          <w:szCs w:val="17"/>
        </w:rPr>
        <w:t>凡收到本刊有发现缺页、错页等情况，请寄回编辑部调换</w:t>
      </w:r>
      <w:r>
        <w:rPr>
          <w:color w:val="000000"/>
          <w:spacing w:val="0"/>
          <w:w w:val="100"/>
          <w:position w:val="0"/>
          <w:sz w:val="16"/>
          <w:szCs w:val="16"/>
        </w:rPr>
        <w:t>。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336" w:right="780" w:bottom="1336" w:left="102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193040</wp:posOffset>
              </wp:positionH>
              <wp:positionV relativeFrom="page">
                <wp:posOffset>10394950</wp:posOffset>
              </wp:positionV>
              <wp:extent cx="6041390" cy="12509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1994-2020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15.200000000000001pt;margin-top:818.5pt;width:475.69999999999999pt;height:9.8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1994-2020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220345</wp:posOffset>
              </wp:positionH>
              <wp:positionV relativeFrom="page">
                <wp:posOffset>10394950</wp:posOffset>
              </wp:positionV>
              <wp:extent cx="6041390" cy="12509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(C)1994-2020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17.350000000000001pt;margin-top:818.5pt;width:475.69999999999999pt;height:9.84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(C)1994-2020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662940</wp:posOffset>
              </wp:positionH>
              <wp:positionV relativeFrom="page">
                <wp:posOffset>546100</wp:posOffset>
              </wp:positionV>
              <wp:extent cx="4946650" cy="1003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466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实用妇产科杂志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 xml:space="preserve">2020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。月第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 xml:space="preserve">36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。期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Journal of Practical Obstetrics and Gynecology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2020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Oct. Vol.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36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No.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10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.200000000000003pt;margin-top:43.pt;width:389.5pt;height:7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实用妇产科杂志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 xml:space="preserve">2020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。月第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 xml:space="preserve">36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。期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Journal of Practical Obstetrics and Gynecology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2020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Oct. Vol.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36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No.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6572885</wp:posOffset>
              </wp:positionH>
              <wp:positionV relativeFrom="page">
                <wp:posOffset>619125</wp:posOffset>
              </wp:positionV>
              <wp:extent cx="362585" cy="914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25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17.54999999999995pt;margin-top:48.75pt;width:28.550000000000001pt;height:7.2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656590</wp:posOffset>
              </wp:positionH>
              <wp:positionV relativeFrom="page">
                <wp:posOffset>666115</wp:posOffset>
              </wp:positionV>
              <wp:extent cx="495935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593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700000000000003pt;margin-top:52.450000000000003pt;width:390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2058670</wp:posOffset>
              </wp:positionH>
              <wp:positionV relativeFrom="page">
                <wp:posOffset>537210</wp:posOffset>
              </wp:positionV>
              <wp:extent cx="4946650" cy="1003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466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实用妇产科杂志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 xml:space="preserve">2020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。月第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 xml:space="preserve">36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。期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Journal of Practical Obstetrics and Gynecology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2020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Oct. Vol.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36,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>No.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lang w:val="en-US" w:eastAsia="en-US" w:bidi="en-US"/>
                            </w:rPr>
                            <w:t xml:space="preserve"> 10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62.09999999999999pt;margin-top:42.300000000000004pt;width:389.5pt;height:7.90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实用妇产科杂志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 xml:space="preserve">2020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。月第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 xml:space="preserve">36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。期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Journal of Practical Obstetrics and Gynecology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2020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Oct. Vol.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36,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>No.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lang w:val="en-US" w:eastAsia="en-US" w:bidi="en-US"/>
                      </w:rPr>
                      <w:t xml:space="preserve">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619760</wp:posOffset>
              </wp:positionV>
              <wp:extent cx="362585" cy="9144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25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57.200000000000003pt;margin-top:48.800000000000004pt;width:28.550000000000001pt;height:7.2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2052320</wp:posOffset>
              </wp:positionH>
              <wp:positionV relativeFrom="page">
                <wp:posOffset>657860</wp:posOffset>
              </wp:positionV>
              <wp:extent cx="4956175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561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61.59999999999999pt;margin-top:51.800000000000004pt;width:390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6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0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23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5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Heading #1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2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CharStyle23">
    <w:name w:val="Body text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6">
    <w:name w:val="Body text|3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9">
    <w:name w:val="Body text|4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44">
    <w:name w:val="Heading #2|1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  <w:spacing w:after="70"/>
      <w:ind w:right="70" w:firstLine="90"/>
    </w:pPr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Heading #1|1"/>
    <w:basedOn w:val="Normal"/>
    <w:link w:val="CharStyle14"/>
    <w:pPr>
      <w:widowControl w:val="0"/>
      <w:shd w:val="clear" w:color="auto" w:fill="auto"/>
      <w:spacing w:line="542" w:lineRule="exact"/>
      <w:ind w:left="180" w:hanging="1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18">
    <w:name w:val="Body text|2"/>
    <w:basedOn w:val="Normal"/>
    <w:link w:val="CharStyle19"/>
    <w:pPr>
      <w:widowControl w:val="0"/>
      <w:shd w:val="clear" w:color="auto" w:fill="auto"/>
      <w:spacing w:line="268" w:lineRule="exact"/>
      <w:ind w:left="340" w:hanging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22">
    <w:name w:val="Body text|1"/>
    <w:basedOn w:val="Normal"/>
    <w:link w:val="CharStyle23"/>
    <w:pPr>
      <w:widowControl w:val="0"/>
      <w:shd w:val="clear" w:color="auto" w:fill="auto"/>
      <w:spacing w:after="180" w:line="32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5">
    <w:name w:val="Body text|3"/>
    <w:basedOn w:val="Normal"/>
    <w:link w:val="CharStyle26"/>
    <w:pPr>
      <w:widowControl w:val="0"/>
      <w:shd w:val="clear" w:color="auto" w:fill="auto"/>
      <w:spacing w:after="170"/>
      <w:ind w:firstLine="2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8">
    <w:name w:val="Body text|4"/>
    <w:basedOn w:val="Normal"/>
    <w:link w:val="CharStyle39"/>
    <w:pPr>
      <w:widowControl w:val="0"/>
      <w:shd w:val="clear" w:color="auto" w:fill="auto"/>
      <w:spacing w:line="259" w:lineRule="exact"/>
      <w:ind w:left="440" w:hanging="4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43">
    <w:name w:val="Heading #2|1"/>
    <w:basedOn w:val="Normal"/>
    <w:link w:val="CharStyle44"/>
    <w:pPr>
      <w:widowControl w:val="0"/>
      <w:shd w:val="clear" w:color="auto" w:fill="auto"/>
      <w:spacing w:after="2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