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931" w:h="470" w:wrap="none" w:hAnchor="page" w:x="9974" w:y="-507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Vol.32 No.11</w:t>
      </w:r>
    </w:p>
    <w:p>
      <w:pPr>
        <w:pStyle w:val="Style2"/>
        <w:keepNext w:val="0"/>
        <w:keepLines w:val="0"/>
        <w:framePr w:w="931" w:h="470" w:wrap="none" w:hAnchor="page" w:x="9974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Nov. 2020</w:t>
      </w:r>
    </w:p>
    <w:p>
      <w:pPr>
        <w:pStyle w:val="Style4"/>
        <w:keepNext w:val="0"/>
        <w:keepLines w:val="0"/>
        <w:framePr w:w="1382" w:h="355" w:wrap="none" w:hAnchor="page" w:x="9494" w:y="1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•指</w:t>
      </w:r>
      <w:r>
        <w:rPr>
          <w:color w:val="000000"/>
          <w:spacing w:val="0"/>
          <w:w w:val="100"/>
          <w:position w:val="0"/>
        </w:rPr>
        <w:t>南解读・</w:t>
      </w:r>
    </w:p>
    <w:p>
      <w:pPr>
        <w:widowControl w:val="0"/>
        <w:spacing w:after="552" w:line="1" w:lineRule="exact"/>
      </w:pPr>
    </w:p>
    <w:p>
      <w:pPr>
        <w:widowControl w:val="0"/>
        <w:spacing w:line="1" w:lineRule="exact"/>
        <w:sectPr>
          <w:headerReference w:type="default" r:id="rId5"/>
          <w:footerReference w:type="default" r:id="rId6"/>
          <w:headerReference w:type="even" r:id="rId7"/>
          <w:footerReference w:type="even" r:id="rId8"/>
          <w:headerReference w:type="first" r:id="rId9"/>
          <w:foot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1452" w:right="881" w:bottom="1284" w:left="407" w:header="0" w:footer="3" w:gutter="0"/>
          <w:pgNumType w:start="664"/>
          <w:cols w:space="720"/>
          <w:noEndnote/>
          <w:titlePg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267970" distL="0" distR="0" simplePos="0" relativeHeight="125829378" behindDoc="0" locked="0" layoutInCell="1" allowOverlap="1">
            <wp:simplePos x="0" y="0"/>
            <wp:positionH relativeFrom="page">
              <wp:posOffset>6068060</wp:posOffset>
            </wp:positionH>
            <wp:positionV relativeFrom="paragraph">
              <wp:posOffset>12700</wp:posOffset>
            </wp:positionV>
            <wp:extent cx="847090" cy="847090"/>
            <wp:wrapSquare wrapText="bothSides"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847090" cy="8470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6120130</wp:posOffset>
                </wp:positionH>
                <wp:positionV relativeFrom="paragraph">
                  <wp:posOffset>857250</wp:posOffset>
                </wp:positionV>
                <wp:extent cx="737870" cy="267970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7870" cy="2679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开放科学标识码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（OSID）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481.90000000000003pt;margin-top:67.5pt;width:58.100000000000001pt;height:21.1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开放科学标识码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（OSID）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《胆囊癌诊断和治疗指南》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版）解读</w:t>
      </w:r>
      <w:bookmarkEnd w:id="0"/>
      <w:bookmarkEnd w:id="1"/>
      <w:bookmarkEnd w:id="2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洪德飞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</w:rPr>
        <w:t>（浙江大学医学院附属邵逸夫医院普外科，浙江杭州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310000）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</w:rPr>
        <w:t>［关键词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7"/>
          <w:szCs w:val="17"/>
        </w:rPr>
        <w:t>胆囊癌；指南解读；肿瘤外科治疗；胆囊癌预防；肿瘤辅助治疗</w:t>
      </w:r>
    </w:p>
    <w:p>
      <w:pPr>
        <w:pStyle w:val="Style26"/>
        <w:keepNext w:val="0"/>
        <w:keepLines w:val="0"/>
        <w:widowControl w:val="0"/>
        <w:shd w:val="clear" w:color="auto" w:fill="auto"/>
        <w:tabs>
          <w:tab w:pos="2179" w:val="left"/>
        </w:tabs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52" w:right="2344" w:bottom="1386" w:left="968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［中图分类号］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R735.8</w:t>
        <w:tab/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［文献标识码］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DOI: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10.11952/j.issn.1007-1954.2020.11.006</w:t>
      </w:r>
    </w:p>
    <w:p>
      <w:pPr>
        <w:widowControl w:val="0"/>
        <w:spacing w:before="53" w:after="5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8" w:right="0" w:bottom="1234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165100" distB="254000" distL="0" distR="0" simplePos="0" relativeHeight="125829379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ragraph">
                  <wp:posOffset>6196330</wp:posOffset>
                </wp:positionV>
                <wp:extent cx="3215640" cy="311150"/>
                <wp:wrapTopAndBottom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15640" cy="311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［收稿日期］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2020-10-26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［作者简介］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洪德飞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（1968-）,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男，浙江杭州人，主任医师，教授，博士。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51.050000000000004pt;margin-top:487.90000000000003pt;width:253.20000000000002pt;height:24.5pt;z-index:-125829374;mso-wrap-distance-left:0;mso-wrap-distance-top:13.pt;mso-wrap-distance-right:0;mso-wrap-distance-bottom:20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［收稿日期］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2020-10-26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［作者简介］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洪德飞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（1968-）,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男，浙江杭州人，主任医师，教授，博士。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胆囊癌总体预后差，为贯彻胆囊癌预防为先的 策略，提高胆囊癌早期诊断率和总体治疗效果，改善 我国胆囊癌总体预后，中华医学会外科学分会胆道学 组和中国医师协会外科医师分会胆道外科医师委员 会制定了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版的《胆囊癌诊断和治疗指南》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［1］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版指南从七个方面对胆囊癌的预防、诊治 进行了全面系统地精要论述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［1］</w:t>
      </w:r>
      <w:r>
        <w:rPr>
          <w:color w:val="000000"/>
          <w:spacing w:val="0"/>
          <w:w w:val="100"/>
          <w:position w:val="0"/>
        </w:rPr>
        <w:t>：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）胆囊癌发病危险 因素及可能相关因素；（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胆囊癌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TNM</w:t>
      </w:r>
      <w:r>
        <w:rPr>
          <w:color w:val="000000"/>
          <w:spacing w:val="0"/>
          <w:w w:val="100"/>
          <w:position w:val="0"/>
        </w:rPr>
        <w:t>分期、病理 学类型及临床分型；（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）诊断依据；（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胆囊癌术前 与术中评估；（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胆囊癌外科治疗；（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胆囊癌非手 术治疗；（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）随访。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本次指南提出胆囊癌的的危险因素包括明确危 险因素和可能危险因素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［1-2］</w:t>
      </w:r>
      <w:r>
        <w:rPr>
          <w:color w:val="000000"/>
          <w:spacing w:val="0"/>
          <w:w w:val="100"/>
          <w:position w:val="0"/>
        </w:rPr>
        <w:t>。明确危险因素包括胆囊 结石、胆囊息肉样病变、胆囊慢性炎症、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“保胆</w:t>
      </w:r>
      <w:r>
        <w:rPr>
          <w:color w:val="000000"/>
          <w:spacing w:val="0"/>
          <w:w w:val="100"/>
          <w:position w:val="0"/>
        </w:rPr>
        <w:t>取石” 术后胆囊。和以往相比，本次指南首次明确把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“保 </w:t>
      </w:r>
      <w:r>
        <w:rPr>
          <w:color w:val="000000"/>
          <w:spacing w:val="0"/>
          <w:w w:val="100"/>
          <w:position w:val="0"/>
        </w:rPr>
        <w:t>胆取石”术后胆囊作为胆囊癌的高危因素，认为保 胆取石后的胆囊，致结石形成的危险因素和胆囊炎 症未消除，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“保胆</w:t>
      </w:r>
      <w:r>
        <w:rPr>
          <w:color w:val="000000"/>
          <w:spacing w:val="0"/>
          <w:w w:val="100"/>
          <w:position w:val="0"/>
        </w:rPr>
        <w:t>取石”术是不科学不规范的治疗手 段。可能的危险因素包括先天性胰胆管汇合异常、 胆囊腺肌症等。指南同时明确对伴有胆囊癌危险因 素的胆囊良性疾病患者，应择期行胆囊切除术。若 不手术者，应每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个月到大型医院肝胆胰外科或普 通外科就诊，行超声和肿瘤标志物等检查，并进行 密切随访。对胆囊癌危险因素的论述必须从预防胆 囊癌的角度高度重视，因为和其他消化道恶性肿瘤 相比，中晚期胆囊癌预后较差，早期胆囊癌诊断率 非常低，但胆囊癌的发生有明确的病因，而这些诱 发胆囊癌的胆囊良性疾病通过超声就能获得诊断， 通过胆囊切除术就能干预，因此，只要医护人员和 </w:t>
      </w:r>
      <w:r>
        <w:rPr>
          <w:color w:val="000000"/>
          <w:spacing w:val="0"/>
          <w:w w:val="100"/>
          <w:position w:val="0"/>
        </w:rPr>
        <w:t>胆囊良性疾病患者高度重视，胆囊癌的发生率是可 以显著下降的。指南引导胆囊良性疾病患者到大型 医院的专科进行检查和随访，有利于科学的决策， 减少误导。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胆囊癌的临床分期和分型。本次指南继续推荐 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AJCC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UICC</w:t>
      </w:r>
      <w:r>
        <w:rPr>
          <w:color w:val="000000"/>
          <w:spacing w:val="0"/>
          <w:w w:val="100"/>
          <w:position w:val="0"/>
        </w:rPr>
        <w:t>联合发布的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TNM</w:t>
      </w:r>
      <w:r>
        <w:rPr>
          <w:color w:val="000000"/>
          <w:spacing w:val="0"/>
          <w:w w:val="100"/>
          <w:position w:val="0"/>
        </w:rPr>
        <w:t>分期系统，因为 该分期提供了胆囊癌临床病理学诊断的统一标准, 对胆囊癌的局部浸润深度、邻近器官侵犯程度、门 静脉和肝动脉受累情况、淋巴结转移及远处转移等 临床病理学因素给予了全面评估，有助于评估胆囊 癌的可切除性、选择治疗方法及判断预后，对临床 工作有较大的指导意义。新版分期主要变动在于：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）对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期胆囊癌进行细分，将腹腔侧肿瘤分期定 义为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T2a</w:t>
      </w:r>
      <w:r>
        <w:rPr>
          <w:color w:val="000000"/>
          <w:spacing w:val="0"/>
          <w:w w:val="100"/>
          <w:position w:val="0"/>
        </w:rPr>
        <w:t>期，肝脏侧为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T2b</w:t>
      </w:r>
      <w:r>
        <w:rPr>
          <w:color w:val="000000"/>
          <w:spacing w:val="0"/>
          <w:w w:val="100"/>
          <w:position w:val="0"/>
        </w:rPr>
        <w:t>期。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）按转移阳性淋巴 结数目划分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分期，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枚淋巴结发生转移定义为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N1</w:t>
      </w:r>
      <w:r>
        <w:rPr>
          <w:color w:val="000000"/>
          <w:spacing w:val="0"/>
          <w:w w:val="100"/>
          <w:position w:val="0"/>
        </w:rPr>
        <w:t>期，＞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枚淋巴结转移定义为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N2</w:t>
      </w:r>
      <w:r>
        <w:rPr>
          <w:color w:val="000000"/>
          <w:spacing w:val="0"/>
          <w:w w:val="100"/>
          <w:position w:val="0"/>
        </w:rPr>
        <w:t>期；为了准确判 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分期，建议最少检出淋巴结数目为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枚。新的分 期更符合临床实际，更能够指导临床诊疗。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中华医学会外科学分会胆道学组在国际上领先 提出胆囊癌的临床分型。指南中建议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期及以上胆 囊癌根据肿瘤起源部位及侵犯方向分为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［1］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1） I </w:t>
      </w:r>
      <w:r>
        <w:rPr>
          <w:color w:val="000000"/>
          <w:spacing w:val="0"/>
          <w:w w:val="100"/>
          <w:position w:val="0"/>
        </w:rPr>
        <w:t>型：腹腔型；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期肿瘤位于腹腔游离侧，未浸透浆 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</w:rPr>
        <w:t>期及以上肿瘤穿透浆膜，可侵犯邻近器官或 结构；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 ） II</w:t>
      </w:r>
      <w:r>
        <w:rPr>
          <w:color w:val="000000"/>
          <w:spacing w:val="0"/>
          <w:w w:val="100"/>
          <w:position w:val="0"/>
        </w:rPr>
        <w:t>型：肝脏型；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期肿瘤位于肝脏侧，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T3 </w:t>
      </w:r>
      <w:r>
        <w:rPr>
          <w:color w:val="000000"/>
          <w:spacing w:val="0"/>
          <w:w w:val="100"/>
          <w:position w:val="0"/>
        </w:rPr>
        <w:t xml:space="preserve">期穿透浆膜，侵犯肝脏，未侵犯邻近器官或结构； 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皿型：肝门型；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期包括颈部及胆囊管癌，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</w:rPr>
        <w:t>期 及以上肿瘤穿透浆膜，可侵犯胆管和（或）肝门血管 结构；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 ） IV</w:t>
      </w:r>
      <w:r>
        <w:rPr>
          <w:color w:val="000000"/>
          <w:spacing w:val="0"/>
          <w:w w:val="100"/>
          <w:position w:val="0"/>
        </w:rPr>
        <w:t>型：混合型；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期肿瘤为弥漫性浸润， 未浸透浆膜，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</w:rPr>
        <w:t xml:space="preserve">期及以上肿瘤穿透浆膜，既可侵犯 </w:t>
      </w:r>
      <w:r>
        <w:rPr>
          <w:color w:val="000000"/>
          <w:spacing w:val="0"/>
          <w:w w:val="100"/>
          <w:position w:val="0"/>
        </w:rPr>
        <w:t xml:space="preserve">肝脏，同时可侵犯一个或以上邻近器官或结构。国 内多中心回顾性研究已显示胆囊癌不同临床分型与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分期、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分期、血管侵犯及神经浸润等肿瘤生物学 行为相关；不同临床分型患者根治性切除术后中位 生存时间具有显著性差异，因此指南首先提出根据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AJCC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UICC</w:t>
      </w:r>
      <w:r>
        <w:rPr>
          <w:color w:val="000000"/>
          <w:spacing w:val="0"/>
          <w:w w:val="100"/>
          <w:position w:val="0"/>
        </w:rPr>
        <w:t>联合发布的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TNM</w:t>
      </w:r>
      <w:r>
        <w:rPr>
          <w:color w:val="000000"/>
          <w:spacing w:val="0"/>
          <w:w w:val="100"/>
          <w:position w:val="0"/>
        </w:rPr>
        <w:t>分期系统结合不同的 临床分型制定科学的治疗策略。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胆囊癌的早期没有症状和特异性肿瘤标志物筛 查，预防和提高早期诊断率的唯一策略是转变固定 思维，对每一例胆囊良性疾病（胆囊结石、胆囊息肉、 胆囊腺肌症、胆囊炎等）都要警惕是否有癌变可能。 详细询问病史和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 xml:space="preserve">超筛查，有高危因素者及时实施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“胆</w:t>
      </w:r>
      <w:r>
        <w:rPr>
          <w:color w:val="000000"/>
          <w:spacing w:val="0"/>
          <w:w w:val="100"/>
          <w:position w:val="0"/>
        </w:rPr>
        <w:t>囊切除术”，术前选择性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增强检查或超 声内镜等影像学检查和肿瘤标志物检查，而不应满 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超检查而快节奏实施腹腔镜胆囊切除术。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胆囊癌术前与术中评估：胆囊癌病情评估内容 包括术前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TNM</w:t>
      </w:r>
      <w:r>
        <w:rPr>
          <w:color w:val="000000"/>
          <w:spacing w:val="0"/>
          <w:w w:val="100"/>
          <w:position w:val="0"/>
        </w:rPr>
        <w:t>分期评估；术中再次评估其分期及可 切除性，旨在选择合适的治疗策略。术前评估仍主 要借助于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磁共振、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PET</w:t>
      </w:r>
      <w:r>
        <w:rPr>
          <w:color w:val="000000"/>
          <w:spacing w:val="0"/>
          <w:w w:val="100"/>
          <w:position w:val="0"/>
        </w:rPr>
        <w:t>等影像学手段。术中评 估依据术中超声、诊断性腹腔镜探查、剖腹探查结 合可疑转移结节快速冰冻切片、淋巴结活检等进行 评估。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组淋巴结阳性可作为放弃根治术的依据； 对于术前评估为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</w:rPr>
        <w:t>期及以上分期的胆囊癌，因有较 高概率存在腹膜和肝脏远处转移，建议先行腹腔镜 探查，以避免不必要的开腹手术。胆囊癌根治性切 除的条件包括：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R0</w:t>
      </w:r>
      <w:r>
        <w:rPr>
          <w:color w:val="000000"/>
          <w:spacing w:val="0"/>
          <w:w w:val="100"/>
          <w:position w:val="0"/>
        </w:rPr>
        <w:t>切除为目标的胆囊及邻近器 官癌灶切除和区域性淋巴结清扫;（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）剩余肝脏功能 可代偿，可保存或重建其脉管结构；（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）患者可耐受 手术创伤，胆囊癌的术中再次评估包括可切除性评 估是非常重要的。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目前根治性切除手术仍是唯一可能治愈胆囊癌 的方法。胆囊癌根治术式复杂多样化，从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Tis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T1a </w:t>
      </w:r>
      <w:r>
        <w:rPr>
          <w:color w:val="000000"/>
          <w:spacing w:val="0"/>
          <w:w w:val="100"/>
          <w:position w:val="0"/>
        </w:rPr>
        <w:t>期的单纯胆囊切除术，到无远处转移的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</w:rPr>
        <w:t xml:space="preserve">期胆囊癌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（MO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行联合脏器切除及血管重建的扩大根治术。不 同分期、不同临床分型肝切除范围和淋巴结清扫范 围不同，为实现规范的胆囊癌根治术，提高外科治 疗效果，本指南提出胆囊癌的外科治疗建议在具有 丰富经验的肝胆胰外科医师和病理科医师的医疗中 心完成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［1］</w:t>
      </w:r>
      <w:r>
        <w:rPr>
          <w:color w:val="000000"/>
          <w:spacing w:val="0"/>
          <w:w w:val="100"/>
          <w:position w:val="0"/>
        </w:rPr>
        <w:t>。总体而言，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</w:rPr>
        <w:t>期胆囊癌外科治疗效 果不理想，且手术创伤大、术后并发症高，因此胆 囊癌联合脏器切除应强调以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R0</w:t>
      </w:r>
      <w:r>
        <w:rPr>
          <w:color w:val="000000"/>
          <w:spacing w:val="0"/>
          <w:w w:val="100"/>
          <w:position w:val="0"/>
        </w:rPr>
        <w:t>切除为首要目标，如 能实现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R0</w:t>
      </w:r>
      <w:r>
        <w:rPr>
          <w:color w:val="000000"/>
          <w:spacing w:val="0"/>
          <w:w w:val="100"/>
          <w:position w:val="0"/>
        </w:rPr>
        <w:t>切除，可根据病情选择创伤更小的术式。 联合血管切除重建的患者整体预后差，需慎重选择。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对于肝外胆管处理，明确指出预防性肝外胆管 切除并不能使患者获益，建议术中行胆囊管切缘活 检，如胆囊管切缘为阳性，应切除肝外胆管。胆囊 管癌是一种特殊类型的胆囊癌，目前定义为肿瘤中 心位于胆囊管的恶性肿瘤，胆囊管癌易侵犯周围组 织结构，预后更差。胆囊管癌手术范围较同期胆囊 底、体癌的切除范围大，应包括肝外胆管切除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Tlb </w:t>
      </w:r>
      <w:r>
        <w:rPr>
          <w:color w:val="000000"/>
          <w:spacing w:val="0"/>
          <w:w w:val="100"/>
          <w:position w:val="0"/>
        </w:rPr>
        <w:t>期胆囊管癌应行肝脏楔形整块切除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+</w:t>
      </w:r>
      <w:r>
        <w:rPr>
          <w:color w:val="000000"/>
          <w:spacing w:val="0"/>
          <w:w w:val="100"/>
          <w:position w:val="0"/>
        </w:rPr>
        <w:t>肝外胆管切除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+ </w:t>
      </w:r>
      <w:r>
        <w:rPr>
          <w:color w:val="000000"/>
          <w:spacing w:val="0"/>
          <w:w w:val="100"/>
          <w:position w:val="0"/>
        </w:rPr>
        <w:t xml:space="preserve">淋巴结清扫术；＞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期胆囊管癌需行右半肝或右三 叶切除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+</w:t>
      </w:r>
      <w:r>
        <w:rPr>
          <w:color w:val="000000"/>
          <w:spacing w:val="0"/>
          <w:w w:val="100"/>
          <w:position w:val="0"/>
        </w:rPr>
        <w:t>肝外胆管切除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+</w:t>
      </w:r>
      <w:r>
        <w:rPr>
          <w:color w:val="000000"/>
          <w:spacing w:val="0"/>
          <w:w w:val="100"/>
          <w:position w:val="0"/>
        </w:rPr>
        <w:t>区域淋巴结清扫术。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微创手术在胆囊癌中的应用仍处于谨慎的探索 期，对于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</w:rPr>
        <w:t>期胆囊癌不推荐行腹腔镜或机器人 手术，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T1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期胆囊癌腹腔镜或机器人根治术仅限 于具备娴熟腹腔镜或机器人技术的肝胆胰外科中心 作为探索性研究，其理论依据和临床实践表明腹腔 镜或机器人手术术中若发生胆囊破溃、胆汁泄漏以 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“烟</w:t>
      </w:r>
      <w:r>
        <w:rPr>
          <w:color w:val="000000"/>
          <w:spacing w:val="0"/>
          <w:w w:val="100"/>
          <w:position w:val="0"/>
        </w:rPr>
        <w:t>囱”效应等，可能增加穿刺孔转移以及腹膜 播散的风险，进而显著影响患者预后，如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T1</w:t>
      </w:r>
      <w:r>
        <w:rPr>
          <w:color w:val="000000"/>
          <w:spacing w:val="0"/>
          <w:w w:val="100"/>
          <w:position w:val="0"/>
        </w:rPr>
        <w:t>期胆囊 癌腹腔镜根治术中，若胆囊破溃，则预后等同于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T3 </w:t>
      </w:r>
      <w:r>
        <w:rPr>
          <w:color w:val="000000"/>
          <w:spacing w:val="0"/>
          <w:w w:val="100"/>
          <w:position w:val="0"/>
        </w:rPr>
        <w:t>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［1］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该指南首先提出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</w:t>
      </w:r>
      <w:r>
        <w:rPr>
          <w:color w:val="000000"/>
          <w:spacing w:val="0"/>
          <w:w w:val="100"/>
          <w:position w:val="0"/>
        </w:rPr>
        <w:t>外胆囊癌”是不规范的医 学诊断术语，必须予以纠正，应遵循其他消化道实 体肿瘤命名为早期、进展期、晚期胆囊癌；或按照病 理学分期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TNM</w:t>
      </w:r>
      <w:r>
        <w:rPr>
          <w:color w:val="000000"/>
          <w:spacing w:val="0"/>
          <w:w w:val="100"/>
          <w:position w:val="0"/>
        </w:rPr>
        <w:t>分期命名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［1］</w:t>
      </w:r>
      <w:r>
        <w:rPr>
          <w:color w:val="000000"/>
          <w:spacing w:val="0"/>
          <w:w w:val="100"/>
          <w:position w:val="0"/>
        </w:rPr>
        <w:t>。纠正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</w:t>
      </w:r>
      <w:r>
        <w:rPr>
          <w:color w:val="000000"/>
          <w:spacing w:val="0"/>
          <w:w w:val="100"/>
          <w:position w:val="0"/>
        </w:rPr>
        <w:t>外胆囊癌”的 错误概念，规范其诊断命名对于提高胆囊癌预防意 识，提高胆囊癌诊治水平意义重大。其一，可以提 高临床医师和放射科医师对胆囊癌的警惕性，高度 重视胆囊结石、胆囊息肉等良性疾病的癌变性。有 高危因素者术前常规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增强检查，从而提高 胆囊癌的术前诊断率；强化医护人员和胆囊良性疾 病患者胆囊癌预防意识，及时外科治疗潜在癌变风 险的胆囊良性疾病。其二，杜绝术前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期及以上分 期的胆囊癌的误诊和漏诊，避免被错误地实施腹腔 镜胆囊切除术，术中胆囊破损胆汁外漏，气腹导致 腹腔种植转移；避免二次手术（补救性胆囊癌根治术） 给患者带来的痛苦和经济损失，避免二次手术窗口 期肿瘤进展，或肿瘤种植转移，进而影响胆囊癌根 治术的治疗效果。其三，基层医院外科医师并不具 备规范的复杂胆囊癌根治术，避免胆囊癌因误诊为 胆囊良性疾病而在基层医院错误地实施腹腔镜胆囊 切除术，因为术前获得诊断后有机会转诊到上级医 院实施规范的胆囊癌根治术。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胆囊癌的非手术治疗是目前进展最快的治疗领</w:t>
      </w:r>
      <w:r>
        <w:br w:type="page"/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mc:AlternateContent>
          <mc:Choice Requires="wps">
            <w:drawing>
              <wp:anchor distT="12700" distB="0" distL="114300" distR="114300" simplePos="0" relativeHeight="125829381" behindDoc="0" locked="0" layoutInCell="1" allowOverlap="1">
                <wp:simplePos x="0" y="0"/>
                <wp:positionH relativeFrom="page">
                  <wp:posOffset>3143250</wp:posOffset>
                </wp:positionH>
                <wp:positionV relativeFrom="margin">
                  <wp:posOffset>-94615</wp:posOffset>
                </wp:positionV>
                <wp:extent cx="1344295" cy="130810"/>
                <wp:wrapSquare wrapText="right"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4295" cy="130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肝胆胰夕卜科杂志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47.5pt;margin-top:-7.4500000000000002pt;width:105.85000000000001pt;height:10.300000000000001pt;z-index:-125829372;mso-wrap-distance-left:9.pt;mso-wrap-distance-top:1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肝胆胰夕卜科杂志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域，许多临床研究从胆囊癌的辅助化疗、一线化疗, 再到二线化疗方面进行了探索，改变了胆囊癌的治 疗现状，特别是胆囊癌的分子靶向治疗、免疫治疗 联合化疗等联合方案取得了令人鼓舞的结果，因此 对进展期胆囊癌必须强化综合治疗的理念，鼓励开 展多中心前瞻性系统治疗的临床研究。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归纳本次指南重点：（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1）</w:t>
      </w:r>
      <w:r>
        <w:rPr>
          <w:color w:val="000000"/>
          <w:spacing w:val="0"/>
          <w:w w:val="100"/>
          <w:position w:val="0"/>
        </w:rPr>
        <w:t>胆囊癌的治疗需遵循 预防为先的策略，进行胆囊癌预防知识的科学普及, 对胆囊良性疾病患者加强随访工作，对潜在胆囊癌 高危因素的胆囊良性疾病患者及时实施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“胆</w:t>
      </w:r>
      <w:r>
        <w:rPr>
          <w:color w:val="000000"/>
          <w:spacing w:val="0"/>
          <w:w w:val="100"/>
          <w:position w:val="0"/>
        </w:rPr>
        <w:t>囊切除 术”。明确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“保胆</w:t>
      </w:r>
      <w:r>
        <w:rPr>
          <w:color w:val="000000"/>
          <w:spacing w:val="0"/>
          <w:w w:val="100"/>
          <w:position w:val="0"/>
        </w:rPr>
        <w:t>取石术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不科学的治疗方法，不 仅术后结石复发而且无法逆转胆囊癌变的胆囊炎基 础。（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纠正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</w:t>
      </w:r>
      <w:r>
        <w:rPr>
          <w:color w:val="000000"/>
          <w:spacing w:val="0"/>
          <w:w w:val="100"/>
          <w:position w:val="0"/>
        </w:rPr>
        <w:t>外胆囊癌”不规范的医学诊断术语, 有利于提高胆囊癌的预防意识和胆囊癌的术前诊断 率，避免被错误地实施腹腔镜胆囊切除术和避免二 次手术（补救性胆囊癌根治术）的负面效应，从而提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60" w:line="278" w:lineRule="exact"/>
        <w:ind w:left="0" w:right="0" w:firstLine="0"/>
        <w:jc w:val="right"/>
        <w:rPr>
          <w:sz w:val="15"/>
          <w:szCs w:val="15"/>
        </w:rPr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</w:rPr>
        <w:t>期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60" w:line="3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高胆囊癌外科治疗效果;（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）胆囊癌根治术式复杂多 样，指南提出应根据不同分期结合不同临床分型实 施规范的胆囊癌根治术，因此建议在具有丰富经验 的肝胆胰外科医师和病理科医师的医疗中心完成， 从而提高外科治疗效果。（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）外科医师必须树立肿瘤 学治疗理念，对进展期胆囊癌结合化疗、放疗、靶 向和免疫治疗，从而改善胆囊癌的预后。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60" w:line="3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参考文献：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6" w:val="left"/>
        </w:tabs>
        <w:bidi w:val="0"/>
        <w:spacing w:before="0" w:after="0" w:line="278" w:lineRule="exact"/>
        <w:ind w:left="480" w:right="0" w:hanging="480"/>
        <w:jc w:val="both"/>
        <w:rPr>
          <w:sz w:val="17"/>
          <w:szCs w:val="17"/>
        </w:rPr>
      </w:pPr>
      <w:bookmarkStart w:id="3" w:name="bookmark3"/>
      <w:bookmarkEnd w:id="3"/>
      <w:r>
        <w:rPr>
          <w:color w:val="000000"/>
          <w:spacing w:val="0"/>
          <w:w w:val="100"/>
          <w:position w:val="0"/>
          <w:sz w:val="16"/>
          <w:szCs w:val="16"/>
        </w:rPr>
        <w:t>中华医学会外科学分会胆道学组</w:t>
      </w:r>
      <w:r>
        <w:rPr>
          <w:color w:val="000000"/>
          <w:spacing w:val="0"/>
          <w:w w:val="100"/>
          <w:position w:val="0"/>
          <w:sz w:val="17"/>
          <w:szCs w:val="17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</w:rPr>
        <w:t>中国医师协会外科医师 分会胆道外科医师委员会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</w:rPr>
        <w:t>胆囊癌诊断和治疗指南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（2019 </w:t>
      </w:r>
      <w:r>
        <w:rPr>
          <w:color w:val="000000"/>
          <w:spacing w:val="0"/>
          <w:w w:val="100"/>
          <w:position w:val="0"/>
          <w:sz w:val="16"/>
          <w:szCs w:val="16"/>
        </w:rPr>
        <w:t>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6"/>
          <w:szCs w:val="16"/>
        </w:rPr>
        <w:t>中华外科杂志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,2020, 58（4）: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243-251.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6" w:val="left"/>
        </w:tabs>
        <w:bidi w:val="0"/>
        <w:spacing w:before="0" w:after="280" w:line="278" w:lineRule="exact"/>
        <w:ind w:left="480" w:right="0" w:hanging="480"/>
        <w:jc w:val="both"/>
      </w:pPr>
      <w:bookmarkStart w:id="4" w:name="bookmark4"/>
      <w:bookmarkEnd w:id="4"/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中华医学会外科学分会胆道外科学组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胆囊癌诊断和治疗 指南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（2015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[J].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中华消化外科杂志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2015, 14（11）: 881- 890.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8" w:right="883" w:bottom="1234" w:left="990" w:header="0" w:footer="3" w:gutter="0"/>
          <w:cols w:num="2" w:space="28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（本文编辑:鲁翠涛）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0" w:after="2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17" w:right="0" w:bottom="118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(上接第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663</w:t>
      </w:r>
      <w:r>
        <w:rPr>
          <w:color w:val="000000"/>
          <w:spacing w:val="0"/>
          <w:w w:val="100"/>
          <w:position w:val="0"/>
        </w:rPr>
        <w:t>页)</w:t>
      </w:r>
    </w:p>
    <w:p>
      <w:pPr>
        <w:pStyle w:val="Style2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49" w:val="left"/>
        </w:tabs>
        <w:bidi w:val="0"/>
        <w:spacing w:before="0" w:after="0"/>
        <w:ind w:right="0"/>
        <w:jc w:val="both"/>
      </w:pPr>
      <w:bookmarkStart w:id="5" w:name="bookmark5"/>
      <w:bookmarkEnd w:id="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Sun D, Ma J, Wang J, et al. Anti-PD-1 therapy combined with chemotherapy in patients with advanced biliary tract cancer [J]. Cancer Immunol Immunother, 2019, 68(9): 1527-1535.</w:t>
      </w:r>
    </w:p>
    <w:p>
      <w:pPr>
        <w:pStyle w:val="Style2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49" w:val="left"/>
        </w:tabs>
        <w:bidi w:val="0"/>
        <w:spacing w:before="0" w:after="0"/>
        <w:ind w:right="0"/>
        <w:jc w:val="both"/>
      </w:pPr>
      <w:bookmarkStart w:id="6" w:name="bookmark6"/>
      <w:bookmarkEnd w:id="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 H, Huang J, Xu J, et al. Safety, anti-tumour activity, and pharmacokinetics of fixed-dose SHR-1210, an anti-PD-1 an</w:t>
        <w:softHyphen/>
        <w:t>tibody in advanced solid tumours: A dose-escalation, phase 1 study [J]. Br J Cancer, 2018, 119(5): 538-545.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46" w:val="left"/>
        </w:tabs>
        <w:bidi w:val="0"/>
        <w:spacing w:before="0" w:after="280"/>
        <w:ind w:right="0"/>
        <w:jc w:val="both"/>
      </w:pPr>
      <w:bookmarkStart w:id="7" w:name="bookmark7"/>
      <w:bookmarkEnd w:id="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Lee J, Park SH, Chang HM, et al. Gemcitabine and oxaliplat</w:t>
        <w:softHyphen/>
        <w:t>in with or without erlotinib in advanced biliary-tract cancer: A multicentre, open-label, randomised, phase 3 study [J]. Lancet Oncol, 2012, 13(2): 181-188.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(本文编辑：鲁翠涛)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117" w:right="914" w:bottom="1184" w:left="1007" w:header="0" w:footer="3" w:gutter="0"/>
      <w:cols w:num="2" w:space="331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261620</wp:posOffset>
              </wp:positionH>
              <wp:positionV relativeFrom="page">
                <wp:posOffset>9892665</wp:posOffset>
              </wp:positionV>
              <wp:extent cx="6041390" cy="39941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3994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—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1994-2020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20.600000000000001pt;margin-top:778.95000000000005pt;width:475.69999999999999pt;height:31.4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—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1994-2020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256540</wp:posOffset>
              </wp:positionH>
              <wp:positionV relativeFrom="page">
                <wp:posOffset>9894570</wp:posOffset>
              </wp:positionV>
              <wp:extent cx="6041390" cy="39941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3994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——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—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1994-2020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0.199999999999999pt;margin-top:779.10000000000002pt;width:475.69999999999999pt;height:31.44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——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—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1994-2020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258445</wp:posOffset>
              </wp:positionH>
              <wp:positionV relativeFrom="page">
                <wp:posOffset>9941560</wp:posOffset>
              </wp:positionV>
              <wp:extent cx="6041390" cy="39941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3994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—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1994-2020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20.350000000000001pt;margin-top:782.80000000000007pt;width:475.69999999999999pt;height:31.449999999999999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—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1994-2020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657860</wp:posOffset>
              </wp:positionH>
              <wp:positionV relativeFrom="page">
                <wp:posOffset>727710</wp:posOffset>
              </wp:positionV>
              <wp:extent cx="6251575" cy="946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51575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29" w:val="right"/>
                              <w:tab w:pos="984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32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卷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洪德飞：《胆囊癌诊断和治疗指南》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（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2019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版）解读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11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1.800000000000004pt;margin-top:57.300000000000004pt;width:492.25pt;height:7.4500000000000002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29" w:val="right"/>
                        <w:tab w:pos="984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32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卷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洪德飞：《胆囊癌诊断和治疗指南》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（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2019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版）解读</w:t>
                      <w:tab/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11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648335</wp:posOffset>
              </wp:positionH>
              <wp:positionV relativeFrom="page">
                <wp:posOffset>867410</wp:posOffset>
              </wp:positionV>
              <wp:extent cx="626999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99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050000000000004pt;margin-top:68.299999999999997pt;width:493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650240</wp:posOffset>
              </wp:positionH>
              <wp:positionV relativeFrom="page">
                <wp:posOffset>728980</wp:posOffset>
              </wp:positionV>
              <wp:extent cx="304800" cy="9144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32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1.200000000000003pt;margin-top:57.399999999999999pt;width:24.pt;height:7.2000000000000002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32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868680</wp:posOffset>
              </wp:positionV>
              <wp:extent cx="6266815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700000000000003pt;margin-top:68.40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2660015</wp:posOffset>
              </wp:positionH>
              <wp:positionV relativeFrom="page">
                <wp:posOffset>529590</wp:posOffset>
              </wp:positionV>
              <wp:extent cx="2270760" cy="32893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7076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肝胆胰夕卜科杂志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Journal of Hepatopancreatobiliary Surgery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09.45000000000002pt;margin-top:41.700000000000003pt;width:178.80000000000001pt;height:25.9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肝胆胰夕卜科杂志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Journal of Hepatopancreatobiliary Surgery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657860</wp:posOffset>
              </wp:positionH>
              <wp:positionV relativeFrom="page">
                <wp:posOffset>602615</wp:posOffset>
              </wp:positionV>
              <wp:extent cx="612775" cy="24384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2775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32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期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2020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11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1.800000000000004pt;margin-top:47.450000000000003pt;width:48.25pt;height:19.199999999999999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32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11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期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2020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11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645160</wp:posOffset>
              </wp:positionH>
              <wp:positionV relativeFrom="page">
                <wp:posOffset>916305</wp:posOffset>
              </wp:positionV>
              <wp:extent cx="6266815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800000000000004pt;margin-top:72.15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36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FFFFFF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4_"/>
    <w:basedOn w:val="DefaultParagraphFont"/>
    <w:link w:val="Style2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5">
    <w:name w:val="Body text|5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7">
    <w:name w:val="Header or footer|2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Picture caption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17">
    <w:name w:val="Heading #1|1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21">
    <w:name w:val="Body text|3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27">
    <w:name w:val="Body text|2_"/>
    <w:basedOn w:val="DefaultParagraphFont"/>
    <w:link w:val="Style26"/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CharStyle36">
    <w:name w:val="Body text|1_"/>
    <w:basedOn w:val="DefaultParagraphFont"/>
    <w:link w:val="Style35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Body text|4"/>
    <w:basedOn w:val="Normal"/>
    <w:link w:val="CharStyle3"/>
    <w:pPr>
      <w:widowControl w:val="0"/>
      <w:shd w:val="clear" w:color="auto" w:fill="auto"/>
      <w:spacing w:after="40"/>
      <w:jc w:val="center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4">
    <w:name w:val="Body text|5"/>
    <w:basedOn w:val="Normal"/>
    <w:link w:val="CharStyle5"/>
    <w:pPr>
      <w:widowControl w:val="0"/>
      <w:shd w:val="clear" w:color="auto" w:fill="auto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6">
    <w:name w:val="Header or footer|2"/>
    <w:basedOn w:val="Normal"/>
    <w:link w:val="CharStyle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Picture caption|1"/>
    <w:basedOn w:val="Normal"/>
    <w:link w:val="CharStyle14"/>
    <w:pPr>
      <w:widowControl w:val="0"/>
      <w:shd w:val="clear" w:color="auto" w:fill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16">
    <w:name w:val="Heading #1|1"/>
    <w:basedOn w:val="Normal"/>
    <w:link w:val="CharStyle17"/>
    <w:pPr>
      <w:widowControl w:val="0"/>
      <w:shd w:val="clear" w:color="auto" w:fill="auto"/>
      <w:spacing w:after="4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20">
    <w:name w:val="Body text|3"/>
    <w:basedOn w:val="Normal"/>
    <w:link w:val="CharStyle21"/>
    <w:pPr>
      <w:widowControl w:val="0"/>
      <w:shd w:val="clear" w:color="auto" w:fill="auto"/>
      <w:spacing w:line="29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26">
    <w:name w:val="Body text|2"/>
    <w:basedOn w:val="Normal"/>
    <w:link w:val="CharStyle27"/>
    <w:pPr>
      <w:widowControl w:val="0"/>
      <w:shd w:val="clear" w:color="auto" w:fill="auto"/>
      <w:spacing w:after="140" w:line="343" w:lineRule="auto"/>
      <w:ind w:left="460" w:hanging="460"/>
    </w:pPr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35">
    <w:name w:val="Body text|1"/>
    <w:basedOn w:val="Normal"/>
    <w:link w:val="CharStyle36"/>
    <w:pPr>
      <w:widowControl w:val="0"/>
      <w:shd w:val="clear" w:color="auto" w:fill="auto"/>
      <w:spacing w:line="338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jpeg"/><Relationship Id="rId12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