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="http://schemas.openxmlformats.org/wordprocessingml/2006/main" xmlns:r="http://schemas.openxmlformats.org/officeDocument/2006/relationships" xmlns:w10="urn:schemas-microsoft-com:office:word" xmlns:wps="http://schemas.microsoft.com/office/word/2010/wordprocessingShape" xmlns:wpg="http://schemas.microsoft.com/office/word/2010/wordprocessingGroup" xmlns:mc="http://schemas.openxmlformats.org/markup-compatibility/2006" xmlns:w14="http://schemas.microsoft.com/office/word/2010/wordml" xmlns:w15="http://schemas.microsoft.com/office/word/2012/wordml" xmlns:o="urn:schemas-microsoft-com:office:office" xmlns:v="urn:schemas-microsoft-com:vml" xmlns:wp="http://schemas.openxmlformats.org/drawingml/2006/wordprocessingDrawing" xmlns:wp14="http://schemas.microsoft.com/office/word/2010/wordprocessingDrawing" mc:Ignorable="w14 wp14 w15">
  <w:body>
    <w:p>
      <w:pPr>
        <w:pStyle w:val="Heading1"/>
      </w:pPr>
      <w:r>
        <w:t xml:space="preserve">Geography-Based Messaging Source Assessment Guideline</w:t>
      </w:r>
    </w:p>
    <w:p>
      <w:r>
        <w:t xml:space="preserve"></w:t>
      </w:r>
    </w:p>
    <w:p>
      <w:r>
        <w:t/>
      </w:r>
      <w:r>
        <w:t xml:space="preserve">This document provides a clear reference for determining whether the geographic origin of an individual's text messages should be considered </w:t>
      </w:r>
      <w:r>
        <w:rPr>
          <w:b w:val="true"/>
        </w:rPr>
        <w:t>Safe</w:t>
      </w:r>
      <w:r>
        <w:t xml:space="preserve"> or </w:t>
      </w:r>
      <w:r>
        <w:rPr>
          <w:b w:val="true"/>
        </w:rPr>
        <w:t>Spam Likely</w:t>
      </w:r>
      <w:r>
        <w:t xml:space="preserve">. It categorises locations into two lists based on regional context, historical traffic patterns, and common hosting/VPN concentrations.</w:t>
      </w:r>
    </w:p>
    <w:p>
      <w:r>
        <w:t xml:space="preserve"></w:t>
      </w:r>
    </w:p>
    <w:p>
      <w:r>
        <w:t xml:space="preserve">---</w:t>
      </w:r>
    </w:p>
    <w:p>
      <w:r>
        <w:t xml:space="preserve"></w:t>
      </w:r>
    </w:p>
    <w:p>
      <w:pPr>
        <w:pStyle w:val="Heading2"/>
      </w:pPr>
      <w:r>
        <w:t xml:space="preserve">Safe Geographies</w:t>
      </w:r>
    </w:p>
    <w:p>
      <w:r>
        <w:t xml:space="preserve"></w:t>
      </w:r>
    </w:p>
    <w:p>
      <w:r>
        <w:t/>
      </w:r>
      <w:r>
        <w:t xml:space="preserve">These regions are considered </w:t>
      </w:r>
      <w:r>
        <w:rPr>
          <w:b w:val="true"/>
        </w:rPr>
        <w:t>low-risk</w:t>
      </w:r>
      <w:r>
        <w:t xml:space="preserve"> and are typical origins for legitimate users located within the ASEAN region and its immediate neighbours.</w:t>
      </w:r>
    </w:p>
    <w:p>
      <w:r>
        <w:t xml:space="preserve"></w:t>
      </w:r>
    </w:p>
    <w:p>
      <w:r>
        <w:t xml:space="preserve">Safe geographies include:</w:t>
      </w:r>
    </w:p>
    <w:p>
      <w:r>
        <w:t xml:space="preserve"></w:t>
      </w:r>
    </w:p>
    <w:p>
      <w:pPr>
        <w:pStyle w:val="List Bullet"/>
      </w:pPr>
      <w:r>
        <w:t xml:space="preserve">Malaysia (Kuala Lumpur, Selangor, Penang, Johor, Perak)</w:t>
      </w:r>
    </w:p>
    <w:p>
      <w:pPr>
        <w:pStyle w:val="List Bullet"/>
      </w:pPr>
      <w:r>
        <w:t xml:space="preserve">Singapore (Central, West, East, North, North-East)</w:t>
      </w:r>
    </w:p>
    <w:p>
      <w:pPr>
        <w:pStyle w:val="List Bullet"/>
      </w:pPr>
      <w:r>
        <w:t xml:space="preserve">Indonesia (DKI Jakarta, West Java, Central Java, Bali, East Java)</w:t>
      </w:r>
    </w:p>
    <w:p>
      <w:pPr>
        <w:pStyle w:val="List Bullet"/>
      </w:pPr>
      <w:r>
        <w:t xml:space="preserve">Thailand (Bangkok, Chiang Mai, Phuket, Chonburi, Nonthaburi)</w:t>
      </w:r>
    </w:p>
    <w:p>
      <w:pPr>
        <w:pStyle w:val="List Bullet"/>
      </w:pPr>
      <w:r>
        <w:t xml:space="preserve">Vietnam (Hanoi, Ho Chi Minh City, Da Nang, Hai Phong, Can Tho)</w:t>
      </w:r>
    </w:p>
    <w:p>
      <w:pPr>
        <w:pStyle w:val="List Bullet"/>
      </w:pPr>
      <w:r>
        <w:t xml:space="preserve">Philippines (Metro Manila, Cebu, Davao, Iloilo, Laguna)</w:t>
      </w:r>
    </w:p>
    <w:p>
      <w:pPr>
        <w:pStyle w:val="List Bullet"/>
      </w:pPr>
      <w:r>
        <w:t xml:space="preserve">Brunei (Brunei-Muara, Tutong, Belait, Temburong)</w:t>
      </w:r>
    </w:p>
    <w:p>
      <w:pPr>
        <w:pStyle w:val="List Bullet"/>
      </w:pPr>
      <w:r>
        <w:t xml:space="preserve">Cambodia (Phnom Penh, Battambang, Siem Reap, Kandal, Preah Sihanouk)</w:t>
      </w:r>
    </w:p>
    <w:p>
      <w:pPr>
        <w:pStyle w:val="List Bullet"/>
      </w:pPr>
      <w:r>
        <w:t xml:space="preserve">Laos (Vientiane, Savannakhet, Luang Prabang, Champasak, Xieng Khouang)</w:t>
      </w:r>
    </w:p>
    <w:p>
      <w:pPr>
        <w:pStyle w:val="List Bullet"/>
      </w:pPr>
      <w:r>
        <w:t xml:space="preserve">Myanmar (Yangon, Mandalay, Naypyidaw, Shan, Sagaing)</w:t>
      </w:r>
    </w:p>
    <w:p>
      <w:r>
        <w:t xml:space="preserve"></w:t>
      </w:r>
    </w:p>
    <w:p>
      <w:r>
        <w:t/>
      </w:r>
      <w:r>
        <w:t xml:space="preserve">A message originating in these regions should generally be treated as </w:t>
      </w:r>
      <w:r>
        <w:rPr>
          <w:b w:val="true"/>
        </w:rPr>
        <w:t>non-suspicious</w:t>
      </w:r>
      <w:r>
        <w:t xml:space="preserve">, unless contradicted by behavioural or linguistic red flags.</w:t>
      </w:r>
    </w:p>
    <w:p>
      <w:r>
        <w:t xml:space="preserve"></w:t>
      </w:r>
    </w:p>
    <w:p>
      <w:r>
        <w:t xml:space="preserve">---</w:t>
      </w:r>
    </w:p>
    <w:p>
      <w:r>
        <w:t xml:space="preserve"></w:t>
      </w:r>
    </w:p>
    <w:p>
      <w:pPr>
        <w:pStyle w:val="Heading2"/>
      </w:pPr>
      <w:r>
        <w:t xml:space="preserve">Suspicious Geographies (Spam Likely)</w:t>
      </w:r>
    </w:p>
    <w:p>
      <w:r>
        <w:t xml:space="preserve"></w:t>
      </w:r>
    </w:p>
    <w:p>
      <w:r>
        <w:t xml:space="preserve">These areas are associated with higher levels of spam, fraud operations, anonymising infrastructure, data centres, VPN endpoints, and inconsistent traffic behaviour.</w:t>
      </w:r>
    </w:p>
    <w:p>
      <w:r>
        <w:t xml:space="preserve"></w:t>
      </w:r>
    </w:p>
    <w:p>
      <w:r>
        <w:t/>
      </w:r>
      <w:r>
        <w:t xml:space="preserve">Messages originating from these regions may be flagged as </w:t>
      </w:r>
      <w:r>
        <w:rPr>
          <w:b w:val="true"/>
        </w:rPr>
        <w:t>Spam Likely</w:t>
      </w:r>
      <w:r>
        <w:t xml:space="preserve">, especially if the user's claimed location does not match.</w:t>
      </w:r>
    </w:p>
    <w:p>
      <w:r>
        <w:t xml:space="preserve"></w:t>
      </w:r>
    </w:p>
    <w:p>
      <w:r>
        <w:t xml:space="preserve">Suspicious geographies include:</w:t>
      </w:r>
    </w:p>
    <w:p>
      <w:r>
        <w:t xml:space="preserve"></w:t>
      </w:r>
    </w:p>
    <w:p>
      <w:pPr>
        <w:pStyle w:val="List Bullet"/>
      </w:pPr>
      <w:r>
        <w:t xml:space="preserve">United States (Virginia, California, Texas, New York, Washington)</w:t>
      </w:r>
    </w:p>
    <w:p>
      <w:pPr>
        <w:pStyle w:val="List Bullet"/>
      </w:pPr>
      <w:r>
        <w:t xml:space="preserve">Netherlands (North Holland, South Holland, Flevoland, Utrecht, Gelderland)</w:t>
      </w:r>
    </w:p>
    <w:p>
      <w:pPr>
        <w:pStyle w:val="List Bullet"/>
      </w:pPr>
      <w:r>
        <w:t xml:space="preserve">Germany (Hesse, Bavaria, North Rhine-Westphalia, Berlin, Hamburg)</w:t>
      </w:r>
    </w:p>
    <w:p>
      <w:pPr>
        <w:pStyle w:val="List Bullet"/>
      </w:pPr>
      <w:r>
        <w:t xml:space="preserve">Hong Kong (Hong Kong)</w:t>
      </w:r>
    </w:p>
    <w:p>
      <w:pPr>
        <w:pStyle w:val="List Bullet"/>
      </w:pPr>
      <w:r>
        <w:t xml:space="preserve">China (Guangdong, Beijing, Shanghai, Zhejiang)</w:t>
      </w:r>
    </w:p>
    <w:p>
      <w:pPr>
        <w:pStyle w:val="List Bullet"/>
      </w:pPr>
      <w:r>
        <w:t xml:space="preserve">Romania (Bucharest, Cluj, Iasi, Timis, Brasov)</w:t>
      </w:r>
    </w:p>
    <w:p>
      <w:pPr>
        <w:pStyle w:val="List Bullet"/>
      </w:pPr>
      <w:r>
        <w:t xml:space="preserve">Russia (Moscow, Saint Petersburg, Novosibirsk, Krasnodar, Sverdlovsk)</w:t>
      </w:r>
    </w:p>
    <w:p>
      <w:pPr>
        <w:pStyle w:val="List Bullet"/>
      </w:pPr>
      <w:r>
        <w:t xml:space="preserve">United Kingdom (England, Scotland, Wales, Northern Ireland, Greater London)</w:t>
      </w:r>
    </w:p>
    <w:p>
      <w:pPr>
        <w:pStyle w:val="List Bullet"/>
      </w:pPr>
      <w:r>
        <w:t xml:space="preserve">France (Île-de-France, Auvergne-Rhône-Alpes, Hauts-de-France, Occitanie, Grand Est)</w:t>
      </w:r>
    </w:p>
    <w:p>
      <w:pPr>
        <w:pStyle w:val="List Bullet"/>
      </w:pPr>
      <w:r>
        <w:t xml:space="preserve">Canada (Ontario, Quebec, British Columbia, Alberta, Manitoba)</w:t>
      </w:r>
    </w:p>
    <w:p>
      <w:pPr>
        <w:pStyle w:val="List Bullet"/>
      </w:pPr>
      <w:r>
        <w:t xml:space="preserve">Australia (New South Wales, Victoria, Queensland, Western Australia, South Australia)</w:t>
      </w:r>
    </w:p>
    <w:p>
      <w:r>
        <w:t xml:space="preserve"></w:t>
      </w:r>
    </w:p>
    <w:p>
      <w:r>
        <w:t xml:space="preserve">These regions warrant further scrutiny, particularly when the user's profile or expected geography does not align.</w:t>
      </w:r>
    </w:p>
    <w:p>
      <w:r>
        <w:t xml:space="preserve"></w:t>
      </w:r>
    </w:p>
    <w:p>
      <w:r>
        <w:t xml:space="preserve">---</w:t>
      </w:r>
    </w:p>
    <w:p>
      <w:r>
        <w:t xml:space="preserve"></w:t>
      </w:r>
    </w:p>
    <w:p>
      <w:pPr>
        <w:pStyle w:val="Heading2"/>
      </w:pPr>
      <w:r>
        <w:t xml:space="preserve">How to Use This Guideline</w:t>
      </w:r>
    </w:p>
    <w:p>
      <w:r>
        <w:t xml:space="preserve"></w:t>
      </w:r>
    </w:p>
    <w:p>
      <w:pPr>
        <w:pStyle w:val="List Number"/>
      </w:pPr>
      <w:r>
        <w:t xml:space="preserve">**Compare the message's reported source geography** against the lists above.</w:t>
      </w:r>
    </w:p>
    <w:p>
      <w:pPr>
        <w:pStyle w:val="List Number"/>
      </w:pPr>
      <w:r>
        <w:t xml:space="preserve">If the location appears in the *Safe* list, regard the message as low-risk unless other indicators suggest otherwise.</w:t>
      </w:r>
    </w:p>
    <w:p>
      <w:pPr>
        <w:pStyle w:val="List Number"/>
      </w:pPr>
      <w:r>
        <w:t xml:space="preserve">If the location appears in the *Suspicious* list, apply additional verification steps:</w:t>
      </w:r>
    </w:p>
    <w:p>
      <w:r>
        <w:t xml:space="preserve"></w:t>
      </w:r>
    </w:p>
    <w:p>
      <w:r>
        <w:t xml:space="preserve">   * Confirm whether the individual is travelling.</w:t>
      </w:r>
    </w:p>
    <w:p>
      <w:r>
        <w:t xml:space="preserve">   * Check whether the user commonly uses VPNs.</w:t>
      </w:r>
    </w:p>
    <w:p>
      <w:r>
        <w:t xml:space="preserve">   * Look for behavioural inconsistencies.</w:t>
      </w:r>
    </w:p>
    <w:p>
      <w:pPr>
        <w:pStyle w:val="List Number"/>
      </w:pPr>
      <w:r>
        <w:t xml:space="preserve">Use this guideline as a supporting tool, not the sole determinant of trust.</w:t>
      </w:r>
    </w:p>
    <w:p>
      <w:r>
        <w:t xml:space="preserve"></w:t>
      </w:r>
    </w:p>
    <w:p>
      <w:r>
        <w:t xml:space="preserve">---</w:t>
      </w:r>
    </w:p>
    <w:p>
      <w:r>
        <w:t xml:space="preserve"></w:t>
      </w:r>
    </w:p>
    <w:p>
      <w:pPr>
        <w:pStyle w:val="Heading2"/>
      </w:pPr>
      <w:r>
        <w:t xml:space="preserve">✅ Notes</w:t>
      </w:r>
    </w:p>
    <w:p>
      <w:r>
        <w:t xml:space="preserve"></w:t>
      </w:r>
    </w:p>
    <w:p>
      <w:pPr>
        <w:pStyle w:val="List Bullet"/>
      </w:pPr>
      <w:r>
        <w:t xml:space="preserve">These classifications are based on prevalence patterns, not inherent judgment of any country.</w:t>
      </w:r>
    </w:p>
    <w:p>
      <w:pPr>
        <w:pStyle w:val="List Bullet"/>
      </w:pPr>
      <w:r>
        <w:t>Data centre hubs and VPN-heavy regions are marked as suspicious solely due to technical traffic characteristics.</w:t>
      </w:r>
    </w:p>
    <w:sectPr>
      <w:pgSz w:w="12240" w:h="15840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/>
      </w:pBdr>
      <w:spacing w:after="30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Rule="auto"/>
    </w:pPr>
    <w:tblPr>
      <w:tblInd w:w="0" w:type="dxa"/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  <w:insideV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  <w:insideV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  <w:insideV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  <w:insideV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  <w:insideV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  <w:insideV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  <w:insideV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/>
          <w:insideV w:val="single" w:color="000000" w:themeColor="text1" w:space="0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/>
          <w:insideV w:val="single" w:color="4F81BD" w:themeColor="accent1" w:space="0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/>
          <w:insideV w:val="single" w:color="C0504D" w:themeColor="accent2" w:space="0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/>
          <w:insideV w:val="single" w:color="9BBB59" w:themeColor="accent3" w:space="0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/>
          <w:insideV w:val="single" w:color="8064A2" w:themeColor="accent4" w:space="0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/>
          <w:insideV w:val="single" w:color="4BACC6" w:themeColor="accent5" w:space="0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/>
          <w:insideV w:val="single" w:color="F79646" w:themeColor="accent6" w:space="0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