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8"/>
        </w:rPr>
        <w:t>挑战杯·中国大学生创业计划竞赛</w:t>
      </w:r>
    </w:p>
    <w:p>
      <w:pPr>
        <w:spacing w:before="0" w:after="1200" w:line="312" w:lineRule="auto"/>
        <w:jc w:val="center"/>
      </w:pPr>
      <w:r>
        <w:rPr>
          <w:rFonts w:ascii="宋体" w:hAnsi="宋体" w:eastAsia="宋体" w:cs="宋体"/>
          <w:b w:val="0"/>
          <w:i w:val="0"/>
          <w:sz w:val="24"/>
        </w:rPr>
        <w:t>参 赛 材 料 编 制 系 列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商业计划书</w:t>
      </w:r>
    </w:p>
    <w:p>
      <w:pPr>
        <w:spacing w:before="0" w:after="200" w:line="300" w:lineRule="auto"/>
        <w:jc w:val="center"/>
      </w:pPr>
      <w:r>
        <w:rPr>
          <w:rFonts w:ascii="宋体" w:hAnsi="宋体" w:eastAsia="宋体" w:cs="宋体"/>
          <w:b/>
          <w:i w:val="0"/>
          <w:sz w:val="52"/>
        </w:rPr>
        <w:t>（简 略 样 板）</w:t>
      </w:r>
    </w:p>
    <w:p>
      <w:pPr>
        <w:spacing w:before="0" w:after="120" w:line="312" w:lineRule="auto"/>
        <w:jc w:val="center"/>
      </w:pPr>
      <w:r>
        <w:rPr>
          <w:rFonts w:ascii="宋体" w:hAnsi="宋体" w:eastAsia="宋体" w:cs="宋体"/>
          <w:b w:val="0"/>
          <w:i w:val="0"/>
          <w:sz w:val="20"/>
        </w:rPr>
      </w:r>
    </w:p>
    <w:p>
      <w:pPr>
        <w:spacing w:before="120" w:after="1000" w:line="312" w:lineRule="auto"/>
        <w:jc w:val="center"/>
      </w:pPr>
      <w:r>
        <w:rPr>
          <w:rFonts w:ascii="宋体" w:hAnsi="宋体" w:eastAsia="宋体" w:cs="宋体"/>
          <w:b w:val="0"/>
          <w:i w:val="0"/>
          <w:sz w:val="30"/>
        </w:rPr>
        <w:t>—— 储粮安全物联网监控平台 ——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项目名称：</w:t>
      </w:r>
      <w:r>
        <w:rPr>
          <w:rFonts w:ascii="宋体" w:hAnsi="宋体" w:eastAsia="宋体" w:cs="宋体"/>
          <w:b w:val="0"/>
          <w:i w:val="0"/>
          <w:sz w:val="26"/>
        </w:rPr>
        <w:t>储粮安全物联网监控平台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文档性质：</w:t>
      </w:r>
      <w:r>
        <w:rPr>
          <w:rFonts w:ascii="宋体" w:hAnsi="宋体" w:eastAsia="宋体" w:cs="宋体"/>
          <w:b w:val="0"/>
          <w:i w:val="0"/>
          <w:sz w:val="26"/>
        </w:rPr>
        <w:t>压缩样板，用于演示写法，不可直接提交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团队名称：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pacing w:after="120" w:line="336" w:lineRule="auto"/>
        <w:jc w:val="center"/>
      </w:pPr>
      <w:r>
        <w:rPr>
          <w:rFonts w:ascii="宋体" w:hAnsi="宋体" w:eastAsia="宋体" w:cs="宋体"/>
          <w:b/>
          <w:i w:val="0"/>
          <w:sz w:val="26"/>
        </w:rPr>
        <w:t>所在学校：</w:t>
      </w:r>
      <w:r>
        <w:rPr>
          <w:rFonts w:ascii="宋体" w:hAnsi="宋体" w:eastAsia="宋体" w:cs="宋体"/>
          <w:b w:val="0"/>
          <w:i w:val="0"/>
          <w:sz w:val="26"/>
        </w:rPr>
        <w:t>【待填】</w:t>
      </w:r>
    </w:p>
    <w:p>
      <w:pPr>
        <w:sectPr>
          <w:headerReference w:type="default" r:id="rId9"/>
          <w:footerReference w:type="default" r:id="rId10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spacing w:after="320"/>
        <w:jc w:val="center"/>
      </w:pPr>
      <w:r>
        <w:rPr>
          <w:rFonts w:ascii="宋体" w:hAnsi="宋体" w:eastAsia="宋体" w:cs="宋体"/>
          <w:b/>
          <w:i w:val="0"/>
          <w:sz w:val="36"/>
        </w:rPr>
        <w:t>目    录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fldChar w:fldCharType="begin"/>
      </w:r>
      <w:r>
        <w:instrText xml:space="preserve">TOC \o "1-2" \h \z \u</w:instrText>
      </w:r>
      <w:r>
        <w:fldChar w:fldCharType="separate"/>
      </w:r>
      <w:r>
        <w:rPr>
          <w:rFonts w:ascii="宋体" w:hAnsi="宋体" w:eastAsia="宋体" w:cs="宋体"/>
          <w:b/>
          <w:i w:val="0"/>
          <w:sz w:val="21"/>
        </w:rPr>
        <w:t>样板说明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执行摘要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第一章  项目概述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1.1  项目定位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1.2  项目缘起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1.3  当前进展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5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第二章  需求与痛点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2.1  政策背景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2.2  行业现状与痛点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2.3  五类用户与各自诉求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2.4  需求验证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7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第三章  产品与服务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3.1  总体方案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3.2  多源感知与边缘智能引擎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3.3  粮情数字孪生与风险预警引擎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3.4  智能决策与穿透监管引擎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10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3.5  典型应用场景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3.6  与现有系统的关系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12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第四章  技术与创新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4.1  技术架构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4.2  关键技术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4.3  创新点与壁垒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14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4.4  技术验证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15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第五章  市场分析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5.1  市场规模测算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5.2  目标客户与进入路径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5.3  竞争格局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17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第六章  商业模式与财务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6.1  收入结构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6.2  定价与依据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6.3  单位经济模型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6.4  三年财务预测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19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第七章  团队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7.1  团队分工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7.2  互补性论证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21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7.3  指导教师与顾问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22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第八章  风险与对策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8.1  合规边界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23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8.2  风险清单与应对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24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第九章  发展规划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9.1  三阶段规划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26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9.2  关键假设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26</w:t>
      </w:r>
    </w:p>
    <w:p>
      <w:pPr>
        <w:tabs>
          <w:tab w:pos="8731" w:val="right" w:leader="dot"/>
        </w:tabs>
        <w:spacing w:after="0" w:before="20" w:line="280" w:lineRule="exact"/>
        <w:rPr>
          <w:rFonts w:ascii="宋体" w:hAnsi="宋体" w:eastAsia="宋体" w:cs="宋体"/>
          <w:sz w:val="21"/>
          <w:szCs w:val="21"/>
        </w:rPr>
        <w:ind w:leftChars="0" w:left="0"/>
      </w:pPr>
      <w:r>
        <w:rPr>
          <w:rFonts w:ascii="宋体" w:hAnsi="宋体" w:eastAsia="宋体" w:cs="宋体"/>
          <w:b/>
          <w:i w:val="0"/>
          <w:sz w:val="21"/>
        </w:rPr>
        <w:t>附录</w:t>
      </w:r>
      <w:r>
        <w:tab/>
      </w:r>
      <w:r>
        <w:rPr>
          <w:rFonts w:ascii="宋体" w:hAnsi="宋体" w:eastAsia="宋体" w:cs="宋体"/>
          <w:b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附录一  调研材料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附录二  合作意向与协议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附录三  知识产权证明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附录四  技术验证原始数据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附录五  系统界面与演示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附录六  财务测算明细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28</w:t>
      </w:r>
    </w:p>
    <w:p>
      <w:pPr>
        <w:tabs>
          <w:tab w:pos="8731" w:val="right" w:leader="dot"/>
        </w:tabs>
        <w:spacing w:after="0" w:before="0" w:line="280" w:lineRule="exact"/>
        <w:rPr>
          <w:rFonts w:ascii="宋体" w:hAnsi="宋体" w:eastAsia="宋体" w:cs="宋体"/>
          <w:sz w:val="21"/>
          <w:szCs w:val="21"/>
        </w:rPr>
        <w:ind w:leftChars="200" w:left="480"/>
      </w:pPr>
      <w:r>
        <w:rPr>
          <w:rFonts w:ascii="宋体" w:hAnsi="宋体" w:eastAsia="宋体" w:cs="宋体"/>
          <w:b w:val="0"/>
          <w:i w:val="0"/>
          <w:sz w:val="21"/>
        </w:rPr>
        <w:t>附录七  参考资料</w:t>
      </w:r>
      <w:r>
        <w:tab/>
      </w:r>
      <w:r>
        <w:rPr>
          <w:rFonts w:ascii="宋体" w:hAnsi="宋体" w:eastAsia="宋体" w:cs="宋体"/>
          <w:b w:val="0"/>
          <w:i w:val="0"/>
          <w:sz w:val="21"/>
        </w:rPr>
        <w:t>29</w:t>
      </w:r>
      <w:r>
        <w:fldChar w:fldCharType="end"/>
      </w:r>
    </w:p>
    <w:p>
      <w:pPr>
        <w:sectPr>
          <w:headerReference w:type="default" r:id="rId11"/>
          <w:footerReference w:type="default" r:id="rId12"/>
          <w:pgSz w:w="11906" w:h="16838"/>
          <w:pgMar w:top="1440" w:right="1587" w:bottom="1440" w:left="1587" w:header="850" w:footer="850" w:gutter="0"/>
          <w:cols w:space="720"/>
          <w:docGrid w:linePitch="360"/>
        </w:sectPr>
      </w:pP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样板说明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文是一份“压缩样板”，用于演示商业计划书写成什么样才算合格。它保留了完整商业计划书的全部章节骨架，但每一章都压缩到真实篇幅的三分之一左右，因此不能直接当作参赛作品提交——需要按《设计纲要》的篇幅预算扩写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阅读时请留意三件事：一是每一章的第一段都直接给出结论，后续才展开论证；二是每一个论断后面都跟着证据，或明确标注【待填】等待填入真实数据；三是全文没有出现“自动执行通风熏蒸”“保证粮食不霉变”这类会越界的表述。这三点是评审最容易察觉、也最容易拉开差距的地方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【关于本文中的数字】</w:t>
      </w:r>
      <w:r>
        <w:rPr>
          <w:rFonts w:ascii="宋体" w:hAnsi="宋体" w:eastAsia="宋体" w:cs="宋体"/>
          <w:b w:val="0"/>
          <w:i w:val="0"/>
          <w:sz w:val="21"/>
        </w:rPr>
        <w:t>样板中的仓容规模、价格、财务数字均为演示测算方法所用的示例值，不构成项目事实。团队必须以自己的调研数据与最新官方统计口径替换，并在标注处注明来源与年份。挑战杯评审对数据溯源的要求极为严格，一处无法说明出处的数字，会连带损害整份材料的可信度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【关于本文中的重复】</w:t>
      </w:r>
      <w:r>
        <w:rPr>
          <w:rFonts w:ascii="宋体" w:hAnsi="宋体" w:eastAsia="宋体" w:cs="宋体"/>
          <w:b w:val="0"/>
          <w:i w:val="0"/>
          <w:sz w:val="21"/>
        </w:rPr>
        <w:t>你会注意到样板中部分内容与《项目简介与BP-PPT编制指南》重复。这是正常的：商业计划书与项目简介本就应当共用同一套口径和素材。真正的差异在于详略与证据密度——商业计划书需要更完整的论证链条与更多的原始材料支撑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执行摘要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面向粮库与粮食仓储企业，提供一套储粮安全物联网监控平台，解决储粮保管“数据测而不用、通风凭经验、虫情发现晚、数量管不住”的问题。目前已完成平台原型，并在【待填】座粮库完成回顾性验证，风险预警相较固定阈值报警平均提前【待填】小时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问题的核心不在设备，而在数据的价值没有被释放。我国粮食仓房普遍已装粮情测控系统，温湿度数据每天都在产生，但这些数据大多只存不用：通风时机靠保管员凭经验判断露点与平衡水分，过度通风造成水分损失与“掉秤”，通风不足则导致积热发热；害虫往往到翻仓扦样时才发现，此时只能加大熏蒸；储备粮的数量与质量核查仍主要靠人工。粮食存得好不好，很大程度上取决于保管员的个人经验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的方案是一套旁路部署的平台，包含三个引擎：多源感知与边缘智能引擎融合温湿度、气体、声学虫情、图像与水分数据，在库内边缘端实时研判；粮情数字孪生与风险预警引擎重建粮堆温度场与水分场，提前预测发热、结露与霉变风险；智能决策与穿透监管引擎输出通风与控温建议，并对库存数量与质量做多源交叉核验。同一套内核按三个层级组装——单仓智能终端、库级智慧粮库平台、集团与省级监管平台，因此可以从一个仓廒起步，长成一个区域的储粮安全基础设施。整套平台不替换粮库已有的测控与视频系统，实施周期通常可控制在两周以内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只做建议，不越界执行。这一产品定位有两层考虑：一是合规边界清晰，通风、熏蒸等作业由粮库持证人员按《粮油储藏技术规范》确认执行，库存的行政认定与处置权属于监管部门；二是落地阻力远小于要替代人工的“无人保管”方案，保管员从“看曲线”变成“看预警、做确认”，更容易被接受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商业模式以库级平台与智能决策订阅为主，集团与省级监管平台项目为辅。以单座粮库测算，首年收入【待填】万元，次年起订阅与运维收入【待填】万元，客户回收期约【待填】个月。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团队共 7 人，按“一人一岗、职责到章”分工，覆盖粮油储藏、技术、算法、产品、市场、财务六类职能，并配备【待填】名储粮行业顾问。我们计划在 24 个月内覆盖【待填】座粮库，成为【待填】个区域或集团的储粮安全标准工具。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第一章  项目概述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1.1  项目定位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本项目面向粮库与粮食仓储企业，提供储粮安全物联网监控平台，把粮食保管从“人工巡仓看曲线、凭经验通风熏蒸”，升级为“数据驱动、提前预警、自动建议、穿透可查”。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1-1  项目定位卡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66"/>
        <w:gridCol w:w="4366"/>
      </w:tblGrid>
      <w:tr>
        <w:trPr>
          <w:cantSplit/>
          <w:tblHeader/>
        </w:trPr>
        <w:tc>
          <w:tcPr>
            <w:tcW w:type="dxa" w:w="174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要素</w:t>
            </w:r>
          </w:p>
        </w:tc>
        <w:tc>
          <w:tcPr>
            <w:tcW w:type="dxa" w:w="698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政策性与国有粮食储备库（首要）；粮食收储与加工企业的商品粮库存（次之）；集团与省级储备粮管理公司、粮食行政管理部门（监管平台）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核心问题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储粮保管“测而不用、通风凭经验、虫情发现晚、数量管不住、数据不通”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解决方案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多源感知与边缘智能 + 粮情数字孪生与风险预警 + 智能决策与穿透监管，三个引擎、三层落地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产品定位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储粮安全监测预警与决策支持工具，只给建议、不替代作业与监管决策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商业模式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库级平台与智能决策订阅为主，集团与省级监管平台项目为辅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团队规模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7 人，覆盖粮油储藏、技术、算法、产品、市场、财务六类职能</w:t>
            </w:r>
          </w:p>
        </w:tc>
      </w:tr>
      <w:tr>
        <w:trPr>
          <w:cantSplit/>
        </w:trPr>
        <w:tc>
          <w:tcPr>
            <w:tcW w:type="dxa" w:w="174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当前阶段</w:t>
            </w:r>
          </w:p>
        </w:tc>
        <w:tc>
          <w:tcPr>
            <w:tcW w:type="dxa" w:w="698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【待填：原型完成 / 已完成 X 座粮库回顾性验证 / 已在 X 座粮库试点】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1.2  项目缘起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的缘起是【待填：写一件具体的事】。建议写团队成员在一次粮库走访中的真实见闻，例如：某粮库保管员一天要爬十几个仓廒逐层测温、回来对着几十条温度曲线判断“要不要通风”；或调阅历史记录时发现，同一个仓廒在相近的天气条件下，两位保管员做出了完全相反的通风决定，一个掉了水分、一个积了热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缘起段落用一件真事胜过一段行业分析。评审读到这里时，判断的是“这个团队是不是真的走进过粮库”。如果写“我们在课堂上了解到我国粮食产后损失严重”，会立刻失去可信度。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1.3  当前进展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已完成平台原型开发，实现多源数据接入、温度场重建、风险预警、通风建议四项核心功能。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已完成【待填】座粮库的实地调研，访谈保管员与仓储管理人员【待填】人，回收有效问卷【待填】份。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已与【待填】座粮库合作，用其历史粮情数据完成回顾性验证，形成可追溯的验证报告（详见附录四）。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已获得【待填】份粮库合作意向书；已申请软件著作权【待填】项。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进展章节只写可验证的事实，不写主观评价。不写“技术达到领先水平”，而写“已在 X 座粮库完成回顾性验证，样本覆盖 Y 个仓廒、跨度 Z 个储粮季”。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第二章  需求与痛点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2.1  政策背景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粮食安全是国家战略，中央持续强调“全方位夯实粮食安全根基”；粮食购销领域推进穿透式监管，要求从“报表上报”转向“数据可核验”；“十四五”粮食和物资储备发展规划与各地智慧粮库建设，明确了粮库信息化的改造预算与考核要求；《粮油储藏技术规范》等标准则对通风、熏蒸、气调作业给出了明确技术要求。三条政策指向同一个前提：储粮安全必须可监测、可预警、可追溯。这为本项目提供了明确的政策窗口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【写作要点】</w:t>
      </w:r>
      <w:r>
        <w:rPr>
          <w:rFonts w:ascii="宋体" w:hAnsi="宋体" w:eastAsia="宋体" w:cs="宋体"/>
          <w:b w:val="0"/>
          <w:i w:val="0"/>
          <w:sz w:val="21"/>
        </w:rPr>
        <w:t>政策部分控制在 400 字以内，写法是“一句政策 + 一句推论”，不要罗列文件清单。文件名称与发布时间请以官方最新公布为准。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2.2  行业现状与痛点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我们把粮库储粮保管的困境归纳为五个卡点，每一点都有调研证据支撑。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测而不用。粮库普遍已建粮情测控系统，能采集粮温、仓温、外温与湿度数据，但系统只会画曲线和按固定阈值报警，无法回答“这个温度变化意味着什么、还要不要继续通风”。【待填：调研得到的具体数字，例如某库 Y 个仓廒、测温点 Z 个、日均数据 W 条，但粮情员仍靠人工看曲线判断】。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通风凭经验。通风时机与时长主要靠保管员对露点温度与平衡水分的个人经验。通风过度会造成粮食水分损失、直接掉秤；通风不足则粮堆持续积热，走向发热、结露与霉变。经验丰富的人做得好，经验不足的人容易出错，且无法在多个仓廒、多座粮库之间规模化复制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虫情发现晚。储粮害虫在粮堆内部早期活动极难发现，通常要等翻仓、扦样或粮温异常时才察觉，此时多已扩散，只能依靠磷化氢熏蒸处置。反复高剂量熏蒸又带来抗药性上升与药剂残留风险。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数量管不住。政策性储备粮的数量真实是底线要求，而“转圈粮”“以陈顶新”等违规主要靠人工核查与视频回看，覆盖面有限、发现滞后、成本高。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数据不通、能耗不低。粮情测控、智能通风、视频、出入库系统由不同厂商建设，接口与口径不一，向上级报送基本靠人工填报；控温储粮电耗可观却缺乏按需调控。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2.3  五类用户与各自诉求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2-1  用户诉求对照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283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核心诉求</w:t>
            </w:r>
          </w:p>
        </w:tc>
        <w:tc>
          <w:tcPr>
            <w:tcW w:type="dxa" w:w="419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我们的价值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粮库保管员 / 粮情员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少巡仓、早知道、不担责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多源融合自动预警 + 通风建议，把“看曲线”变成“看预警、做确认”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仓储科长 / 库主任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储粮安全、损耗可控、考核合格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单仓到全库的损耗、能耗与药剂台账自动生成，安全状况一屏可见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集团 / 省级储备粮管理公司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远程看得见、考核有抓手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多库数据穿透到仓，横向对比与考核有据，抽查有靶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粮食行政管理部门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数量真实、质量良好、监管到位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多源交叉核验生成核查线索，事件全过程留痕可追溯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粮食加工 / 贸易企业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原料品质稳定、库存损耗低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按品种的储粮风险管控，降低原料损耗与品质波动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基层产后服务中心 / 种粮大户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粮食存得住、卖得好价</w:t>
            </w:r>
          </w:p>
        </w:tc>
        <w:tc>
          <w:tcPr>
            <w:tcW w:type="dxa" w:w="419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低门槛储粮风险提示，减少储粮损失，支撑“存粮于民”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2.4  需求验证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为验证需求的真实性，我们在【待填】座粮库开展了实地调研，访谈保管员与粮情员【待填】人、仓储科长及以上管理人员【待填】人、上级管理部门人员【待填】人，并回收有效问卷【待填】份。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调研结论有三点：第一，【待填】% 的受访保管员将“通风时机难以判断”列为最主要的储粮难题；第二，受访粮库在储粮信息化方面的年投入区间为【待填】万元；第三，【待填】% 的受访者表示，若系统能在通风窗口开启前给出建议并说明依据，愿意在日常保管中使用。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调研中，一位受访粮情员的原话是：“【待填：直接引用一句受访者的原话，并标注其职务】。”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【取证要求】</w:t>
      </w:r>
      <w:r>
        <w:rPr>
          <w:rFonts w:ascii="宋体" w:hAnsi="宋体" w:eastAsia="宋体" w:cs="宋体"/>
          <w:b w:val="0"/>
          <w:i w:val="0"/>
          <w:sz w:val="21"/>
        </w:rPr>
        <w:t>本节所有数字都必须能追溯到问卷原始数据或访谈记录，这些材料应完整放入附录。答辩时评委会追问样本量与调研方式，必须当场答得出来。涉及粮库库存数量、位置等敏感信息的内容，必须遵守保密要求并做脱敏处理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第三章  产品与服务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3.1  总体方案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我们的方案是在粮库现有保管流程之外，架设一条并行的“储粮安全智能防线”。它由三个引擎驱动，按三个层级交付。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引擎一，多源感知与边缘智能引擎，负责“测得全、算得快”。在现有测温电缆基础上融合气体、声学虫情、图像与水分数据，并在库内边缘节点就近完成实时研判。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引擎二，粮情数字孪生与风险预警引擎，负责“看得懂、猜得到”。把离散测点重建为三维温度场与水分场，提前预测发热、结露与霉变风险。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引擎三，智能决策与穿透监管引擎，负责“给建议、管得住”。输出通风与控温建议，并对库存数量与质量做多源交叉核验、输出核查线索。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三层落地：单仓智能终端解决一个仓廒的粮情研判，库级智慧粮库平台解决一座粮库的统一管理与决策，集团与省级监管平台解决多库数据的穿透核验与考核。三者共用一套粮情数据模型与储粮规则库，因此可以“从小往大长”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总体方案架构图”：底部为接入层（现有粮情测控系统、温湿度与气体传感器、声学传感节点、视频与图像、水分检测、气象数据、出入库系统与上级监管平台），中间为三个引擎并排，上方为三层应用，右侧标注统一的“粮情数据模型与储粮规则库”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3.2  多源感知与边缘智能引擎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感知引擎解决的是“数据从哪里来、在哪里算”。它把过去只看温湿度的单一感知，扩展为多源融合感知，并把实时计算下沉到粮库现场。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五类数据融合：温度与湿度（粮温、仓温、外温、仓湿、外湿）、气体（CO₂ 反映霉变与呼吸强度，PH₃、O₂、N₂ 反映熏蒸与气调状态）、声学（粮堆内害虫活动与取食声）、图像（仓内视频与扦样图像）、水分（入库与在库水分），在统一时空坐标下对齐，形成每个仓廒的粮情画像。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低功耗无线组网：对老库房，新增感知节点采用 LoRa/NB-IoT 免布线方案，电池供电，降低改造门槛；对已有测温电缆的库点优先复用现有数据接口。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边缘实时研判：库内边缘节点就近完成数据清洗、异常检测与虫情声学识别，实时上报结论而非原始数据流。好处有三——实时性高、断网可本地运行并缓存续传、敏感数据优先在库内处理。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国产化适配：边缘节点采用国产芯片平台（如瑞芯微 RK3576/RK3588 级别算力），兼顾算力、成本与粮食领域信息化的信创要求。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【产品边界提示】</w:t>
      </w:r>
      <w:r>
        <w:rPr>
          <w:rFonts w:ascii="宋体" w:hAnsi="宋体" w:eastAsia="宋体" w:cs="宋体"/>
          <w:b w:val="0"/>
          <w:i w:val="0"/>
          <w:sz w:val="21"/>
        </w:rPr>
        <w:t>传感节点布设于粮堆内，其材料与结构必须符合粮食接触安全要求，不得污染粮食、不得影响粮食品质。这一点务必写进产品章节，并在答辩时主动说明——它是评审很容易想到、也一定会问的问题。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3.3  粮情数字孪生与风险预警引擎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预警引擎回答“这仓粮食现在怎么样、接下来会怎么样”。它把离散的测温点数据，变成可计算、可判断的风险结论。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温度场与水分场重建。粮堆内部温度与水分在空间上连续分布，而传感器是离散点位。通过空间插值与物理约束建模，重建三维温度场与水分场，直观呈现“发热中心在哪里、正在往哪个方向扩展、离仓壁和粮面多远”，而不是让保管员自己在几十条曲线上找规律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发热、结露与霉变风险预测。结合外温外湿与天气预报，建立风险预测模型，判断是否存在持续积热趋势、是否存在结露风险，并以“风险等级 + 位置 + 时间窗”输出，例如“3 号仓东南角粮面下 1.5 米处，48 小时内存在发热风险”。这比“温度超标就报警”的僵化阈值有本质提升。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声学虫情早期检测。害虫取食与活动会产生微弱声学信号，通过粮堆内声学传感节点采集，用轻量声学事件检测网络在边缘端识别，实现“不开仓、不扦样、早知道”的早期虫情发现，把虫情发现窗口前移，从而减少熏蒸次数与药剂用量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3.4  智能决策与穿透监管引擎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决策引擎回答“该怎么办、数量对不对”。它面向粮库保管与上级监管两类用户。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智能通风与控温建议。综合粮温、水分、外温外湿与天气预报，依据露点温度与平衡水分关系判断通风窗口，给出通风方式（机械通风、内环流、控温）与建议时长，目标是“有效降温降水、避免过度通风造成水分损失”。输出的是带依据的可执行建议，执行与否由保管员按规范确认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数量与质量穿透式核查。通过视频与图像的 AI 分析（出入库作业识别、粮面形态变化）与出入库数据、测温数据、扦样检验数据的多源交叉核验，自动发现异常并生成核查线索，例如出入库记录与图像不一致、库存变动与粮温变化不匹配。平台提供线索与证据链，行政认定与处置权属于监管部门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运行态势看板与事件回溯。为库主任与上级管理者提供全库/多库实时态势、损耗与能耗台账、风险分布与处置记录看板，自动生成月度/季度储粮安全报告；关键预警与处置链路全程留痕，可事后追溯。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【关键设计原则】</w:t>
      </w:r>
      <w:r>
        <w:rPr>
          <w:rFonts w:ascii="宋体" w:hAnsi="宋体" w:eastAsia="宋体" w:cs="宋体"/>
          <w:b w:val="0"/>
          <w:i w:val="0"/>
          <w:sz w:val="21"/>
        </w:rPr>
        <w:t>通风、熏蒸、气调属于受规范约束的储粮作业，平台只输出建议与依据，作业的组织实施与安全责任由粮库持证人员按《粮油储藏技术规范》执行；涉及磷化氢等剧毒药剂的作业，平台不得远程自动执行任何动作。这一句务必写进产品章节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3.5  典型应用场景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新粮入库后的高水分粮安全过夏。夏粮入库，某仓新收小麦水分偏高，正逢高温季节。平台重建温度场后发现粮堆中部存在缓慢积热趋势，结合天气预报判断未来三天夜间具备通风条件，自动给出通风窗口与时长建议。保管员确认后执行，粮温回落、水分降至安全区间。这个场景展示的不是替代人，而是把老师傅的经验判断升级为可复用的建议，让经验不足的保管员也能做出规范操作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熏蒸期间的虫情与气体监测。某仓发现害虫迹象需要熏蒸。熏蒸期间，平台通过气体传感监测 PH₃ 浓度分布与保持情况，结合声学虫情信号辅助判断杀虫效果，为“是否可以开仓散气”提供参考依据；熏蒸前后的虫情记录自动归档，为抗性管理积累数据。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省级平台的月度库存穿透核查。月初，省储备粮管理公司打开集团级平台，系统已自动汇总辖区各库点的库存变动、粮温异常、虫情记录与出入库影像线索，对存在“库存变动与粮温或图像不匹配”的库点自动提示核查线索，并生成月度储粮安全与库存核查报告。过去需要组织人力、耗时数周的工作，被压缩成几分钟的自动化流程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3.6  与现有系统的关系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粮库已投入资金建设粮情测控、视频监控与信息化平台，任何暗示推倒重来的方案都会被拒绝。我们的集成原则是“做加法，不做替换”。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通过现有粮情测控系统的数据接口、视频监控平台接口、出入库系统接口与上级监管平台报送接口获取数据，不要求厂商改造现有系统。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旁路部署，平台以旁路方式获取数据并输出结论。即使本平台停机，粮库原有的测控与保管流程完全不受影响。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不改变工作流，保管员依然在原有系统与现场作业中工作，我们的能力以数据看板、预警提示与建议方案的形式存在。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多品牌兼容，支持不同厂商的粮情测控与视频系统接入。这既是粮库的普遍现实，也是集团与省级场景的必然要求。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支持库内本地化部署，数据不出域，满足粮库对敏感数据的严格要求。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【图示】此处插入“与现有系统集成拓扑图”，用于直观说明旁路接入、不替换主系统的关系。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第四章  技术与创新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4.1  技术架构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系统采用分层架构，自下而上分为四层：接入层负责与现有粮情测控、视频、出入库系统、传感器与气象数据源对接；数据层完成粮情时序数据、空间点位数据、影像与出入库数据的存储、索引与标准化；算法层包含多源融合与异常检测、温度场与水分场重建、风险预测、声学虫情识别、通风与控温决策、数量质量交叉核验六类能力；应用层面向三类用户提供单仓终端、库级平台、集团与省级平台三种界面形态。</w:t>
      </w:r>
    </w:p>
    <w:p>
      <w:pPr>
        <w:spacing w:before="120" w:after="200" w:line="288" w:lineRule="auto"/>
        <w:jc w:val="center"/>
        <w:pBdr>
          <w:top w:val="single" w:sz="6" w:space="6" w:color="BFBFBF"/>
          <w:bottom w:val="single" w:sz="6" w:space="6" w:color="BFBFBF"/>
          <w:left w:val="single" w:sz="6" w:space="6" w:color="BFBFBF"/>
          <w:right w:val="single" w:sz="6" w:space="6" w:color="BFBFBF"/>
        </w:pBdr>
      </w:pPr>
      <w:r>
        <w:rPr>
          <w:rFonts w:ascii="宋体" w:hAnsi="宋体" w:eastAsia="宋体" w:cs="宋体"/>
          <w:b w:val="0"/>
          <w:i w:val="0"/>
          <w:color w:val="7F7F7F"/>
          <w:sz w:val="21"/>
        </w:rPr>
        <w:t>【图示】此处插入“技术架构分层图”，每层标注关键技术选型与对外接口，并在算法层旁单列“储粮工艺与规则库”，注明与算法层的双向关系（规则约束算法，算法结果反哺规则优化）。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4.2  关键技术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以下三项是本项目技术上的关键，均按“难点—做法—验证”三段式说明。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4.2.1  多源感知融合与低功耗组网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粮库内数据源多而杂，各厂商协议与口径不一；老库房布线困难；库内高温高湿多尘，对设备可靠性要求高。我们的做法是建立统一的粮情时空数据模型与设备抽象层，通过适配器接入多源设备；新增节点采用 LoRa/NB-IoT 无线组网，免布线、电池供电。验证方式是在【待填】座粮库完成多源接入，记录接入设备种类、点数、数据完整率与端到端时延。这正是纯算法团队不愿做、而落地又必须解决的一环。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4.2.2  粮情数字孪生与风险预测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传感器是离散点位而温度水分是连续分布，不同粮种与仓型的传热传质规律差异大，且储粮风险演化缓慢（以天、周计）导致异常样本稀少。我们的做法是把空间插值与物理约束结合重建温度场与水分场，并采用“机理模型 + 数据驱动”的混合路线：用机理模型生成大范围合成工况补足样本，用真实粮情时序数据微调，以“风险等级 + 位置 + 时间窗”输出结论。验证方式是用布有密集测点的试验仓做留一交叉验证，并用历史事故仓做回顾性预测，报告提前预警时间、命中率与误报率。</w:t>
      </w:r>
    </w:p>
    <w:p>
      <w:pPr>
        <w:pStyle w:val="Heading3"/>
      </w:pPr>
      <w:r>
        <w:rPr>
          <w:rFonts w:ascii="宋体" w:hAnsi="宋体" w:eastAsia="宋体" w:cs="宋体"/>
          <w:b/>
          <w:i w:val="0"/>
          <w:sz w:val="24"/>
        </w:rPr>
        <w:t>4.2.3  声学虫情早期检测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难点在于害虫声信号极其微弱，粮堆对声音衰减大，风机与输送设备噪声干扰强。我们的做法是采用高灵敏声学传感节点与降噪、事件触发采集前端，用轻量声学事件检测网络在边缘端做常听式检测，仅在检出事件时唤醒精细识别模型判别虫种，并通过多节点协同定位活动区域。验证方式是在受控条件下放入已知虫种与数量的试验粮样，评估检出率、最小可检虫口密度与定位误差，并与人工扦样结果对照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【技术迁移说明】</w:t>
      </w:r>
      <w:r>
        <w:rPr>
          <w:rFonts w:ascii="宋体" w:hAnsi="宋体" w:eastAsia="宋体" w:cs="宋体"/>
          <w:b w:val="0"/>
          <w:i w:val="0"/>
          <w:sz w:val="21"/>
        </w:rPr>
        <w:t>团队在微弱声事件的“检测—分类—边缘部署”这条链路上已有技术积累，粮堆害虫声学识别与人体呼吸声学监测在方法上高度同源。这是本项目“有备而来”的有力论据，建议在技术章与路演中明确点出。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4.3  创新点与壁垒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与现有方案的核心差异在于三点：一是不做“测”做“判”与“决”，把数据变成风险预警与可执行的储粮建议，与现有测控厂商形成互补而非竞争；二是不换系统做旁路增强，粮库改造成本极低、实施周期短；三是用声学手段解决虫情早期发现的行业难题，把发现窗口前移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4-1  壁垒构成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壁垒类型</w:t>
            </w:r>
          </w:p>
        </w:tc>
        <w:tc>
          <w:tcPr>
            <w:tcW w:type="dxa" w:w="36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具体内容</w:t>
            </w:r>
          </w:p>
        </w:tc>
        <w:tc>
          <w:tcPr>
            <w:tcW w:type="dxa" w:w="340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积累方式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知识壁垒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储粮工艺与决策规则库、通风与控温判断规则、多粮种多仓型参数模板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与粮库保管专家共建，用真实数据持续迭代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数据壁垒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多库点长时序粮情数据集、虫情声学与影像标注集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随项目落地自然沉淀，需真实库点长期合作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工程壁垒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多品牌测控系统适配经验、老库房无线组网改造方案、边缘端国产化部署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在真实项目中逐库、逐型号积累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知识产权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软件著作权【待填】项、发明专利【待填】项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围绕多源融合风险预测、声学虫情检测与定位、通风决策三个方向布局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4.4  技术验证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所有验证数据均可追溯。目前已完成【待填】座粮库的回顾性验证，主要结果如下。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4-2  技术验证结果【待填】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验证维度</w:t>
            </w:r>
          </w:p>
        </w:tc>
        <w:tc>
          <w:tcPr>
            <w:tcW w:type="dxa" w:w="226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评价指标</w:t>
            </w:r>
          </w:p>
        </w:tc>
        <w:tc>
          <w:tcPr>
            <w:tcW w:type="dxa" w:w="283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数据来源</w:t>
            </w:r>
          </w:p>
        </w:tc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温度场重建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重建场与实测值的误差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【待填】个仓廒，密测点留一验证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风险预警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提前预警时间 / 命中率 / 误报率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【待填】座粮库历史异常仓廒回顾性预测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通风决策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通风后粮温与水分变化、能耗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同库同期对照仓试验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声学虫情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检出率 / 最小可检虫口密度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【待填】组受控试验粮样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数量核查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线索检出率 / 误报率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【待填】个库点已知案例回溯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【重要提醒】</w:t>
      </w:r>
      <w:r>
        <w:rPr>
          <w:rFonts w:ascii="宋体" w:hAnsi="宋体" w:eastAsia="宋体" w:cs="宋体"/>
          <w:b w:val="0"/>
          <w:i w:val="0"/>
          <w:sz w:val="21"/>
        </w:rPr>
        <w:t>验证数据必须真实可追溯。答辩时评委很可能追问“这个数字怎么来的”“用了多少仓廒的数据”“谁做的标注”“和什么基线比”，无法当场回答的数据，不如不写。宁可指标保守但证据链完整，也不要指标漂亮却经不起追问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第五章  市场分析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5.1  市场规模测算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我们采用自下而上的方式测算。所有数字均给出公式与假设，未采用行业报告的直接结论。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5-1  市场规模测算（示例值，须以调研数据替换）【待填】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6"/>
        <w:gridCol w:w="1746"/>
        <w:gridCol w:w="1746"/>
        <w:gridCol w:w="1746"/>
        <w:gridCol w:w="1746"/>
      </w:tblGrid>
      <w:tr>
        <w:trPr>
          <w:cantSplit/>
          <w:tblHeader/>
        </w:trPr>
        <w:tc>
          <w:tcPr>
            <w:tcW w:type="dxa" w:w="1020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层级</w:t>
            </w:r>
          </w:p>
        </w:tc>
        <w:tc>
          <w:tcPr>
            <w:tcW w:type="dxa" w:w="283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测算口径</w:t>
            </w:r>
          </w:p>
        </w:tc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数量假设</w:t>
            </w:r>
          </w:p>
        </w:tc>
        <w:tc>
          <w:tcPr>
            <w:tcW w:type="dxa" w:w="158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单价假设</w:t>
            </w:r>
          </w:p>
        </w:tc>
        <w:tc>
          <w:tcPr>
            <w:tcW w:type="dxa" w:w="158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规模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TAM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全国需储粮安全监控升级的标准仓房仓容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约【待填】亿吨【需核实】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【待填】元/吨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约【待填】亿元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SAM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有改造意愿与预算的储备库与规模型收储加工企业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约【待填】座/家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【待填】万元/库·年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约【待填】亿元/年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SOM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三年内可触达的库点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按【待填】座计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【待填】万元/库·年</w:t>
            </w:r>
          </w:p>
        </w:tc>
        <w:tc>
          <w:tcPr>
            <w:tcW w:type="dxa" w:w="158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约【待填】万元/年</w:t>
            </w:r>
          </w:p>
        </w:tc>
      </w:tr>
    </w:tbl>
    <w:p>
      <w:pPr>
        <w:spacing w:after="0" w:line="240" w:lineRule="auto"/>
      </w:pP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【口径说明】</w:t>
      </w:r>
      <w:r>
        <w:rPr>
          <w:rFonts w:ascii="宋体" w:hAnsi="宋体" w:eastAsia="宋体" w:cs="宋体"/>
          <w:b w:val="0"/>
          <w:i w:val="0"/>
          <w:sz w:val="21"/>
        </w:rPr>
        <w:t>“全国标准仓房仓容”必须来自权威来源（国家粮食和物资储备局公开信息、统计年鉴或权威行业报告），并在正文标注来源与年份。单库客单价必须来自你自己的调研与报价测算。把“全国仓容 × 一个想当然的单价”直接当市场规模写，是本项目市场分析最致命的失分点，评委会立刻追问单价的依据与来源。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5.2  目标客户与进入路径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资源有限的团队不能同时覆盖所有客户。我们的优先级是：有改造预算的政策性储备库优先，其次是规模型收储与加工企业的商品粮库存，再次是集团与省级监管平台。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第一步，灯塔粮库（0—6 个月）：选取 1 至 2 座合作意愿强的粮库，以联合课题或试用的方式落地单仓终端与库级平台，目标是产出可公开的量化效果数据（预警提前时间、水分损失对比、能耗变化）。这一步的关键不是收入，而是证据。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第二步，同类复制（6—18 个月）：以灯塔库所在区域为中心，向同类型库点复制。此时销售逻辑是“同区域同类型的可比性”——同一个储粮生态区、相似仓型与粮种，效果最容易迁移。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第三步，区域突破（18—36 个月）：以区域标杆群为基础，争取集团或省级监管平台项目，同时向粮食加工与贸易企业拓展商品粮市场。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5.3  竞争格局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储粮信息化并非无人区。我们按五类梳理，并明确与每一类的差异。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5-2  竞争格局与差异化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47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竞争类型</w:t>
            </w:r>
          </w:p>
        </w:tc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他们的优势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他们的短板</w:t>
            </w:r>
          </w:p>
        </w:tc>
        <w:tc>
          <w:tcPr>
            <w:tcW w:type="dxa" w:w="2835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我们的差异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传统粮情测控厂商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渠道深、库点覆盖广、价格低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以“测”为主，判定与决策能力弱，数据“测而不用”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在其数据之上做智能研判与决策建议，与其共存并可合作，不争“测”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安防与视频厂商的粮库方案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视频与系统集成能力强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以视频为主，缺少粮堆内部感知与储粮工艺理解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多源融合（含粮堆内声学与气体）与储粮规则库是核心差异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通用工业物联网平台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平台化、可定制、通用性强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缺少储粮专业模型，无法给出合规的通风与储粮建议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储粮工艺与规则库是壁垒，通用平台难以复制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科研院所与高校原型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算法研究深入、理论扎实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工程化与落地能力弱，缺少现场验证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已完成现场接入与回顾性验证，具备工程交付能力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粮库自建信息化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贴合自身流程，成本低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能力有限、无法跨库复制、维护成本高</w:t>
            </w:r>
          </w:p>
        </w:tc>
        <w:tc>
          <w:tcPr>
            <w:tcW w:type="dxa" w:w="2835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标准化产品 + 可复制实施，成本与可靠性更优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第六章  商业模式与财务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6.1  收入结构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采用“一主两辅”的收入结构。收入来源不宜过多，来源过多通常意味着主战场尚未想清楚。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6-1  收入结构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收入类型</w:t>
            </w:r>
          </w:p>
        </w:tc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对象</w:t>
            </w:r>
          </w:p>
        </w:tc>
        <w:tc>
          <w:tcPr>
            <w:tcW w:type="dxa" w:w="260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计费方式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定位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硬件 + 平台（主）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智能终端与边缘节点一次性销售 + 平台授权费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建立入口，产生后续服务与数据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智能决策订阅（主）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 / 集团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按仓或按库年度订阅（风险预警、通风建议、虫情监测）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现金流主体，可预测性高，构成经常性收入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监管平台项目（辅）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集团 / 粮食行政管理部门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项目制建设费 + 年度运维费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单笔金额大，树立标杆，但回款慢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运维与增值服务（辅）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全部客户</w:t>
            </w:r>
          </w:p>
        </w:tc>
        <w:tc>
          <w:tcPr>
            <w:tcW w:type="dxa" w:w="260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系统运维、设备校准、培训、年度储粮安全评估报告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提升客户黏性与单客户价值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6.2  定价与依据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定价依据来自三个角度：替客户省下的损失、对标同类产品的价格、客户预算区间内的可承受性。其中第一个与第三个角度最有说服力，因为它们分别来自客户自己的账和我们的调研。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6-2  定价方案【待填】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81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产品形态</w:t>
            </w:r>
          </w:p>
        </w:tc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目标客户</w:t>
            </w:r>
          </w:p>
        </w:tc>
        <w:tc>
          <w:tcPr>
            <w:tcW w:type="dxa" w:w="204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定价区间</w:t>
            </w:r>
          </w:p>
        </w:tc>
        <w:tc>
          <w:tcPr>
            <w:tcW w:type="dxa" w:w="294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定价依据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单仓智能终端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粮库（单仓试点）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【待填】万元/仓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硬件成本 + 安装调试 + 合理毛利；锚定单仓一个储粮季的可节省损失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库级智慧粮库平台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【待填】万元/库 + 订阅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按仓数或仓容阶梯定价，对标粮库信息化改造预算区间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智能决策订阅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 / 集团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【待填】万元/库·年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调研得到的可承受区间，折算为“每仓每年的风险保障成本”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集团 / 省级监管平台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集团 / 粮食行政管理部门</w:t>
            </w:r>
          </w:p>
        </w:tc>
        <w:tc>
          <w:tcPr>
            <w:tcW w:type="dxa" w:w="204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【待填】万元/项目 + 运维</w:t>
            </w:r>
          </w:p>
        </w:tc>
        <w:tc>
          <w:tcPr>
            <w:tcW w:type="dxa" w:w="294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对标同类区域信息化项目预算，锚定人工核查的组织成本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6.3  单位经济模型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以单座粮库测算：首年收入【待填】万元，其中硬件与平台【待填】万元、订阅【待填】万元、实施服务【待填】万元；首年成本合计【待填】万元，其中硬件 BOM 与生产【待填】万元、实施与集成成本【待填】万元（首次投入按客户生命周期摊销）、运维与支持成本【待填】万元、客户获取成本【待填】万元。次年起以订阅与运维收入为主，年收入【待填】万元，毛利率提升至【待填】%。据此计算，单库首年毛利【待填】万元，客户回收期约【待填】个月，按预期留存【待填】年计算，客户生命周期价值约【待填】万元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6.4  三年财务预测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三年预测以客户数量为唯一核心变量驱动全部结果，因此逻辑透明、便于复核。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6-3  三年财务预测框架【待填】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24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项目</w:t>
            </w:r>
          </w:p>
        </w:tc>
        <w:tc>
          <w:tcPr>
            <w:tcW w:type="dxa" w:w="226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第一年</w:t>
            </w:r>
          </w:p>
        </w:tc>
        <w:tc>
          <w:tcPr>
            <w:tcW w:type="dxa" w:w="226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第二年</w:t>
            </w:r>
          </w:p>
        </w:tc>
        <w:tc>
          <w:tcPr>
            <w:tcW w:type="dxa" w:w="170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第三年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付费粮库数（座）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其中订阅客户数（座）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监管平台项目数（个）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营业收入（万元）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总成本（万元）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其中硬件成本占比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其中人力成本占比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净利润（万元）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累计现金流（万元）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226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170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</w:tr>
    </w:tbl>
    <w:p>
      <w:pPr>
        <w:spacing w:after="0" w:line="240" w:lineRule="auto"/>
      </w:pP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关键假设三条：一是客户续费率保持【待填】% 以上；二是硬件成本随批量上升而下降，单库实施工时压缩至【待填】人日；三是集团或省级平台项目在第二年实现首个落地。现金流的缺口出现在第【待填】个月，需要【待填】万元资金支持，主要用于【待填：研发 / 生产备货 / 实施团队】。</w:t>
      </w: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【常见失分点】</w:t>
      </w:r>
      <w:r>
        <w:rPr>
          <w:rFonts w:ascii="宋体" w:hAnsi="宋体" w:eastAsia="宋体" w:cs="宋体"/>
          <w:b w:val="0"/>
          <w:i w:val="0"/>
          <w:sz w:val="21"/>
        </w:rPr>
        <w:t>一是增长率高得离谱且无解释；二是成本列得太粗，看不到硬件、实施人力与运维成本；三是完全没有现金流概念；四是忽略粮库项目回款周期长这一行业特点，把确认收入当成收到现金。挑战杯评审中常有来自投资机构的评委，这些问题他们一眼就能看出。宁可增长预期写保守一些，也要保证逻辑站得住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第七章  团队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7.1  团队分工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团队共 7 人，按“一人一岗、职责到章”分工，确保每一章材料都有明确负责人。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7-1  团队分工【待填】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角色</w:t>
            </w:r>
          </w:p>
        </w:tc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姓名 / 专业</w:t>
            </w:r>
          </w:p>
        </w:tc>
        <w:tc>
          <w:tcPr>
            <w:tcW w:type="dxa" w:w="4876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主要职责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项目负责人（队长）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整体统筹与进度管理；对外沟通与资源协调；路演主讲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技术负责人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系统架构；多品牌测控与视频系统集成；边云部署与国产化适配；知识产权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算法负责人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温度场重建与风险预测；声学虫情识别；通风决策算法；技术验证方案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行业（粮油储藏）成员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储粮工艺与通风熏蒸规则梳理；决策建议的安全边界；对接粮库与行业顾问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产品与设计成员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产品原型与界面设计；演示系统搭建；路演 PPT 视觉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市场调研成员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粮库与收储加工企业调研；客户画像与需求验证；竞争分析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财务与文案成员</w:t>
            </w:r>
          </w:p>
        </w:tc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【待填】</w:t>
            </w:r>
          </w:p>
        </w:tc>
        <w:tc>
          <w:tcPr>
            <w:tcW w:type="dxa" w:w="4876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财务测算与单位经济模型；材料撰写与统稿；提交前自检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7.2  互补性论证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本项目需要四种能力：粮油储藏专业能力、算法与软件工程能力、市场落地能力、行业渠道资源。我们 7 人的分工正是按这四项能力逐一对应设置的，前三项由团队内部成员承担，每人都有与之匹配的专业背景与实践经历。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第四项行业渠道资源，通过【待填：与 X 粮库共建课题 / 聘请 X 担任顾问 / 依托学校与粮食行业单位的合作关系】的方式补齐。同时我们清楚自己的短板在【待填：例如储粮工艺的现场经验、传感器硬件与现场施工经验】，已经通过【待填】方式应对。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7.3  指导教师与顾问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本项目配备技术指导教师【待填】名、储粮行业顾问【待填】名、产业顾问【待填】名。行业顾问来自【待填：粮库或粮油储藏科研机构】，其具体参与方式是【待填：例如共同评审通风与控温决策规则、指导风险判定的安全边界、参与验证方案设计】，而非仅挂名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第八章  风险与对策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8.1  合规边界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储粮项目有两条必须严守的红线，相关表述务必自控。第一条是数据与保密：粮库的库存数量、位置与储备规模属于敏感信息甚至涉密信息，平台必须支持本地化部署、数据不出域，并按网络安全等级保护要求建设。第二条是决策权边界：通风、熏蒸等作业由粮库持证人员按《粮油储藏技术规范》确认执行，库存数量与质量的行政认定与处置权属于监管部门，平台只提供预警、建议与核查线索。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8-1  合规表述纪律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11"/>
        <w:gridCol w:w="2911"/>
        <w:gridCol w:w="2911"/>
      </w:tblGrid>
      <w:tr>
        <w:trPr>
          <w:cantSplit/>
          <w:tblHeader/>
        </w:trPr>
        <w:tc>
          <w:tcPr>
            <w:tcW w:type="dxa" w:w="19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事项</w:t>
            </w:r>
          </w:p>
        </w:tc>
        <w:tc>
          <w:tcPr>
            <w:tcW w:type="dxa" w:w="340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我们的表述（安全）</w:t>
            </w:r>
          </w:p>
        </w:tc>
        <w:tc>
          <w:tcPr>
            <w:tcW w:type="dxa" w:w="340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禁止的表述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产品定位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储粮安全监测预警与决策支持工具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智能无人保管系统、替代保管员的自动储粮系统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作业执行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提供通风建议，由保管员按规范确认执行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平台自动执行通风、熏蒸作业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监管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提供核查线索与证据链，支持监管部门核查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平台自主认定库存违规、替代行政监管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效果宣称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提升风险发现及时性、降低损耗与能耗、减少药剂用量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保证粮食不霉变、零损耗、绝对安全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数据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本地化部署、数据不出域、脱敏、分级权限、操作审计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对外提供或公开粮库真实数量与位置数据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食品安全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传感设备材料符合粮食接触安全要求，不影响粮食品质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在粮堆内使用可能污染粮食的材料或器具</w:t>
            </w:r>
          </w:p>
        </w:tc>
      </w:tr>
    </w:tbl>
    <w:p>
      <w:pPr>
        <w:spacing w:after="0" w:line="240" w:lineRule="auto"/>
      </w:pPr>
    </w:p>
    <w:p>
      <w:pPr>
        <w:keepLines/>
        <w:spacing w:before="120" w:after="160" w:line="324" w:lineRule="auto"/>
        <w:jc w:val="both"/>
        <w:shd w:val="clear" w:color="auto" w:fill="F2F2F2"/>
        <w:pBdr>
          <w:left w:val="single" w:sz="18" w:space="6" w:color="1F4E79"/>
        </w:pBdr>
        <w:ind w:leftChars="50" w:left="120"/>
      </w:pPr>
      <w:r>
        <w:rPr>
          <w:rFonts w:ascii="宋体" w:hAnsi="宋体" w:eastAsia="宋体" w:cs="宋体"/>
          <w:b/>
          <w:i w:val="0"/>
          <w:sz w:val="21"/>
        </w:rPr>
        <w:t>【执行纪律】</w:t>
      </w:r>
      <w:r>
        <w:rPr>
          <w:rFonts w:ascii="宋体" w:hAnsi="宋体" w:eastAsia="宋体" w:cs="宋体"/>
          <w:b w:val="0"/>
          <w:i w:val="0"/>
          <w:sz w:val="21"/>
        </w:rPr>
        <w:t>以上纪律不仅约束本文的写法，也约束路演口播、答辩回答、演示系统界面文案与所有对外宣传物料。建议指定一名成员专门负责口径审查。一旦在答辩中脱口说出“我们的平台能保证储粮安全”，很可能引发评委对合规问题的连续追问，而这个话题一旦展开就很难收场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8.2  风险清单与应对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8-2  风险与应对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36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风险类别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具体表现</w:t>
            </w:r>
          </w:p>
        </w:tc>
        <w:tc>
          <w:tcPr>
            <w:tcW w:type="dxa" w:w="3402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应对措施</w:t>
            </w:r>
          </w:p>
        </w:tc>
        <w:tc>
          <w:tcPr>
            <w:tcW w:type="dxa" w:w="147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判断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政策风险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粮库信息化项目立项周期长、预算下拨节奏不确定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不把商业模式绑死在单一政策上：储粮损耗与能耗的经济账独立存在；同时拓展企业商品粮库存的自采市场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可承受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技术风险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粮种、仓型、气候差异导致模型泛化不足；老库房数据质量差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机理模型 + 数据驱动混合路线补足样本；建立数据质量分级与降级策略，数据不足时退回规则判定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安全风险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系统给出错误的通风建议，造成水分损失或延误处置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平台只做建议不做执行；建议附依据与安全约束并需保管员确认；决策链路全程留痕便于追溯复盘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必须高度重视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食品安全风险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传感设备接触粮食可能造成污染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设备材料符合粮食接触安全要求并通过检测；免维护密封设计；试点前做材料合规评估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必须高度重视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市场风险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粮库预算紧张，付费能力低于预期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分层产品降低门槛；以量化效果支撑预算申请；优先切入有示范或专项经费的客户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需持续验证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集成风险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粮情测控厂商数据接口不开放，各厂商协议差异大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旁路接入与数据订阅减少依赖；建立可复用的接口适配层；优先选择接口开放度高的客户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可控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数据合规风险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涉及粮库数量与位置等敏感数据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本地化部署、数据不出域；加密、脱敏、分级权限与操作审计；按等保要求建设；签署保密协议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必须高度重视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团队风险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成员毕业、精力投入不足、分工失衡</w:t>
            </w:r>
          </w:p>
        </w:tc>
        <w:tc>
          <w:tcPr>
            <w:tcW w:type="dxa" w:w="3402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明确分工与交接机制，文档化沉淀；引入稳定顾问；关键岗位设替补</w:t>
            </w:r>
          </w:p>
        </w:tc>
        <w:tc>
          <w:tcPr>
            <w:tcW w:type="dxa" w:w="147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真实存在，需预案</w:t>
            </w:r>
          </w:p>
        </w:tc>
      </w:tr>
    </w:tbl>
    <w:p>
      <w:pPr>
        <w:spacing w:after="0" w:line="240" w:lineRule="auto"/>
      </w:pP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第九章  发展规划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9.1  三阶段规划</w:t>
      </w:r>
    </w:p>
    <w:p>
      <w:pPr>
        <w:keepNext/>
        <w:spacing w:before="160" w:after="80"/>
        <w:jc w:val="left"/>
      </w:pPr>
      <w:r>
        <w:rPr>
          <w:rFonts w:ascii="宋体" w:hAnsi="宋体" w:eastAsia="宋体" w:cs="宋体"/>
          <w:b/>
          <w:i w:val="0"/>
          <w:sz w:val="21"/>
        </w:rPr>
        <w:t>表 9-1  三阶段发展规划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3"/>
        <w:gridCol w:w="2183"/>
        <w:gridCol w:w="2183"/>
        <w:gridCol w:w="2183"/>
      </w:tblGrid>
      <w:tr>
        <w:trPr>
          <w:cantSplit/>
          <w:tblHeader/>
        </w:trPr>
        <w:tc>
          <w:tcPr>
            <w:tcW w:type="dxa" w:w="1361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1247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2494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核心目标</w:t>
            </w:r>
          </w:p>
        </w:tc>
        <w:tc>
          <w:tcPr>
            <w:tcW w:type="dxa" w:w="3628"/>
            <w:shd w:val="clear" w:color="auto" w:fill="E8E8E8"/>
          </w:tcPr>
          <w:p>
            <w:pPr>
              <w:keepNext/>
              <w:spacing w:line="276" w:lineRule="auto" w:after="0"/>
              <w:jc w:val="center"/>
            </w:pPr>
            <w:r>
              <w:rPr>
                <w:b/>
              </w:rPr>
            </w:r>
            <w:r>
              <w:rPr>
                <w:rFonts w:ascii="宋体" w:hAnsi="宋体" w:eastAsia="宋体" w:cs="宋体"/>
                <w:b/>
                <w:i w:val="0"/>
                <w:sz w:val="21"/>
              </w:rPr>
              <w:t>可验证成果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第一阶段 原型与验证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0—6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把内核做出来，把效果证出来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可运行的平台原型；一份带真实粮情数据的验证报告；软著受理通知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第二阶段 试点与产品化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6—18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从能用变成好用，从项目变成产品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付费客户【待填】座；可量化的损耗与能耗改善数据；可复制的实施方案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/>
                <w:i w:val="0"/>
                <w:sz w:val="21"/>
              </w:rPr>
              <w:t>第三阶段 区域复制与规模化</w:t>
            </w:r>
          </w:p>
        </w:tc>
        <w:tc>
          <w:tcPr>
            <w:tcW w:type="dxa" w:w="1247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18—36 个月</w:t>
            </w:r>
          </w:p>
        </w:tc>
        <w:tc>
          <w:tcPr>
            <w:tcW w:type="dxa" w:w="2494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从单库走向区域，形成规模收入</w:t>
            </w:r>
          </w:p>
        </w:tc>
        <w:tc>
          <w:tcPr>
            <w:tcW w:type="dxa" w:w="3628"/>
          </w:tcPr>
          <w:p>
            <w:pPr>
              <w:spacing w:line="288" w:lineRule="auto" w:after="0"/>
            </w:pPr>
            <w:r/>
            <w:r>
              <w:rPr>
                <w:rFonts w:ascii="宋体" w:hAnsi="宋体" w:eastAsia="宋体" w:cs="宋体"/>
                <w:b w:val="0"/>
                <w:i w:val="0"/>
                <w:sz w:val="21"/>
              </w:rPr>
              <w:t>集团或省级项目落地；年收入【待填】万元；团队规模【待填】人</w:t>
            </w:r>
          </w:p>
        </w:tc>
      </w:tr>
    </w:tbl>
    <w:p>
      <w:pPr>
        <w:spacing w:after="0" w:line="240" w:lineRule="auto"/>
      </w:pP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9.2  关键假设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规划的可信度取决于假设是否透明。我们明确列出三条关键假设，以及假设不成立时的调整方向。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假设一：粮库对储粮安全智能监控存在真实且可付费的需求。验证方式：完成【待填】座粮库的付费意愿调研，取得【待填】份合作意向书。若不成立，转向以集团或省级平台为整体销售对象，或先做公益性的产后减损服务积累数据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假设二：产品能在不替换现有系统的前提下完成多品牌数据接入。验证方式：完成【待填】种粮情测控系统与【待填】种视频或出入库系统的适配测试。若不成立，以无线自主感知节点减少对存量系统的依赖。</w:t>
      </w:r>
    </w:p>
    <w:p>
      <w:pPr>
        <w:spacing w:after="40" w:line="336" w:lineRule="auto"/>
        <w:jc w:val="both"/>
        <w:ind w:leftChars="100" w:left="240" w:hangingChars="100" w:hanging="240"/>
      </w:pPr>
      <w:r>
        <w:rPr>
          <w:rFonts w:ascii="宋体" w:hAnsi="宋体" w:eastAsia="宋体" w:cs="宋体"/>
          <w:b w:val="0"/>
          <w:i w:val="0"/>
          <w:sz w:val="24"/>
        </w:rPr>
        <w:t>● 假设三：风险预警与通风建议的效果能够被量化并被客户认可。验证方式：在合作粮库产出前后对比数据（预警提前时间、储粮事故率、水分损失、能耗、熏蒸次数）。若不成立，重新设计评价指标体系或调整产品切入点（例如先做虫情监测这一单点价值）。</w:t>
      </w:r>
    </w:p>
    <w:p>
      <w:r>
        <w:br w:type="page"/>
      </w:r>
    </w:p>
    <w:p>
      <w:pPr>
        <w:pStyle w:val="Heading1"/>
      </w:pPr>
      <w:r>
        <w:rPr>
          <w:rFonts w:ascii="宋体" w:hAnsi="宋体" w:eastAsia="宋体" w:cs="宋体"/>
          <w:b/>
          <w:i w:val="0"/>
          <w:sz w:val="32"/>
        </w:rPr>
        <w:t>附录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附录一  调研材料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收录调研问卷原文、各粮库访谈记录、受访者名录（含职务）、问卷原始数据表。涉及库存数量、位置等敏感信息的记录须做脱敏处理。建议按粮库分册装订。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附录二  合作意向与协议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收录【待填】份粮库合作意向书或共建协议扫描件、顾问聘书、数据使用与保密协议。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附录三  知识产权证明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收录软件著作权登记证书或受理通知【待填】项、发明专利申请号【待填】项、已发表或投稿论文【待填】篇。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附录四  技术验证原始数据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验证方案原文、历史粮情数据说明（库点数、仓廒数、时间跨度、数据完整率）、温度场重建交叉验证记录、风险预警回顾性预测结果原始数据表、通风对照试验记录、声学虫情受控试验记录。这一部分直接支撑第四章的全部数字，务必完整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附录五  系统界面与演示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收录平台各模块界面截图（粮情态势看板、风险预警、通风建议、穿透核查）、演示录屏说明文档、部署环境要求说明。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附录六  财务测算明细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收录三年财务预测的完整测算表、硬件 BOM 与成本构成明细、定价调研原始数据、回款周期说明。</w:t>
      </w:r>
    </w:p>
    <w:p>
      <w:pPr>
        <w:pStyle w:val="Heading2"/>
      </w:pPr>
      <w:r>
        <w:rPr>
          <w:rFonts w:ascii="宋体" w:hAnsi="宋体" w:eastAsia="宋体" w:cs="宋体"/>
          <w:b/>
          <w:i w:val="0"/>
          <w:sz w:val="28"/>
        </w:rPr>
        <w:t>附录七  参考资料</w:t>
      </w:r>
    </w:p>
    <w:p>
      <w:pPr>
        <w:spacing w:after="60"/>
        <w:jc w:val="both"/>
        <w:ind w:firstLineChars="200" w:firstLine="480"/>
      </w:pPr>
      <w:r>
        <w:rPr>
          <w:rFonts w:ascii="宋体" w:hAnsi="宋体" w:eastAsia="宋体" w:cs="宋体"/>
          <w:b w:val="0"/>
          <w:i w:val="0"/>
          <w:sz w:val="24"/>
        </w:rPr>
        <w:t>收录引用的政策文件清单（含文件名称、发布机关、发布时间）、粮油储藏相关国家标准与行业标准清单、统计口径说明、参考文献。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1440" w:right="1587" w:bottom="1440" w:left="1587" w:header="850" w:footer="850" w:gutter="0"/>
      <w:cols w:space="720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宋体" w:hAnsi="宋体" w:eastAsia="宋体" w:cs="宋体"/>
        <w:b w:val="0"/>
        <w:i w:val="0"/>
        <w:sz w:val="18"/>
      </w:rPr>
      <w:fldChar w:fldCharType="begin"/>
      <w:instrText xml:space="preserve">PAGE \* arabic \* MERGEFORMAT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  <w:pBdr>
        <w:bottom w:val="single" w:sz="6" w:space="6" w:color="BFBFBF"/>
      </w:pBdr>
    </w:pPr>
    <w:r>
      <w:rPr>
        <w:rFonts w:ascii="宋体" w:hAnsi="宋体" w:eastAsia="宋体" w:cs="宋体"/>
        <w:b w:val="0"/>
        <w:i w:val="0"/>
        <w:color w:val="595959"/>
        <w:sz w:val="18"/>
      </w:rPr>
      <w:t>商业计划书（简略样板）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宋体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宋体" w:hAnsi="宋体" w:eastAsia="宋体" w:cs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40" w:line="336" w:lineRule="auto"/>
      <w:outlineLvl w:val="0"/>
    </w:pPr>
    <w:rPr>
      <w:rFonts w:ascii="宋体" w:hAnsi="宋体" w:eastAsia="宋体" w:cs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60" w:line="336" w:lineRule="auto"/>
      <w:outlineLvl w:val="1"/>
    </w:pPr>
    <w:rPr>
      <w:rFonts w:ascii="宋体" w:hAnsi="宋体" w:eastAsia="宋体" w:cs="宋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 w:line="336" w:lineRule="auto"/>
      <w:outlineLvl w:val="2"/>
    </w:pPr>
    <w:rPr>
      <w:rFonts w:ascii="宋体" w:hAnsi="宋体" w:eastAsia="宋体" w:cs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83" w:lineRule="auto" w:after="0"/>
      <w:outlineLvl w:val="9"/>
    </w:pPr>
    <w:rPr>
      <w:rFonts w:ascii="宋体" w:hAnsi="宋体" w:eastAsia="宋体" w:cs="宋体"/>
      <w:b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/>
        <w:sz w:val="22"/>
        <w:szCs w:val="22"/>
        <w:lang w:val="en-US" w:eastAsia="宋体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ajorFont>
      <a:minorFont>
        <a:latin typeface="宋体"/>
        <a:ea typeface="宋体"/>
        <a:cs typeface="宋体"/>
        <a:font script="Jpan" typeface="宋体"/>
        <a:font script="Hang" typeface="宋体"/>
        <a:font script="Hans" typeface="宋体"/>
        <a:font script="Hant" typeface="宋体"/>
        <a:font script="Arab" typeface="宋体"/>
        <a:font script="Hebr" typeface="宋体"/>
        <a:font script="Thai" typeface="宋体"/>
        <a:font script="Ethi" typeface="宋体"/>
        <a:font script="Beng" typeface="宋体"/>
        <a:font script="Gujr" typeface="宋体"/>
        <a:font script="Khmr" typeface="宋体"/>
        <a:font script="Knda" typeface="宋体"/>
        <a:font script="Guru" typeface="宋体"/>
        <a:font script="Cans" typeface="宋体"/>
        <a:font script="Cher" typeface="宋体"/>
        <a:font script="Yiii" typeface="宋体"/>
        <a:font script="Tibt" typeface="宋体"/>
        <a:font script="Thaa" typeface="宋体"/>
        <a:font script="Deva" typeface="宋体"/>
        <a:font script="Telu" typeface="宋体"/>
        <a:font script="Taml" typeface="宋体"/>
        <a:font script="Syrc" typeface="宋体"/>
        <a:font script="Orya" typeface="宋体"/>
        <a:font script="Mlym" typeface="宋体"/>
        <a:font script="Laoo" typeface="宋体"/>
        <a:font script="Sinh" typeface="宋体"/>
        <a:font script="Mong" typeface="宋体"/>
        <a:font script="Viet" typeface="宋体"/>
        <a:font script="Uigh" typeface="宋体"/>
        <a:font script="Geor" typeface="宋体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商业计划书（简略样板）（储粮安全物联网监控平台）</dc:title>
  <dc:subject>挑战杯中国大学生创业计划竞赛 参赛材料</dc:subject>
  <dc:creator>【待填：团队名称】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