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312" w:lineRule="auto" w:before="0" w:after="0"/>
      </w:pPr>
    </w:p>
    <w:p>
      <w:pPr>
        <w:keepNext w:val="0"/>
        <w:spacing w:line="312" w:lineRule="auto" w:before="0" w:after="0"/>
      </w:pPr>
    </w:p>
    <w:p>
      <w:pPr>
        <w:keepNext w:val="0"/>
        <w:spacing w:line="312" w:lineRule="auto" w:before="0" w:after="0"/>
      </w:pPr>
    </w:p>
    <w:p>
      <w:pPr>
        <w:keepNext w:val="0"/>
        <w:spacing w:line="312" w:lineRule="auto" w:before="0" w:after="480"/>
        <w:jc w:val="center"/>
      </w:pPr>
      <w:r>
        <w:rPr>
          <w:rFonts w:ascii="宋体" w:hAnsi="宋体" w:eastAsia="宋体" w:cs="宋体"/>
          <w:b/>
          <w:i w:val="0"/>
          <w:sz w:val="32"/>
        </w:rPr>
        <w:t>创 业 计 划 书</w:t>
      </w:r>
    </w:p>
    <w:p>
      <w:pPr>
        <w:keepNext w:val="0"/>
        <w:spacing w:line="312" w:lineRule="auto" w:before="0" w:after="200"/>
        <w:jc w:val="center"/>
      </w:pPr>
      <w:r>
        <w:rPr>
          <w:rFonts w:ascii="宋体" w:hAnsi="宋体" w:eastAsia="宋体" w:cs="宋体"/>
          <w:b/>
          <w:i w:val="0"/>
          <w:sz w:val="72"/>
        </w:rPr>
        <w:t>益  望</w:t>
      </w:r>
    </w:p>
    <w:p>
      <w:pPr>
        <w:keepNext w:val="0"/>
        <w:spacing w:line="312" w:lineRule="auto" w:before="0" w:after="160"/>
        <w:jc w:val="center"/>
      </w:pPr>
      <w:r>
        <w:rPr>
          <w:rFonts w:ascii="宋体" w:hAnsi="宋体" w:eastAsia="宋体" w:cs="宋体"/>
          <w:b w:val="0"/>
          <w:i w:val="0"/>
          <w:sz w:val="30"/>
        </w:rPr>
        <w:t>农林有益生物多模态智能监测与生态服务决策系统</w:t>
      </w:r>
    </w:p>
    <w:p>
      <w:pPr>
        <w:keepNext w:val="0"/>
        <w:spacing w:line="312" w:lineRule="auto" w:before="0" w:after="360"/>
        <w:jc w:val="center"/>
      </w:pPr>
      <w:r>
        <w:rPr>
          <w:rFonts w:ascii="宋体" w:hAnsi="宋体" w:eastAsia="宋体" w:cs="宋体"/>
          <w:b w:val="0"/>
          <w:i w:val="0"/>
          <w:sz w:val="24"/>
        </w:rPr>
        <w:t>—— 让有益生物看得见、算得清、管得住 ——</w:t>
      </w:r>
    </w:p>
    <w:p>
      <w:pPr>
        <w:spacing w:before="40" w:after="160"/>
        <w:ind w:firstLine="0"/>
        <w:pBdr>
          <w:bottom w:val="single" w:sz="8" w:color="888888"/>
        </w:pBdr>
      </w:pPr>
    </w:p>
    <w:p>
      <w:pPr>
        <w:keepNext w:val="0"/>
        <w:spacing w:line="312" w:lineRule="auto" w:before="0" w:after="240"/>
        <w:jc w:val="center"/>
      </w:pPr>
      <w:r>
        <w:rPr>
          <w:rFonts w:ascii="宋体" w:hAnsi="宋体" w:eastAsia="宋体" w:cs="宋体"/>
          <w:b/>
          <w:i w:val="0"/>
          <w:sz w:val="24"/>
        </w:rPr>
        <w:t>【简略样板 · 待团队填充与核实】</w:t>
      </w:r>
    </w:p>
    <w:p>
      <w:pPr>
        <w:keepNext w:val="0"/>
        <w:spacing w:line="360" w:lineRule="auto" w:before="0" w:after="600"/>
        <w:jc w:val="center"/>
      </w:pPr>
      <w:r>
        <w:rPr>
          <w:rFonts w:ascii="宋体" w:hAnsi="宋体" w:eastAsia="宋体" w:cs="宋体"/>
          <w:b w:val="0"/>
          <w:i w:val="0"/>
          <w:sz w:val="23"/>
        </w:rPr>
        <w:t>本文件是一份压缩后的商业计划书草稿，用于示范每一章该写什么、</w:t>
        <w:br/>
        <w:t>写成什么样子、表格如何组织。文中所有【待填】【待补】【示例】标记处都必须由团队替换为真实信息，</w:t>
        <w:br/>
        <w:t>标 ★ 的数据在完成核实前不得写入正式提交版本。</w:t>
      </w:r>
    </w:p>
    <w:p>
      <w:pPr>
        <w:keepNext w:val="0"/>
        <w:spacing w:line="312" w:lineRule="auto" w:before="0" w:after="120"/>
        <w:jc w:val="center"/>
      </w:pPr>
      <w:r>
        <w:rPr>
          <w:rFonts w:ascii="宋体" w:hAnsi="宋体" w:eastAsia="宋体" w:cs="宋体"/>
          <w:b w:val="0"/>
          <w:i w:val="0"/>
          <w:sz w:val="24"/>
        </w:rPr>
        <w:t>项目名称：农林有益生物多模态智能监测与生态服务决策系统</w:t>
      </w:r>
    </w:p>
    <w:p>
      <w:pPr>
        <w:keepNext w:val="0"/>
        <w:spacing w:line="312" w:lineRule="auto" w:before="0" w:after="120"/>
        <w:jc w:val="center"/>
      </w:pPr>
      <w:r>
        <w:rPr>
          <w:rFonts w:ascii="宋体" w:hAnsi="宋体" w:eastAsia="宋体" w:cs="宋体"/>
          <w:b w:val="0"/>
          <w:i w:val="0"/>
          <w:sz w:val="24"/>
        </w:rPr>
        <w:t>品牌名称：益望（待团队确认）</w:t>
      </w:r>
    </w:p>
    <w:p>
      <w:pPr>
        <w:keepNext w:val="0"/>
        <w:spacing w:line="312" w:lineRule="auto" w:before="0" w:after="120"/>
        <w:jc w:val="center"/>
      </w:pPr>
      <w:r>
        <w:rPr>
          <w:rFonts w:ascii="宋体" w:hAnsi="宋体" w:eastAsia="宋体" w:cs="宋体"/>
          <w:b w:val="0"/>
          <w:i w:val="0"/>
          <w:sz w:val="24"/>
        </w:rPr>
        <w:t>团队名称：【待填：团队名称】</w:t>
      </w:r>
    </w:p>
    <w:p>
      <w:pPr>
        <w:keepNext w:val="0"/>
        <w:spacing w:line="312" w:lineRule="auto" w:before="0" w:after="120"/>
        <w:jc w:val="center"/>
      </w:pPr>
      <w:r>
        <w:rPr>
          <w:rFonts w:ascii="宋体" w:hAnsi="宋体" w:eastAsia="宋体" w:cs="宋体"/>
          <w:b w:val="0"/>
          <w:i w:val="0"/>
          <w:sz w:val="24"/>
        </w:rPr>
        <w:t>申报单位：【待填：学校 / 学院】</w:t>
      </w:r>
    </w:p>
    <w:p>
      <w:pPr>
        <w:keepNext w:val="0"/>
        <w:spacing w:line="312" w:lineRule="auto" w:before="0" w:after="120"/>
        <w:jc w:val="center"/>
      </w:pPr>
      <w:r>
        <w:rPr>
          <w:rFonts w:ascii="宋体" w:hAnsi="宋体" w:eastAsia="宋体" w:cs="宋体"/>
          <w:b w:val="0"/>
          <w:i w:val="0"/>
          <w:sz w:val="24"/>
        </w:rPr>
        <w:t>项目负责人：【待填：姓名 / 专业 / 年级】</w:t>
      </w:r>
    </w:p>
    <w:p>
      <w:pPr>
        <w:keepNext w:val="0"/>
        <w:spacing w:line="312" w:lineRule="auto" w:before="0" w:after="120"/>
        <w:jc w:val="center"/>
      </w:pPr>
      <w:r>
        <w:rPr>
          <w:rFonts w:ascii="宋体" w:hAnsi="宋体" w:eastAsia="宋体" w:cs="宋体"/>
          <w:b w:val="0"/>
          <w:i w:val="0"/>
          <w:sz w:val="24"/>
        </w:rPr>
        <w:t>联系方式：【待填：电话 / 邮箱】</w:t>
      </w:r>
    </w:p>
    <w:p>
      <w:pPr>
        <w:keepNext w:val="0"/>
        <w:spacing w:line="312" w:lineRule="auto" w:before="0" w:after="120"/>
        <w:jc w:val="center"/>
      </w:pPr>
      <w:r>
        <w:rPr>
          <w:rFonts w:ascii="宋体" w:hAnsi="宋体" w:eastAsia="宋体" w:cs="宋体"/>
          <w:b w:val="0"/>
          <w:i w:val="0"/>
          <w:sz w:val="24"/>
        </w:rPr>
        <w:t>指导教师：【待填：姓名 / 职称 / 方向】</w:t>
      </w:r>
    </w:p>
    <w:p>
      <w:pPr>
        <w:keepNext w:val="0"/>
        <w:spacing w:line="312" w:lineRule="auto" w:before="0" w:after="120"/>
        <w:jc w:val="center"/>
      </w:pPr>
      <w:r>
        <w:rPr>
          <w:rFonts w:ascii="宋体" w:hAnsi="宋体" w:eastAsia="宋体" w:cs="宋体"/>
          <w:b w:val="0"/>
          <w:i w:val="0"/>
          <w:sz w:val="24"/>
        </w:rPr>
        <w:t>编制日期：2026 年 10 月</w:t>
      </w:r>
    </w:p>
    <w:p>
      <w:pPr>
        <w:sectPr>
          <w:pgSz w:w="11906" w:h="16838"/>
          <w:pgMar w:top="1440" w:right="1474" w:bottom="1440" w:left="1587" w:header="720" w:footer="720" w:gutter="0"/>
          <w:cols w:space="720"/>
          <w:docGrid w:linePitch="360"/>
        </w:sectPr>
      </w:pPr>
    </w:p>
    <w:p>
      <w:pPr>
        <w:keepNext w:val="0"/>
        <w:spacing w:line="312" w:lineRule="auto" w:before="0" w:after="240"/>
        <w:jc w:val="center"/>
      </w:pPr>
      <w:r>
        <w:rPr>
          <w:rFonts w:ascii="宋体" w:hAnsi="宋体" w:eastAsia="宋体" w:cs="宋体"/>
          <w:b/>
          <w:i w:val="0"/>
          <w:sz w:val="32"/>
        </w:rPr>
        <w:t>目  录</w:t>
      </w:r>
    </w:p>
    <w:p>
      <w:pPr>
        <w:keepNext w:val="0"/>
        <w:spacing w:line="312" w:lineRule="auto" w:before="0" w:after="200"/>
      </w:pPr>
      <w:r>
        <w:rPr>
          <w:rFonts w:ascii="宋体" w:hAnsi="宋体" w:eastAsia="宋体" w:cs="宋体"/>
          <w:b w:val="0"/>
          <w:i w:val="0"/>
          <w:color w:val="808080"/>
          <w:sz w:val="21"/>
        </w:rPr>
        <w:t>提示：目录已自动生成。若后续修改正文导致页码变化，请右键目录区域选择"更新域"→"更新整个目录"刷新页码。</w:t>
      </w:r>
    </w:p>
    <w:p>
      <w:pPr>
        <w:spacing w:line="312" w:lineRule="auto"/>
        <w:ind w:firstLine="0"/>
      </w:pPr>
      <w:r>
        <w:rPr>
          <w:rFonts w:ascii="宋体" w:hAnsi="宋体" w:eastAsia="宋体" w:cs="宋体"/>
          <w:b w:val="0"/>
          <w:i w:val="0"/>
          <w:sz w:val="24"/>
        </w:rPr>
        <w:fldChar w:fldCharType="begin"/>
        <w:instrText xml:space="preserve">TOC \o "1-3" \h \z \u</w:instrText>
        <w:fldChar w:fldCharType="separate"/>
        <w:t>【请在 Word 中右键此处，选择"更新域"→"更新整个目录"以生成页码】</w:t>
        <w:fldChar w:fldCharType="end"/>
      </w:r>
    </w:p>
    <w:p>
      <w:pPr>
        <w:sectPr>
          <w:pgSz w:w="11906" w:h="16838"/>
          <w:pgMar w:top="1440" w:right="1474" w:bottom="1440" w:left="1587" w:header="720" w:footer="720" w:gutter="0"/>
          <w:cols w:space="720"/>
          <w:docGrid w:linePitch="360"/>
        </w:sectPr>
      </w:pPr>
    </w:p>
    <w:p>
      <w:pPr>
        <w:pStyle w:val="Heading1"/>
        <w:keepNext/>
        <w:spacing w:line="312" w:lineRule="auto" w:before="280" w:after="120"/>
        <w:ind w:firstLine="0"/>
      </w:pPr>
      <w:r>
        <w:rPr>
          <w:rFonts w:ascii="宋体" w:hAnsi="宋体" w:eastAsia="宋体" w:cs="宋体"/>
          <w:b/>
          <w:i w:val="0"/>
          <w:color w:val="000000"/>
          <w:sz w:val="32"/>
        </w:rPr>
        <w:t>执行摘要</w:t>
      </w:r>
    </w:p>
    <w:p>
      <w:pPr>
        <w:keepNext w:val="0"/>
        <w:spacing w:line="312" w:lineRule="auto" w:before="0" w:after="80"/>
        <w:ind w:firstLine="480"/>
      </w:pPr>
      <w:r>
        <w:rPr>
          <w:rFonts w:ascii="宋体" w:hAnsi="宋体" w:eastAsia="宋体" w:cs="宋体"/>
          <w:b w:val="0"/>
          <w:i w:val="0"/>
          <w:sz w:val="24"/>
        </w:rPr>
        <w:t>我国农林监测的自动化装备几乎全部服务于有害生物：虫情测报灯测害虫、孢子捕捉仪测病害、昆虫雷达盯着迁飞害虫。而真正决定产量与生态安全的"有益生物"——传粉昆虫、捕食性与寄生性天敌、食虫鸟类——至今仍只能依靠人工样方与专家鉴定，测不准、测不起、测不勤。其后果有两层：一是授粉不足与天敌不足无法被及时发现，减产与虫害暴发只能事后补救；二是授粉与生物防治这些生态服务的价值无法被计量，保护生态的人拿不到经济回报。</w:t>
      </w:r>
    </w:p>
    <w:p>
      <w:pPr>
        <w:keepNext w:val="0"/>
        <w:spacing w:line="312" w:lineRule="auto" w:before="0" w:after="80"/>
        <w:ind w:firstLine="480"/>
      </w:pPr>
      <w:r>
        <w:rPr>
          <w:rFonts w:ascii="宋体" w:hAnsi="宋体" w:eastAsia="宋体" w:cs="宋体"/>
          <w:b w:val="0"/>
          <w:i w:val="0"/>
          <w:sz w:val="24"/>
        </w:rPr>
        <w:t>我们提供的是有益生物的多模态智能监测与生态服务核算服务。技术上以"跨模态观测一致性"为核心方法，用声学、视觉与环境传感器连续识别并互相验证有益生物，把单模态的高误报问题压下去；再通过"生态服务供给函数"把生物群落状态换算为可核算、可审计的生态服务价值，并给出减药、释放天敌、配置蜜源植物等可执行的调控建议。我们的差异化可以一句话概括：</w:t>
      </w:r>
      <w:r>
        <w:rPr>
          <w:rFonts w:ascii="宋体" w:hAnsi="宋体" w:eastAsia="宋体" w:cs="宋体"/>
          <w:b/>
          <w:i w:val="0"/>
          <w:sz w:val="24"/>
        </w:rPr>
        <w:t>别人测害虫，我们算服务。</w:t>
      </w:r>
    </w:p>
    <w:p>
      <w:pPr>
        <w:keepNext w:val="0"/>
        <w:spacing w:line="312" w:lineRule="auto" w:before="0" w:after="80"/>
        <w:ind w:firstLine="480"/>
      </w:pPr>
      <w:r>
        <w:rPr>
          <w:rFonts w:ascii="宋体" w:hAnsi="宋体" w:eastAsia="宋体" w:cs="宋体"/>
          <w:b w:val="0"/>
          <w:i w:val="0"/>
          <w:sz w:val="24"/>
        </w:rPr>
        <w:t>商业模式为四层：监测节点负责铺得下去，平台订阅负责收得回来，核算报告服务负责赚得到钱，数据服务负责锁得住客户。首批客户是设施农业与果园的种植主体、蜂农与蜂授粉服务商（他们需要客观凭证解决授粉效果争议），以及承担生态补偿与生态系统生产总值核算任务的地方农业农村局与林草局。</w:t>
      </w:r>
    </w:p>
    <w:p>
      <w:pPr>
        <w:keepNext w:val="0"/>
        <w:spacing w:line="312" w:lineRule="auto" w:before="0" w:after="80"/>
        <w:ind w:firstLine="480"/>
      </w:pPr>
      <w:r>
        <w:rPr>
          <w:rFonts w:ascii="宋体" w:hAnsi="宋体" w:eastAsia="宋体" w:cs="宋体"/>
          <w:b w:val="0"/>
          <w:i w:val="0"/>
          <w:sz w:val="24"/>
        </w:rPr>
        <w:t>团队 7 人，覆盖算法、嵌入式硬件、生态农林、数据平台与商业五个方向，另有 2 位指导教师分别把关生态农林与人工智能方向。本轮拟【待填：融资 / 申请经费】万元，用于田间对照试验、监测节点小批量定做与示范点建设。</w:t>
      </w:r>
    </w:p>
    <w:p>
      <w:pPr>
        <w:pStyle w:val="Heading1"/>
        <w:keepNext/>
        <w:pageBreakBefore/>
        <w:spacing w:line="312" w:lineRule="auto" w:before="280" w:after="120"/>
        <w:ind w:firstLine="0"/>
      </w:pPr>
      <w:r>
        <w:rPr>
          <w:rFonts w:ascii="宋体" w:hAnsi="宋体" w:eastAsia="宋体" w:cs="宋体"/>
          <w:b/>
          <w:i w:val="0"/>
          <w:color w:val="000000"/>
          <w:sz w:val="32"/>
        </w:rPr>
        <w:t>第一章  项目概述与愿景</w:t>
      </w:r>
    </w:p>
    <w:p>
      <w:pPr>
        <w:pStyle w:val="Heading2"/>
        <w:keepNext/>
        <w:spacing w:line="312" w:lineRule="auto" w:before="200" w:after="120"/>
        <w:ind w:firstLine="0"/>
      </w:pPr>
      <w:r>
        <w:rPr>
          <w:rFonts w:ascii="宋体" w:hAnsi="宋体" w:eastAsia="宋体" w:cs="宋体"/>
          <w:b/>
          <w:i w:val="0"/>
          <w:color w:val="000000"/>
          <w:sz w:val="28"/>
        </w:rPr>
        <w:t>1.1 我们做什么</w:t>
      </w:r>
    </w:p>
    <w:p>
      <w:pPr>
        <w:keepNext w:val="0"/>
        <w:spacing w:line="312" w:lineRule="auto" w:before="0" w:after="80"/>
        <w:ind w:firstLine="480"/>
      </w:pPr>
      <w:r>
        <w:rPr>
          <w:rFonts w:ascii="宋体" w:hAnsi="宋体" w:eastAsia="宋体" w:cs="宋体"/>
          <w:b w:val="0"/>
          <w:i w:val="0"/>
          <w:sz w:val="24"/>
        </w:rPr>
        <w:t>益望是一套面向农林有益生物的多模态智能监测与生态服务决策系统。一句话定位：</w:t>
      </w:r>
      <w:r>
        <w:rPr>
          <w:rFonts w:ascii="宋体" w:hAnsi="宋体" w:eastAsia="宋体" w:cs="宋体"/>
          <w:b/>
          <w:i w:val="0"/>
          <w:sz w:val="24"/>
        </w:rPr>
        <w:t>让农田与林子里的有益生物看得见、算得清、管得住。</w:t>
      </w:r>
    </w:p>
    <w:p>
      <w:pPr>
        <w:keepNext w:val="0"/>
        <w:spacing w:line="312" w:lineRule="auto" w:before="0" w:after="80"/>
        <w:ind w:firstLine="480"/>
      </w:pPr>
      <w:r>
        <w:rPr>
          <w:rFonts w:ascii="宋体" w:hAnsi="宋体" w:eastAsia="宋体" w:cs="宋体"/>
          <w:b w:val="0"/>
          <w:i w:val="0"/>
          <w:sz w:val="24"/>
        </w:rPr>
        <w:t>产品分三层：底层是监测节点（声学、视觉、微气象）与云平台，负责把田间的有益生物连续、可信地观测下来；中层是生态服务核算引擎，负责把生物群落状态换算成授粉服务与害虫调控服务的功能量与经济价值；上层是决策与报告服务，面向政府部门、认证机构与种植主体输出生态服务价值核算报告与田间调控建议。</w:t>
      </w:r>
    </w:p>
    <w:p>
      <w:pPr>
        <w:pStyle w:val="Heading2"/>
        <w:keepNext/>
        <w:spacing w:line="312" w:lineRule="auto" w:before="200" w:after="120"/>
        <w:ind w:firstLine="0"/>
      </w:pPr>
      <w:r>
        <w:rPr>
          <w:rFonts w:ascii="宋体" w:hAnsi="宋体" w:eastAsia="宋体" w:cs="宋体"/>
          <w:b/>
          <w:i w:val="0"/>
          <w:color w:val="000000"/>
          <w:sz w:val="28"/>
        </w:rPr>
        <w:t>1.2 为什么是现在</w:t>
      </w:r>
    </w:p>
    <w:p>
      <w:pPr>
        <w:keepNext w:val="0"/>
        <w:spacing w:line="312" w:lineRule="auto" w:before="0" w:after="80"/>
        <w:ind w:firstLine="480"/>
      </w:pPr>
      <w:r>
        <w:rPr>
          <w:rFonts w:ascii="宋体" w:hAnsi="宋体" w:eastAsia="宋体" w:cs="宋体"/>
          <w:b w:val="0"/>
          <w:i w:val="0"/>
          <w:sz w:val="24"/>
        </w:rPr>
        <w:t>三个条件同时成熟：</w:t>
      </w:r>
    </w:p>
    <w:p>
      <w:pPr>
        <w:pStyle w:val="ListBullet"/>
        <w:spacing w:line="312" w:lineRule="auto" w:before="0" w:after="60"/>
        <w:ind w:left="480" w:firstLine="0"/>
      </w:pPr>
      <w:r>
        <w:rPr>
          <w:rFonts w:ascii="宋体" w:hAnsi="宋体" w:eastAsia="宋体" w:cs="宋体"/>
          <w:b/>
          <w:i w:val="0"/>
          <w:sz w:val="24"/>
        </w:rPr>
        <w:t>政策条件</w:t>
      </w:r>
      <w:r>
        <w:rPr>
          <w:rFonts w:ascii="宋体" w:hAnsi="宋体" w:eastAsia="宋体" w:cs="宋体"/>
          <w:b w:val="0"/>
          <w:i w:val="0"/>
          <w:sz w:val="24"/>
        </w:rPr>
        <w:t>：农药化肥减量增效与绿色防控成为考核硬指标；生态补偿、生态系统生产总值核算、生态产品价值实现机制在多地推开；生物多样性保护纳入国家战略。这些任务的共同前提是——要有关于生物的数据。</w:t>
      </w:r>
    </w:p>
    <w:p>
      <w:pPr>
        <w:pStyle w:val="ListBullet"/>
        <w:spacing w:line="312" w:lineRule="auto" w:before="0" w:after="60"/>
        <w:ind w:left="480" w:firstLine="0"/>
      </w:pPr>
      <w:r>
        <w:rPr>
          <w:rFonts w:ascii="宋体" w:hAnsi="宋体" w:eastAsia="宋体" w:cs="宋体"/>
          <w:b/>
          <w:i w:val="0"/>
          <w:sz w:val="24"/>
        </w:rPr>
        <w:t>技术条件</w:t>
      </w:r>
      <w:r>
        <w:rPr>
          <w:rFonts w:ascii="宋体" w:hAnsi="宋体" w:eastAsia="宋体" w:cs="宋体"/>
          <w:b w:val="0"/>
          <w:i w:val="0"/>
          <w:sz w:val="24"/>
        </w:rPr>
        <w:t>：声音事件识别与轻量目标检测已过"能用"门槛；带 NPU 的边缘计算芯片成本持续下探；太阳能加低功耗通信的田间节点方案成熟。田间连续自主观测第一次具备工程可行性。</w:t>
      </w:r>
    </w:p>
    <w:p>
      <w:pPr>
        <w:pStyle w:val="ListBullet"/>
        <w:spacing w:line="312" w:lineRule="auto" w:before="0" w:after="60"/>
        <w:ind w:left="480" w:firstLine="0"/>
      </w:pPr>
      <w:r>
        <w:rPr>
          <w:rFonts w:ascii="宋体" w:hAnsi="宋体" w:eastAsia="宋体" w:cs="宋体"/>
          <w:b/>
          <w:i w:val="0"/>
          <w:sz w:val="24"/>
        </w:rPr>
        <w:t>数据条件</w:t>
      </w:r>
      <w:r>
        <w:rPr>
          <w:rFonts w:ascii="宋体" w:hAnsi="宋体" w:eastAsia="宋体" w:cs="宋体"/>
          <w:b w:val="0"/>
          <w:i w:val="0"/>
          <w:sz w:val="24"/>
        </w:rPr>
        <w:t>：这件事对数据积累的依赖很重。三年前需求规模不够，三年后可能已有人抢先建立数据壁垒。当前正处于需求释放而工具供给为零的窗口期。</w:t>
      </w:r>
    </w:p>
    <w:p>
      <w:pPr>
        <w:pStyle w:val="Heading2"/>
        <w:keepNext/>
        <w:spacing w:line="312" w:lineRule="auto" w:before="200" w:after="120"/>
        <w:ind w:firstLine="0"/>
      </w:pPr>
      <w:r>
        <w:rPr>
          <w:rFonts w:ascii="宋体" w:hAnsi="宋体" w:eastAsia="宋体" w:cs="宋体"/>
          <w:b/>
          <w:i w:val="0"/>
          <w:color w:val="000000"/>
          <w:sz w:val="28"/>
        </w:rPr>
        <w:t>1.3 三年阶段目标</w:t>
      </w:r>
    </w:p>
    <w:tbl>
      <w:tblPr>
        <w:tblStyle w:val="TableGrid"/>
        <w:tblW w:type="auto" w:w="0"/>
        <w:jc w:val="center"/>
        <w:tblLook w:firstColumn="1" w:firstRow="1" w:lastColumn="0" w:lastRow="0" w:noHBand="0" w:noVBand="1" w:val="04A0"/>
      </w:tblPr>
      <w:tblGrid>
        <w:gridCol w:w="2948"/>
        <w:gridCol w:w="2948"/>
        <w:gridCol w:w="2948"/>
      </w:tblGrid>
      <w:tr>
        <w:trPr>
          <w:cantSplit/>
          <w:tblHeader/>
        </w:trPr>
        <w:tc>
          <w:tcPr>
            <w:tcW w:type="dxa" w:w="1814"/>
            <w:shd w:val="clear" w:fill="EFEFEF"/>
          </w:tcPr>
          <w:p>
            <w:pPr>
              <w:keepNext/>
              <w:spacing w:line="240" w:lineRule="auto" w:after="40"/>
              <w:ind w:firstLine="0"/>
              <w:jc w:val="center"/>
            </w:pPr>
            <w:r/>
            <w:r>
              <w:rPr>
                <w:rFonts w:ascii="宋体" w:hAnsi="宋体" w:eastAsia="宋体" w:cs="宋体"/>
                <w:b/>
                <w:i w:val="0"/>
                <w:sz w:val="19"/>
              </w:rPr>
              <w:t>阶段</w:t>
            </w:r>
          </w:p>
        </w:tc>
        <w:tc>
          <w:tcPr>
            <w:tcW w:type="dxa" w:w="1020"/>
            <w:shd w:val="clear" w:fill="EFEFEF"/>
          </w:tcPr>
          <w:p>
            <w:pPr>
              <w:keepNext/>
              <w:spacing w:line="240" w:lineRule="auto" w:after="40"/>
              <w:ind w:firstLine="0"/>
              <w:jc w:val="center"/>
            </w:pPr>
            <w:r/>
            <w:r>
              <w:rPr>
                <w:rFonts w:ascii="宋体" w:hAnsi="宋体" w:eastAsia="宋体" w:cs="宋体"/>
                <w:b/>
                <w:i w:val="0"/>
                <w:sz w:val="19"/>
              </w:rPr>
              <w:t>时间</w:t>
            </w:r>
          </w:p>
        </w:tc>
        <w:tc>
          <w:tcPr>
            <w:tcW w:type="dxa" w:w="5669"/>
            <w:shd w:val="clear" w:fill="EFEFEF"/>
          </w:tcPr>
          <w:p>
            <w:pPr>
              <w:keepNext/>
              <w:spacing w:line="240" w:lineRule="auto" w:after="40"/>
              <w:ind w:firstLine="0"/>
              <w:jc w:val="center"/>
            </w:pPr>
            <w:r/>
            <w:r>
              <w:rPr>
                <w:rFonts w:ascii="宋体" w:hAnsi="宋体" w:eastAsia="宋体" w:cs="宋体"/>
                <w:b/>
                <w:i w:val="0"/>
                <w:sz w:val="19"/>
              </w:rPr>
              <w:t>可检验的目标</w:t>
            </w:r>
          </w:p>
        </w:tc>
      </w:tr>
      <w:tr>
        <w:trPr>
          <w:cantSplit/>
        </w:trPr>
        <w:tc>
          <w:tcPr>
            <w:tcW w:type="dxa" w:w="1814"/>
          </w:tcPr>
          <w:p>
            <w:pPr>
              <w:keepNext/>
              <w:spacing w:line="240" w:lineRule="auto" w:after="40"/>
              <w:ind w:firstLine="0"/>
            </w:pPr>
            <w:r/>
            <w:r>
              <w:rPr>
                <w:rFonts w:ascii="宋体" w:hAnsi="宋体" w:eastAsia="宋体" w:cs="宋体"/>
                <w:b w:val="0"/>
                <w:i w:val="0"/>
                <w:sz w:val="19"/>
              </w:rPr>
              <w:t>技术验证与滩头突破</w:t>
            </w:r>
          </w:p>
        </w:tc>
        <w:tc>
          <w:tcPr>
            <w:tcW w:type="dxa" w:w="1020"/>
          </w:tcPr>
          <w:p>
            <w:pPr>
              <w:keepNext/>
              <w:spacing w:line="240" w:lineRule="auto" w:after="40"/>
              <w:ind w:firstLine="0"/>
            </w:pPr>
            <w:r/>
            <w:r>
              <w:rPr>
                <w:rFonts w:ascii="宋体" w:hAnsi="宋体" w:eastAsia="宋体" w:cs="宋体"/>
                <w:b w:val="0"/>
                <w:i w:val="0"/>
                <w:sz w:val="19"/>
              </w:rPr>
              <w:t>第 1 年</w:t>
            </w:r>
          </w:p>
        </w:tc>
        <w:tc>
          <w:tcPr>
            <w:tcW w:type="dxa" w:w="5669"/>
          </w:tcPr>
          <w:p>
            <w:pPr>
              <w:keepNext/>
              <w:spacing w:line="240" w:lineRule="auto" w:after="40"/>
              <w:ind w:firstLine="0"/>
            </w:pPr>
            <w:r/>
            <w:r>
              <w:rPr>
                <w:rFonts w:ascii="宋体" w:hAnsi="宋体" w:eastAsia="宋体" w:cs="宋体"/>
                <w:b w:val="0"/>
                <w:i w:val="0"/>
                <w:sz w:val="19"/>
              </w:rPr>
              <w:t>完成 2–3 个示范点的授粉服务监测；完成首轮生态服务响应曲线的田间标定；拿到首批付费客户【待填：数量】</w:t>
            </w:r>
          </w:p>
        </w:tc>
      </w:tr>
      <w:tr>
        <w:trPr>
          <w:cantSplit/>
        </w:trPr>
        <w:tc>
          <w:tcPr>
            <w:tcW w:type="dxa" w:w="1814"/>
          </w:tcPr>
          <w:p>
            <w:pPr>
              <w:keepNext/>
              <w:spacing w:line="240" w:lineRule="auto" w:after="40"/>
              <w:ind w:firstLine="0"/>
            </w:pPr>
            <w:r/>
            <w:r>
              <w:rPr>
                <w:rFonts w:ascii="宋体" w:hAnsi="宋体" w:eastAsia="宋体" w:cs="宋体"/>
                <w:b w:val="0"/>
                <w:i w:val="0"/>
                <w:sz w:val="19"/>
              </w:rPr>
              <w:t>规模复制与产品化</w:t>
            </w:r>
          </w:p>
        </w:tc>
        <w:tc>
          <w:tcPr>
            <w:tcW w:type="dxa" w:w="1020"/>
          </w:tcPr>
          <w:p>
            <w:pPr>
              <w:keepNext/>
              <w:spacing w:line="240" w:lineRule="auto" w:after="40"/>
              <w:ind w:firstLine="0"/>
            </w:pPr>
            <w:r/>
            <w:r>
              <w:rPr>
                <w:rFonts w:ascii="宋体" w:hAnsi="宋体" w:eastAsia="宋体" w:cs="宋体"/>
                <w:b w:val="0"/>
                <w:i w:val="0"/>
                <w:sz w:val="19"/>
              </w:rPr>
              <w:t>第 2 年</w:t>
            </w:r>
          </w:p>
        </w:tc>
        <w:tc>
          <w:tcPr>
            <w:tcW w:type="dxa" w:w="5669"/>
          </w:tcPr>
          <w:p>
            <w:pPr>
              <w:keepNext/>
              <w:spacing w:line="240" w:lineRule="auto" w:after="40"/>
              <w:ind w:firstLine="0"/>
            </w:pPr>
            <w:r/>
            <w:r>
              <w:rPr>
                <w:rFonts w:ascii="宋体" w:hAnsi="宋体" w:eastAsia="宋体" w:cs="宋体"/>
                <w:b w:val="0"/>
                <w:i w:val="0"/>
                <w:sz w:val="19"/>
              </w:rPr>
              <w:t>节点小批量量产并完成成本优化；平台 SaaS 上线；拓展粮食主产区与林业场景；与认证或保险机构开展试点</w:t>
            </w:r>
          </w:p>
        </w:tc>
      </w:tr>
      <w:tr>
        <w:trPr>
          <w:cantSplit/>
        </w:trPr>
        <w:tc>
          <w:tcPr>
            <w:tcW w:type="dxa" w:w="1814"/>
          </w:tcPr>
          <w:p>
            <w:pPr>
              <w:spacing w:line="240" w:lineRule="auto" w:after="40"/>
              <w:ind w:firstLine="0"/>
            </w:pPr>
            <w:r/>
            <w:r>
              <w:rPr>
                <w:rFonts w:ascii="宋体" w:hAnsi="宋体" w:eastAsia="宋体" w:cs="宋体"/>
                <w:b w:val="0"/>
                <w:i w:val="0"/>
                <w:sz w:val="19"/>
              </w:rPr>
              <w:t>标准建立与横向扩张</w:t>
            </w:r>
          </w:p>
        </w:tc>
        <w:tc>
          <w:tcPr>
            <w:tcW w:type="dxa" w:w="1020"/>
          </w:tcPr>
          <w:p>
            <w:pPr>
              <w:spacing w:line="240" w:lineRule="auto" w:after="40"/>
              <w:ind w:firstLine="0"/>
            </w:pPr>
            <w:r/>
            <w:r>
              <w:rPr>
                <w:rFonts w:ascii="宋体" w:hAnsi="宋体" w:eastAsia="宋体" w:cs="宋体"/>
                <w:b w:val="0"/>
                <w:i w:val="0"/>
                <w:sz w:val="19"/>
              </w:rPr>
              <w:t>第 3 年</w:t>
            </w:r>
          </w:p>
        </w:tc>
        <w:tc>
          <w:tcPr>
            <w:tcW w:type="dxa" w:w="5669"/>
          </w:tcPr>
          <w:p>
            <w:pPr>
              <w:spacing w:line="240" w:lineRule="auto" w:after="40"/>
              <w:ind w:firstLine="0"/>
            </w:pPr>
            <w:r/>
            <w:r>
              <w:rPr>
                <w:rFonts w:ascii="宋体" w:hAnsi="宋体" w:eastAsia="宋体" w:cs="宋体"/>
                <w:b w:val="0"/>
                <w:i w:val="0"/>
                <w:sz w:val="19"/>
              </w:rPr>
              <w:t>推动"有益生物监测与生态服务核算"成为地方标准或行业参考；拓展生态补偿与生物多样性金融场景</w:t>
            </w:r>
          </w:p>
        </w:tc>
      </w:tr>
    </w:tbl>
    <w:p>
      <w:pPr>
        <w:pStyle w:val="Heading1"/>
        <w:keepNext/>
        <w:pageBreakBefore/>
        <w:spacing w:line="312" w:lineRule="auto" w:before="280" w:after="120"/>
        <w:ind w:firstLine="0"/>
      </w:pPr>
      <w:r>
        <w:rPr>
          <w:rFonts w:ascii="宋体" w:hAnsi="宋体" w:eastAsia="宋体" w:cs="宋体"/>
          <w:b/>
          <w:i w:val="0"/>
          <w:color w:val="000000"/>
          <w:sz w:val="32"/>
        </w:rPr>
        <w:t>第二章  痛点与市场机会</w:t>
      </w:r>
    </w:p>
    <w:p>
      <w:pPr>
        <w:pStyle w:val="Heading2"/>
        <w:keepNext/>
        <w:spacing w:line="312" w:lineRule="auto" w:before="200" w:after="120"/>
        <w:ind w:firstLine="0"/>
      </w:pPr>
      <w:r>
        <w:rPr>
          <w:rFonts w:ascii="宋体" w:hAnsi="宋体" w:eastAsia="宋体" w:cs="宋体"/>
          <w:b/>
          <w:i w:val="0"/>
          <w:color w:val="000000"/>
          <w:sz w:val="28"/>
        </w:rPr>
        <w:t>2.1 痛点一：监测体系只盯害虫，不看益虫</w:t>
      </w:r>
    </w:p>
    <w:p>
      <w:pPr>
        <w:keepNext w:val="0"/>
        <w:spacing w:line="312" w:lineRule="auto" w:before="120" w:after="80"/>
        <w:ind w:firstLine="480"/>
      </w:pPr>
      <w:r>
        <w:rPr>
          <w:rFonts w:ascii="宋体" w:hAnsi="宋体" w:eastAsia="宋体" w:cs="宋体"/>
          <w:b w:val="0"/>
          <w:i w:val="0"/>
          <w:sz w:val="24"/>
        </w:rPr>
        <w:t>这是最根本的一层。当前农林监测的自动化装备几乎全部服务于有害生物，有益生物完全依赖人工。</w:t>
      </w:r>
    </w:p>
    <w:tbl>
      <w:tblPr>
        <w:tblStyle w:val="TableGrid"/>
        <w:tblW w:type="auto" w:w="0"/>
        <w:jc w:val="center"/>
        <w:tblLook w:firstColumn="1" w:firstRow="1" w:lastColumn="0" w:lastRow="0" w:noHBand="0" w:noVBand="1" w:val="04A0"/>
      </w:tblPr>
      <w:tblGrid>
        <w:gridCol w:w="2948"/>
        <w:gridCol w:w="2948"/>
        <w:gridCol w:w="2948"/>
      </w:tblGrid>
      <w:tr>
        <w:trPr>
          <w:cantSplit/>
          <w:tblHeader/>
        </w:trPr>
        <w:tc>
          <w:tcPr>
            <w:tcW w:type="dxa" w:w="2268"/>
            <w:shd w:val="clear" w:fill="EFEFEF"/>
          </w:tcPr>
          <w:p>
            <w:pPr>
              <w:keepNext/>
              <w:spacing w:line="240" w:lineRule="auto" w:after="40"/>
              <w:ind w:firstLine="0"/>
              <w:jc w:val="center"/>
            </w:pPr>
            <w:r/>
            <w:r>
              <w:rPr>
                <w:rFonts w:ascii="宋体" w:hAnsi="宋体" w:eastAsia="宋体" w:cs="宋体"/>
                <w:b/>
                <w:i w:val="0"/>
                <w:sz w:val="19"/>
              </w:rPr>
              <w:t>监测手段</w:t>
            </w:r>
          </w:p>
        </w:tc>
        <w:tc>
          <w:tcPr>
            <w:tcW w:type="dxa" w:w="2835"/>
            <w:shd w:val="clear" w:fill="EFEFEF"/>
          </w:tcPr>
          <w:p>
            <w:pPr>
              <w:keepNext/>
              <w:spacing w:line="240" w:lineRule="auto" w:after="40"/>
              <w:ind w:firstLine="0"/>
              <w:jc w:val="center"/>
            </w:pPr>
            <w:r/>
            <w:r>
              <w:rPr>
                <w:rFonts w:ascii="宋体" w:hAnsi="宋体" w:eastAsia="宋体" w:cs="宋体"/>
                <w:b/>
                <w:i w:val="0"/>
                <w:sz w:val="19"/>
              </w:rPr>
              <w:t>监测对象</w:t>
            </w:r>
          </w:p>
        </w:tc>
        <w:tc>
          <w:tcPr>
            <w:tcW w:type="dxa" w:w="3402"/>
            <w:shd w:val="clear" w:fill="EFEFEF"/>
          </w:tcPr>
          <w:p>
            <w:pPr>
              <w:keepNext/>
              <w:spacing w:line="240" w:lineRule="auto" w:after="40"/>
              <w:ind w:firstLine="0"/>
              <w:jc w:val="center"/>
            </w:pPr>
            <w:r/>
            <w:r>
              <w:rPr>
                <w:rFonts w:ascii="宋体" w:hAnsi="宋体" w:eastAsia="宋体" w:cs="宋体"/>
                <w:b/>
                <w:i w:val="0"/>
                <w:sz w:val="19"/>
              </w:rPr>
              <w:t>是否有益生物</w:t>
            </w:r>
          </w:p>
        </w:tc>
      </w:tr>
      <w:tr>
        <w:trPr>
          <w:cantSplit/>
        </w:trPr>
        <w:tc>
          <w:tcPr>
            <w:tcW w:type="dxa" w:w="2268"/>
          </w:tcPr>
          <w:p>
            <w:pPr>
              <w:keepNext/>
              <w:spacing w:line="240" w:lineRule="auto" w:after="40"/>
              <w:ind w:firstLine="0"/>
            </w:pPr>
            <w:r/>
            <w:r>
              <w:rPr>
                <w:rFonts w:ascii="宋体" w:hAnsi="宋体" w:eastAsia="宋体" w:cs="宋体"/>
                <w:b w:val="0"/>
                <w:i w:val="0"/>
                <w:sz w:val="19"/>
              </w:rPr>
              <w:t>自动虫情测报灯</w:t>
            </w:r>
          </w:p>
        </w:tc>
        <w:tc>
          <w:tcPr>
            <w:tcW w:type="dxa" w:w="2835"/>
          </w:tcPr>
          <w:p>
            <w:pPr>
              <w:keepNext/>
              <w:spacing w:line="240" w:lineRule="auto" w:after="40"/>
              <w:ind w:firstLine="0"/>
            </w:pPr>
            <w:r/>
            <w:r>
              <w:rPr>
                <w:rFonts w:ascii="宋体" w:hAnsi="宋体" w:eastAsia="宋体" w:cs="宋体"/>
                <w:b w:val="0"/>
                <w:i w:val="0"/>
                <w:sz w:val="19"/>
              </w:rPr>
              <w:t>趋光性害虫</w:t>
            </w:r>
          </w:p>
        </w:tc>
        <w:tc>
          <w:tcPr>
            <w:tcW w:type="dxa" w:w="3402"/>
          </w:tcPr>
          <w:p>
            <w:pPr>
              <w:keepNext/>
              <w:spacing w:line="240" w:lineRule="auto" w:after="40"/>
              <w:ind w:firstLine="0"/>
            </w:pPr>
            <w:r/>
            <w:r>
              <w:rPr>
                <w:rFonts w:ascii="宋体" w:hAnsi="宋体" w:eastAsia="宋体" w:cs="宋体"/>
                <w:b w:val="0"/>
                <w:i w:val="0"/>
                <w:sz w:val="19"/>
              </w:rPr>
              <w:t>无，且会误杀天敌与传粉者</w:t>
            </w:r>
          </w:p>
        </w:tc>
      </w:tr>
      <w:tr>
        <w:trPr>
          <w:cantSplit/>
        </w:trPr>
        <w:tc>
          <w:tcPr>
            <w:tcW w:type="dxa" w:w="2268"/>
          </w:tcPr>
          <w:p>
            <w:pPr>
              <w:keepNext/>
              <w:spacing w:line="240" w:lineRule="auto" w:after="40"/>
              <w:ind w:firstLine="0"/>
            </w:pPr>
            <w:r/>
            <w:r>
              <w:rPr>
                <w:rFonts w:ascii="宋体" w:hAnsi="宋体" w:eastAsia="宋体" w:cs="宋体"/>
                <w:b w:val="0"/>
                <w:i w:val="0"/>
                <w:sz w:val="19"/>
              </w:rPr>
              <w:t>孢子捕捉仪 / 性诱捕器</w:t>
            </w:r>
          </w:p>
        </w:tc>
        <w:tc>
          <w:tcPr>
            <w:tcW w:type="dxa" w:w="2835"/>
          </w:tcPr>
          <w:p>
            <w:pPr>
              <w:keepNext/>
              <w:spacing w:line="240" w:lineRule="auto" w:after="40"/>
              <w:ind w:firstLine="0"/>
            </w:pPr>
            <w:r/>
            <w:r>
              <w:rPr>
                <w:rFonts w:ascii="宋体" w:hAnsi="宋体" w:eastAsia="宋体" w:cs="宋体"/>
                <w:b w:val="0"/>
                <w:i w:val="0"/>
                <w:sz w:val="19"/>
              </w:rPr>
              <w:t>病原孢子 / 特定害虫</w:t>
            </w:r>
          </w:p>
        </w:tc>
        <w:tc>
          <w:tcPr>
            <w:tcW w:type="dxa" w:w="3402"/>
          </w:tcPr>
          <w:p>
            <w:pPr>
              <w:keepNext/>
              <w:spacing w:line="240" w:lineRule="auto" w:after="40"/>
              <w:ind w:firstLine="0"/>
            </w:pPr>
            <w:r/>
            <w:r>
              <w:rPr>
                <w:rFonts w:ascii="宋体" w:hAnsi="宋体" w:eastAsia="宋体" w:cs="宋体"/>
                <w:b w:val="0"/>
                <w:i w:val="0"/>
                <w:sz w:val="19"/>
              </w:rPr>
              <w:t>无</w:t>
            </w:r>
          </w:p>
        </w:tc>
      </w:tr>
      <w:tr>
        <w:trPr>
          <w:cantSplit/>
        </w:trPr>
        <w:tc>
          <w:tcPr>
            <w:tcW w:type="dxa" w:w="2268"/>
          </w:tcPr>
          <w:p>
            <w:pPr>
              <w:keepNext/>
              <w:spacing w:line="240" w:lineRule="auto" w:after="40"/>
              <w:ind w:firstLine="0"/>
            </w:pPr>
            <w:r/>
            <w:r>
              <w:rPr>
                <w:rFonts w:ascii="宋体" w:hAnsi="宋体" w:eastAsia="宋体" w:cs="宋体"/>
                <w:b w:val="0"/>
                <w:i w:val="0"/>
                <w:sz w:val="19"/>
              </w:rPr>
              <w:t>昆虫雷达</w:t>
            </w:r>
          </w:p>
        </w:tc>
        <w:tc>
          <w:tcPr>
            <w:tcW w:type="dxa" w:w="2835"/>
          </w:tcPr>
          <w:p>
            <w:pPr>
              <w:keepNext/>
              <w:spacing w:line="240" w:lineRule="auto" w:after="40"/>
              <w:ind w:firstLine="0"/>
            </w:pPr>
            <w:r/>
            <w:r>
              <w:rPr>
                <w:rFonts w:ascii="宋体" w:hAnsi="宋体" w:eastAsia="宋体" w:cs="宋体"/>
                <w:b w:val="0"/>
                <w:i w:val="0"/>
                <w:sz w:val="19"/>
              </w:rPr>
              <w:t>迁飞性害虫（科研级装备）</w:t>
            </w:r>
          </w:p>
        </w:tc>
        <w:tc>
          <w:tcPr>
            <w:tcW w:type="dxa" w:w="3402"/>
          </w:tcPr>
          <w:p>
            <w:pPr>
              <w:keepNext/>
              <w:spacing w:line="240" w:lineRule="auto" w:after="40"/>
              <w:ind w:firstLine="0"/>
            </w:pPr>
            <w:r/>
            <w:r>
              <w:rPr>
                <w:rFonts w:ascii="宋体" w:hAnsi="宋体" w:eastAsia="宋体" w:cs="宋体"/>
                <w:b w:val="0"/>
                <w:i w:val="0"/>
                <w:sz w:val="19"/>
              </w:rPr>
              <w:t>无</w:t>
            </w:r>
          </w:p>
        </w:tc>
      </w:tr>
      <w:tr>
        <w:trPr>
          <w:cantSplit/>
        </w:trPr>
        <w:tc>
          <w:tcPr>
            <w:tcW w:type="dxa" w:w="2268"/>
          </w:tcPr>
          <w:p>
            <w:pPr>
              <w:keepNext/>
              <w:spacing w:line="240" w:lineRule="auto" w:after="40"/>
              <w:ind w:firstLine="0"/>
            </w:pPr>
            <w:r/>
            <w:r>
              <w:rPr>
                <w:rFonts w:ascii="宋体" w:hAnsi="宋体" w:eastAsia="宋体" w:cs="宋体"/>
                <w:b w:val="0"/>
                <w:i w:val="0"/>
                <w:sz w:val="19"/>
              </w:rPr>
              <w:t>黄板 / 蓝板</w:t>
            </w:r>
          </w:p>
        </w:tc>
        <w:tc>
          <w:tcPr>
            <w:tcW w:type="dxa" w:w="2835"/>
          </w:tcPr>
          <w:p>
            <w:pPr>
              <w:keepNext/>
              <w:spacing w:line="240" w:lineRule="auto" w:after="40"/>
              <w:ind w:firstLine="0"/>
            </w:pPr>
            <w:r/>
            <w:r>
              <w:rPr>
                <w:rFonts w:ascii="宋体" w:hAnsi="宋体" w:eastAsia="宋体" w:cs="宋体"/>
                <w:b w:val="0"/>
                <w:i w:val="0"/>
                <w:sz w:val="19"/>
              </w:rPr>
              <w:t>蓟马、粉虱、蚜虫（兼诱杀）</w:t>
            </w:r>
          </w:p>
        </w:tc>
        <w:tc>
          <w:tcPr>
            <w:tcW w:type="dxa" w:w="3402"/>
          </w:tcPr>
          <w:p>
            <w:pPr>
              <w:keepNext/>
              <w:spacing w:line="240" w:lineRule="auto" w:after="40"/>
              <w:ind w:firstLine="0"/>
            </w:pPr>
            <w:r/>
            <w:r>
              <w:rPr>
                <w:rFonts w:ascii="宋体" w:hAnsi="宋体" w:eastAsia="宋体" w:cs="宋体"/>
                <w:b w:val="0"/>
                <w:i w:val="0"/>
                <w:sz w:val="19"/>
              </w:rPr>
              <w:t>无，且会误杀</w:t>
            </w:r>
          </w:p>
        </w:tc>
      </w:tr>
      <w:tr>
        <w:trPr>
          <w:cantSplit/>
        </w:trPr>
        <w:tc>
          <w:tcPr>
            <w:tcW w:type="dxa" w:w="2268"/>
          </w:tcPr>
          <w:p>
            <w:pPr>
              <w:spacing w:line="240" w:lineRule="auto" w:after="40"/>
              <w:ind w:firstLine="0"/>
            </w:pPr>
            <w:r/>
            <w:r>
              <w:rPr>
                <w:rFonts w:ascii="宋体" w:hAnsi="宋体" w:eastAsia="宋体" w:cs="宋体"/>
                <w:b w:val="0"/>
                <w:i w:val="0"/>
                <w:sz w:val="19"/>
              </w:rPr>
              <w:t>有益生物</w:t>
            </w:r>
          </w:p>
        </w:tc>
        <w:tc>
          <w:tcPr>
            <w:tcW w:type="dxa" w:w="2835"/>
          </w:tcPr>
          <w:p>
            <w:pPr>
              <w:spacing w:line="240" w:lineRule="auto" w:after="40"/>
              <w:ind w:firstLine="0"/>
            </w:pPr>
            <w:r/>
            <w:r>
              <w:rPr>
                <w:rFonts w:ascii="宋体" w:hAnsi="宋体" w:eastAsia="宋体" w:cs="宋体"/>
                <w:b w:val="0"/>
                <w:i w:val="0"/>
                <w:sz w:val="19"/>
              </w:rPr>
              <w:t>传粉昆虫、天敌、食虫鸟类</w:t>
            </w:r>
          </w:p>
        </w:tc>
        <w:tc>
          <w:tcPr>
            <w:tcW w:type="dxa" w:w="3402"/>
          </w:tcPr>
          <w:p>
            <w:pPr>
              <w:spacing w:line="240" w:lineRule="auto" w:after="40"/>
              <w:ind w:firstLine="0"/>
            </w:pPr>
            <w:r/>
            <w:r>
              <w:rPr>
                <w:rFonts w:ascii="宋体" w:hAnsi="宋体" w:eastAsia="宋体" w:cs="宋体"/>
                <w:b w:val="0"/>
                <w:i w:val="0"/>
                <w:sz w:val="19"/>
              </w:rPr>
              <w:t>仅有唯一手段：人工调查</w:t>
            </w:r>
          </w:p>
        </w:tc>
      </w:tr>
    </w:tbl>
    <w:p>
      <w:pPr>
        <w:keepNext w:val="0"/>
        <w:spacing w:line="312" w:lineRule="auto" w:before="120" w:after="80"/>
        <w:ind w:firstLine="480"/>
      </w:pPr>
      <w:r>
        <w:rPr>
          <w:rFonts w:ascii="宋体" w:hAnsi="宋体" w:eastAsia="宋体" w:cs="宋体"/>
          <w:b w:val="0"/>
          <w:i w:val="0"/>
          <w:sz w:val="24"/>
        </w:rPr>
        <w:t>这个偏斜带来一个可以被现场证实的失败案例：诱虫灯与黄板本身无差别杀伤有益昆虫。但由于没有任何系统在监测有益生物，也就无法评估"花在绿色防控上的钱是否真的保护了天敌"，更无法证明"大规模诱杀是否误伤了传粉者"。</w:t>
      </w:r>
    </w:p>
    <w:p>
      <w:pPr>
        <w:keepNext w:val="0"/>
        <w:spacing w:line="312" w:lineRule="auto" w:before="0" w:after="80"/>
      </w:pPr>
      <w:r>
        <w:rPr>
          <w:rFonts w:ascii="宋体" w:hAnsi="宋体" w:eastAsia="宋体" w:cs="宋体"/>
          <w:b w:val="0"/>
          <w:i w:val="0"/>
          <w:sz w:val="24"/>
        </w:rPr>
        <w:t>【待补证据】在绿色防控示范区做一次诱虫灯与黄板诱集物的分类统计，拍照记录其中天敌与传粉者的占比。这一组照片成本极低（约 1 天），但是全篇最有冲击力的素材。</w:t>
      </w:r>
    </w:p>
    <w:p>
      <w:pPr>
        <w:pStyle w:val="Heading2"/>
        <w:keepNext/>
        <w:spacing w:line="312" w:lineRule="auto" w:before="200" w:after="120"/>
        <w:ind w:firstLine="0"/>
      </w:pPr>
      <w:r>
        <w:rPr>
          <w:rFonts w:ascii="宋体" w:hAnsi="宋体" w:eastAsia="宋体" w:cs="宋体"/>
          <w:b/>
          <w:i w:val="0"/>
          <w:color w:val="000000"/>
          <w:sz w:val="28"/>
        </w:rPr>
        <w:t>2.2 痛点二：人工调查测不准、测不起、测不勤</w:t>
      </w:r>
    </w:p>
    <w:tbl>
      <w:tblPr>
        <w:tblStyle w:val="TableGrid"/>
        <w:tblW w:type="auto" w:w="0"/>
        <w:jc w:val="center"/>
        <w:tblLook w:firstColumn="1" w:firstRow="1" w:lastColumn="0" w:lastRow="0" w:noHBand="0" w:noVBand="1" w:val="04A0"/>
      </w:tblPr>
      <w:tblGrid>
        <w:gridCol w:w="2948"/>
        <w:gridCol w:w="2948"/>
        <w:gridCol w:w="2948"/>
      </w:tblGrid>
      <w:tr>
        <w:trPr>
          <w:cantSplit/>
          <w:tblHeader/>
        </w:trPr>
        <w:tc>
          <w:tcPr>
            <w:tcW w:type="dxa" w:w="1134"/>
            <w:shd w:val="clear" w:fill="EFEFEF"/>
          </w:tcPr>
          <w:p>
            <w:pPr>
              <w:keepNext/>
              <w:spacing w:line="240" w:lineRule="auto" w:after="40"/>
              <w:ind w:firstLine="0"/>
              <w:jc w:val="center"/>
            </w:pPr>
            <w:r/>
            <w:r>
              <w:rPr>
                <w:rFonts w:ascii="宋体" w:hAnsi="宋体" w:eastAsia="宋体" w:cs="宋体"/>
                <w:b/>
                <w:i w:val="0"/>
                <w:sz w:val="19"/>
              </w:rPr>
              <w:t>缺陷</w:t>
            </w:r>
          </w:p>
        </w:tc>
        <w:tc>
          <w:tcPr>
            <w:tcW w:type="dxa" w:w="4762"/>
            <w:shd w:val="clear" w:fill="EFEFEF"/>
          </w:tcPr>
          <w:p>
            <w:pPr>
              <w:keepNext/>
              <w:spacing w:line="240" w:lineRule="auto" w:after="40"/>
              <w:ind w:firstLine="0"/>
              <w:jc w:val="center"/>
            </w:pPr>
            <w:r/>
            <w:r>
              <w:rPr>
                <w:rFonts w:ascii="宋体" w:hAnsi="宋体" w:eastAsia="宋体" w:cs="宋体"/>
                <w:b/>
                <w:i w:val="0"/>
                <w:sz w:val="19"/>
              </w:rPr>
              <w:t>具体表现</w:t>
            </w:r>
          </w:p>
        </w:tc>
        <w:tc>
          <w:tcPr>
            <w:tcW w:type="dxa" w:w="2721"/>
            <w:shd w:val="clear" w:fill="EFEFEF"/>
          </w:tcPr>
          <w:p>
            <w:pPr>
              <w:keepNext/>
              <w:spacing w:line="240" w:lineRule="auto" w:after="40"/>
              <w:ind w:firstLine="0"/>
              <w:jc w:val="center"/>
            </w:pPr>
            <w:r/>
            <w:r>
              <w:rPr>
                <w:rFonts w:ascii="宋体" w:hAnsi="宋体" w:eastAsia="宋体" w:cs="宋体"/>
                <w:b/>
                <w:i w:val="0"/>
                <w:sz w:val="19"/>
              </w:rPr>
              <w:t>后果</w:t>
            </w:r>
          </w:p>
        </w:tc>
      </w:tr>
      <w:tr>
        <w:trPr>
          <w:cantSplit/>
        </w:trPr>
        <w:tc>
          <w:tcPr>
            <w:tcW w:type="dxa" w:w="1134"/>
          </w:tcPr>
          <w:p>
            <w:pPr>
              <w:keepNext/>
              <w:spacing w:line="240" w:lineRule="auto" w:after="40"/>
              <w:ind w:firstLine="0"/>
            </w:pPr>
            <w:r/>
            <w:r>
              <w:rPr>
                <w:rFonts w:ascii="宋体" w:hAnsi="宋体" w:eastAsia="宋体" w:cs="宋体"/>
                <w:b w:val="0"/>
                <w:i w:val="0"/>
                <w:sz w:val="19"/>
              </w:rPr>
              <w:t>测不准</w:t>
            </w:r>
          </w:p>
        </w:tc>
        <w:tc>
          <w:tcPr>
            <w:tcW w:type="dxa" w:w="4762"/>
          </w:tcPr>
          <w:p>
            <w:pPr>
              <w:keepNext/>
              <w:spacing w:line="240" w:lineRule="auto" w:after="40"/>
              <w:ind w:firstLine="0"/>
            </w:pPr>
            <w:r/>
            <w:r>
              <w:rPr>
                <w:rFonts w:ascii="宋体" w:hAnsi="宋体" w:eastAsia="宋体" w:cs="宋体"/>
                <w:b w:val="0"/>
                <w:i w:val="0"/>
                <w:sz w:val="19"/>
              </w:rPr>
              <w:t>寄生蜂、食蚜蝇、野生蜂等类群形态鉴定门槛高，严重依赖分类学专家；不同调查员判定差异大</w:t>
            </w:r>
          </w:p>
        </w:tc>
        <w:tc>
          <w:tcPr>
            <w:tcW w:type="dxa" w:w="2721"/>
          </w:tcPr>
          <w:p>
            <w:pPr>
              <w:keepNext/>
              <w:spacing w:line="240" w:lineRule="auto" w:after="40"/>
              <w:ind w:firstLine="0"/>
            </w:pPr>
            <w:r/>
            <w:r>
              <w:rPr>
                <w:rFonts w:ascii="宋体" w:hAnsi="宋体" w:eastAsia="宋体" w:cs="宋体"/>
                <w:b w:val="0"/>
                <w:i w:val="0"/>
                <w:sz w:val="19"/>
              </w:rPr>
              <w:t>数据缺少一致性与可比性</w:t>
            </w:r>
          </w:p>
        </w:tc>
      </w:tr>
      <w:tr>
        <w:trPr>
          <w:cantSplit/>
        </w:trPr>
        <w:tc>
          <w:tcPr>
            <w:tcW w:type="dxa" w:w="1134"/>
          </w:tcPr>
          <w:p>
            <w:pPr>
              <w:keepNext/>
              <w:spacing w:line="240" w:lineRule="auto" w:after="40"/>
              <w:ind w:firstLine="0"/>
            </w:pPr>
            <w:r/>
            <w:r>
              <w:rPr>
                <w:rFonts w:ascii="宋体" w:hAnsi="宋体" w:eastAsia="宋体" w:cs="宋体"/>
                <w:b w:val="0"/>
                <w:i w:val="0"/>
                <w:sz w:val="19"/>
              </w:rPr>
              <w:t>测不起</w:t>
            </w:r>
          </w:p>
        </w:tc>
        <w:tc>
          <w:tcPr>
            <w:tcW w:type="dxa" w:w="4762"/>
          </w:tcPr>
          <w:p>
            <w:pPr>
              <w:keepNext/>
              <w:spacing w:line="240" w:lineRule="auto" w:after="40"/>
              <w:ind w:firstLine="0"/>
            </w:pPr>
            <w:r/>
            <w:r>
              <w:rPr>
                <w:rFonts w:ascii="宋体" w:hAnsi="宋体" w:eastAsia="宋体" w:cs="宋体"/>
                <w:b w:val="0"/>
                <w:i w:val="0"/>
                <w:sz w:val="19"/>
              </w:rPr>
              <w:t>单次样方调查需专业人员现场作业，诱集物带回实验室分类周期长</w:t>
            </w:r>
          </w:p>
        </w:tc>
        <w:tc>
          <w:tcPr>
            <w:tcW w:type="dxa" w:w="2721"/>
          </w:tcPr>
          <w:p>
            <w:pPr>
              <w:keepNext/>
              <w:spacing w:line="240" w:lineRule="auto" w:after="40"/>
              <w:ind w:firstLine="0"/>
            </w:pPr>
            <w:r/>
            <w:r>
              <w:rPr>
                <w:rFonts w:ascii="宋体" w:hAnsi="宋体" w:eastAsia="宋体" w:cs="宋体"/>
                <w:b w:val="0"/>
                <w:i w:val="0"/>
                <w:sz w:val="19"/>
              </w:rPr>
              <w:t>监测无法规模化铺设</w:t>
            </w:r>
          </w:p>
        </w:tc>
      </w:tr>
      <w:tr>
        <w:trPr>
          <w:cantSplit/>
        </w:trPr>
        <w:tc>
          <w:tcPr>
            <w:tcW w:type="dxa" w:w="1134"/>
          </w:tcPr>
          <w:p>
            <w:pPr>
              <w:keepNext/>
              <w:spacing w:line="240" w:lineRule="auto" w:after="40"/>
              <w:ind w:firstLine="0"/>
            </w:pPr>
            <w:r/>
            <w:r>
              <w:rPr>
                <w:rFonts w:ascii="宋体" w:hAnsi="宋体" w:eastAsia="宋体" w:cs="宋体"/>
                <w:b w:val="0"/>
                <w:i w:val="0"/>
                <w:sz w:val="19"/>
              </w:rPr>
              <w:t>测不勤</w:t>
            </w:r>
          </w:p>
        </w:tc>
        <w:tc>
          <w:tcPr>
            <w:tcW w:type="dxa" w:w="4762"/>
          </w:tcPr>
          <w:p>
            <w:pPr>
              <w:keepNext/>
              <w:spacing w:line="240" w:lineRule="auto" w:after="40"/>
              <w:ind w:firstLine="0"/>
            </w:pPr>
            <w:r/>
            <w:r>
              <w:rPr>
                <w:rFonts w:ascii="宋体" w:hAnsi="宋体" w:eastAsia="宋体" w:cs="宋体"/>
                <w:b w:val="0"/>
                <w:i w:val="0"/>
                <w:sz w:val="19"/>
              </w:rPr>
              <w:t>年调查频次通常只有几次，受农忙、天气与人员安排限制</w:t>
            </w:r>
          </w:p>
        </w:tc>
        <w:tc>
          <w:tcPr>
            <w:tcW w:type="dxa" w:w="2721"/>
          </w:tcPr>
          <w:p>
            <w:pPr>
              <w:keepNext/>
              <w:spacing w:line="240" w:lineRule="auto" w:after="40"/>
              <w:ind w:firstLine="0"/>
            </w:pPr>
            <w:r/>
            <w:r>
              <w:rPr>
                <w:rFonts w:ascii="宋体" w:hAnsi="宋体" w:eastAsia="宋体" w:cs="宋体"/>
                <w:b w:val="0"/>
                <w:i w:val="0"/>
                <w:sz w:val="19"/>
              </w:rPr>
              <w:t>恰好错过授粉临界期与害虫—天敌消长的关键窗口</w:t>
            </w:r>
          </w:p>
        </w:tc>
      </w:tr>
      <w:tr>
        <w:trPr>
          <w:cantSplit/>
        </w:trPr>
        <w:tc>
          <w:tcPr>
            <w:tcW w:type="dxa" w:w="1134"/>
          </w:tcPr>
          <w:p>
            <w:pPr>
              <w:spacing w:line="240" w:lineRule="auto" w:after="40"/>
              <w:ind w:firstLine="0"/>
            </w:pPr>
            <w:r/>
            <w:r>
              <w:rPr>
                <w:rFonts w:ascii="宋体" w:hAnsi="宋体" w:eastAsia="宋体" w:cs="宋体"/>
                <w:b w:val="0"/>
                <w:i w:val="0"/>
                <w:sz w:val="19"/>
              </w:rPr>
              <w:t>不可比</w:t>
            </w:r>
          </w:p>
        </w:tc>
        <w:tc>
          <w:tcPr>
            <w:tcW w:type="dxa" w:w="4762"/>
          </w:tcPr>
          <w:p>
            <w:pPr>
              <w:spacing w:line="240" w:lineRule="auto" w:after="40"/>
              <w:ind w:firstLine="0"/>
            </w:pPr>
            <w:r/>
            <w:r>
              <w:rPr>
                <w:rFonts w:ascii="宋体" w:hAnsi="宋体" w:eastAsia="宋体" w:cs="宋体"/>
                <w:b w:val="0"/>
                <w:i w:val="0"/>
                <w:sz w:val="19"/>
              </w:rPr>
              <w:t>不同人、不同方法、不同尺度的数据无法横向比较</w:t>
            </w:r>
          </w:p>
        </w:tc>
        <w:tc>
          <w:tcPr>
            <w:tcW w:type="dxa" w:w="2721"/>
          </w:tcPr>
          <w:p>
            <w:pPr>
              <w:spacing w:line="240" w:lineRule="auto" w:after="40"/>
              <w:ind w:firstLine="0"/>
            </w:pPr>
            <w:r/>
            <w:r>
              <w:rPr>
                <w:rFonts w:ascii="宋体" w:hAnsi="宋体" w:eastAsia="宋体" w:cs="宋体"/>
                <w:b w:val="0"/>
                <w:i w:val="0"/>
                <w:sz w:val="19"/>
              </w:rPr>
              <w:t>无法形成区域尺度的趋势判断</w:t>
            </w:r>
          </w:p>
        </w:tc>
      </w:tr>
    </w:tbl>
    <w:p>
      <w:pPr>
        <w:keepNext w:val="0"/>
        <w:spacing w:line="312" w:lineRule="auto" w:before="120" w:after="80"/>
      </w:pPr>
      <w:r>
        <w:rPr>
          <w:rFonts w:ascii="宋体" w:hAnsi="宋体" w:eastAsia="宋体" w:cs="宋体"/>
          <w:b w:val="0"/>
          <w:i w:val="0"/>
          <w:sz w:val="24"/>
        </w:rPr>
        <w:t>【待补数据】完成一次完整样方调查并全程计时，形成"单次调查耗时与人力成本"的实测记录。</w:t>
      </w:r>
    </w:p>
    <w:p>
      <w:pPr>
        <w:pStyle w:val="Heading2"/>
        <w:keepNext/>
        <w:spacing w:line="312" w:lineRule="auto" w:before="200" w:after="120"/>
        <w:ind w:firstLine="0"/>
      </w:pPr>
      <w:r>
        <w:rPr>
          <w:rFonts w:ascii="宋体" w:hAnsi="宋体" w:eastAsia="宋体" w:cs="宋体"/>
          <w:b/>
          <w:i w:val="0"/>
          <w:color w:val="000000"/>
          <w:sz w:val="28"/>
        </w:rPr>
        <w:t>2.3 痛点三：生态服务算不清，保护生态缺少经济回报</w:t>
      </w:r>
    </w:p>
    <w:p>
      <w:pPr>
        <w:keepNext w:val="0"/>
        <w:spacing w:line="312" w:lineRule="auto" w:before="0" w:after="80"/>
        <w:ind w:firstLine="480"/>
      </w:pPr>
      <w:r>
        <w:rPr>
          <w:rFonts w:ascii="宋体" w:hAnsi="宋体" w:eastAsia="宋体" w:cs="宋体"/>
          <w:b w:val="0"/>
          <w:i w:val="0"/>
          <w:sz w:val="24"/>
        </w:rPr>
        <w:t>现有的生态服务价值核算主流采用当量因子法：以土地面积乘以服务价值当量再乘以单价。这个方法的问题不在公式，而在于</w:t>
      </w:r>
      <w:r>
        <w:rPr>
          <w:rFonts w:ascii="宋体" w:hAnsi="宋体" w:eastAsia="宋体" w:cs="宋体"/>
          <w:b/>
          <w:i w:val="0"/>
          <w:sz w:val="24"/>
        </w:rPr>
        <w:t>输入与生物实况完全脱钩</w:t>
      </w:r>
      <w:r>
        <w:rPr>
          <w:rFonts w:ascii="宋体" w:hAnsi="宋体" w:eastAsia="宋体" w:cs="宋体"/>
          <w:b w:val="0"/>
          <w:i w:val="0"/>
          <w:sz w:val="24"/>
        </w:rPr>
        <w:t>——同一片地，无论天敌多少、传粉者是否充足，算出来的价值完全相同。</w:t>
      </w:r>
    </w:p>
    <w:p>
      <w:pPr>
        <w:keepNext w:val="0"/>
        <w:spacing w:line="312" w:lineRule="auto" w:before="0" w:after="80"/>
        <w:ind w:firstLine="480"/>
      </w:pPr>
      <w:r>
        <w:rPr>
          <w:rFonts w:ascii="宋体" w:hAnsi="宋体" w:eastAsia="宋体" w:cs="宋体"/>
          <w:b w:val="0"/>
          <w:i w:val="0"/>
          <w:sz w:val="24"/>
        </w:rPr>
        <w:t>后果是双向的：对生产者而言，留花带、少打药、释放天敌这些保护行为没有经济回报，形成"保护无收益"；对管理者而言，生态补偿只能"撒胡椒面"，无法差异化投放；对金融市场而言，缺少可核验的底层数据，绿色认证与指数保险都难以精确定价。</w:t>
      </w:r>
    </w:p>
    <w:p>
      <w:pPr>
        <w:keepNext w:val="0"/>
        <w:spacing w:line="312" w:lineRule="auto" w:before="0" w:after="80"/>
        <w:ind w:firstLine="480"/>
      </w:pPr>
      <w:r>
        <w:rPr>
          <w:rFonts w:ascii="宋体" w:hAnsi="宋体" w:eastAsia="宋体" w:cs="宋体"/>
          <w:b/>
          <w:i w:val="0"/>
          <w:sz w:val="24"/>
        </w:rPr>
        <w:t>因此我们要回答的，不是"要不要保护有益生物"（这是共识），而是</w:t>
      </w:r>
      <w:r>
        <w:rPr>
          <w:rFonts w:ascii="宋体" w:hAnsi="宋体" w:eastAsia="宋体" w:cs="宋体"/>
          <w:b/>
          <w:i w:val="0"/>
          <w:sz w:val="24"/>
        </w:rPr>
        <w:t>如何让有益生物的生态服务变成一个可测量、可核算、可审计的量</w:t>
      </w:r>
      <w:r>
        <w:rPr>
          <w:rFonts w:ascii="宋体" w:hAnsi="宋体" w:eastAsia="宋体" w:cs="宋体"/>
          <w:b/>
          <w:i w:val="0"/>
          <w:sz w:val="24"/>
        </w:rPr>
        <w:t>。</w:t>
      </w:r>
    </w:p>
    <w:p>
      <w:pPr>
        <w:pStyle w:val="Heading2"/>
        <w:keepNext/>
        <w:spacing w:line="312" w:lineRule="auto" w:before="200" w:after="120"/>
        <w:ind w:firstLine="0"/>
      </w:pPr>
      <w:r>
        <w:rPr>
          <w:rFonts w:ascii="宋体" w:hAnsi="宋体" w:eastAsia="宋体" w:cs="宋体"/>
          <w:b/>
          <w:i w:val="0"/>
          <w:color w:val="000000"/>
          <w:sz w:val="28"/>
        </w:rPr>
        <w:t>2.4 政策与市场驱动力</w:t>
      </w:r>
    </w:p>
    <w:tbl>
      <w:tblPr>
        <w:tblStyle w:val="TableGrid"/>
        <w:tblW w:type="auto" w:w="0"/>
        <w:jc w:val="center"/>
        <w:tblLook w:firstColumn="1" w:firstRow="1" w:lastColumn="0" w:lastRow="0" w:noHBand="0" w:noVBand="1" w:val="04A0"/>
      </w:tblPr>
      <w:tblGrid>
        <w:gridCol w:w="2948"/>
        <w:gridCol w:w="2948"/>
        <w:gridCol w:w="2948"/>
      </w:tblGrid>
      <w:tr>
        <w:trPr>
          <w:cantSplit/>
          <w:tblHeader/>
        </w:trPr>
        <w:tc>
          <w:tcPr>
            <w:tcW w:type="dxa" w:w="1814"/>
            <w:shd w:val="clear" w:fill="EFEFEF"/>
          </w:tcPr>
          <w:p>
            <w:pPr>
              <w:keepNext/>
              <w:spacing w:line="240" w:lineRule="auto" w:after="40"/>
              <w:ind w:firstLine="0"/>
              <w:jc w:val="center"/>
            </w:pPr>
            <w:r/>
            <w:r>
              <w:rPr>
                <w:rFonts w:ascii="宋体" w:hAnsi="宋体" w:eastAsia="宋体" w:cs="宋体"/>
                <w:b/>
                <w:i w:val="0"/>
                <w:sz w:val="19"/>
              </w:rPr>
              <w:t>驱动力</w:t>
            </w:r>
          </w:p>
        </w:tc>
        <w:tc>
          <w:tcPr>
            <w:tcW w:type="dxa" w:w="3288"/>
            <w:shd w:val="clear" w:fill="EFEFEF"/>
          </w:tcPr>
          <w:p>
            <w:pPr>
              <w:keepNext/>
              <w:spacing w:line="240" w:lineRule="auto" w:after="40"/>
              <w:ind w:firstLine="0"/>
              <w:jc w:val="center"/>
            </w:pPr>
            <w:r/>
            <w:r>
              <w:rPr>
                <w:rFonts w:ascii="宋体" w:hAnsi="宋体" w:eastAsia="宋体" w:cs="宋体"/>
                <w:b/>
                <w:i w:val="0"/>
                <w:sz w:val="19"/>
              </w:rPr>
              <w:t>内容</w:t>
            </w:r>
          </w:p>
        </w:tc>
        <w:tc>
          <w:tcPr>
            <w:tcW w:type="dxa" w:w="3515"/>
            <w:shd w:val="clear" w:fill="EFEFEF"/>
          </w:tcPr>
          <w:p>
            <w:pPr>
              <w:keepNext/>
              <w:spacing w:line="240" w:lineRule="auto" w:after="40"/>
              <w:ind w:firstLine="0"/>
              <w:jc w:val="center"/>
            </w:pPr>
            <w:r/>
            <w:r>
              <w:rPr>
                <w:rFonts w:ascii="宋体" w:hAnsi="宋体" w:eastAsia="宋体" w:cs="宋体"/>
                <w:b/>
                <w:i w:val="0"/>
                <w:sz w:val="19"/>
              </w:rPr>
              <w:t>对本项目的意义</w:t>
            </w:r>
          </w:p>
        </w:tc>
      </w:tr>
      <w:tr>
        <w:trPr>
          <w:cantSplit/>
        </w:trPr>
        <w:tc>
          <w:tcPr>
            <w:tcW w:type="dxa" w:w="1814"/>
          </w:tcPr>
          <w:p>
            <w:pPr>
              <w:keepNext/>
              <w:spacing w:line="240" w:lineRule="auto" w:after="40"/>
              <w:ind w:firstLine="0"/>
            </w:pPr>
            <w:r/>
            <w:r>
              <w:rPr>
                <w:rFonts w:ascii="宋体" w:hAnsi="宋体" w:eastAsia="宋体" w:cs="宋体"/>
                <w:b w:val="0"/>
                <w:i w:val="0"/>
                <w:sz w:val="19"/>
              </w:rPr>
              <w:t>减药增效与绿色防控</w:t>
            </w:r>
          </w:p>
        </w:tc>
        <w:tc>
          <w:tcPr>
            <w:tcW w:type="dxa" w:w="3288"/>
          </w:tcPr>
          <w:p>
            <w:pPr>
              <w:keepNext/>
              <w:spacing w:line="240" w:lineRule="auto" w:after="40"/>
              <w:ind w:firstLine="0"/>
            </w:pPr>
            <w:r/>
            <w:r>
              <w:rPr>
                <w:rFonts w:ascii="宋体" w:hAnsi="宋体" w:eastAsia="宋体" w:cs="宋体"/>
                <w:b w:val="0"/>
                <w:i w:val="0"/>
                <w:sz w:val="19"/>
              </w:rPr>
              <w:t>农药化肥减量增效是各级考核硬指标</w:t>
            </w:r>
          </w:p>
        </w:tc>
        <w:tc>
          <w:tcPr>
            <w:tcW w:type="dxa" w:w="3515"/>
          </w:tcPr>
          <w:p>
            <w:pPr>
              <w:keepNext/>
              <w:spacing w:line="240" w:lineRule="auto" w:after="40"/>
              <w:ind w:firstLine="0"/>
            </w:pPr>
            <w:r/>
            <w:r>
              <w:rPr>
                <w:rFonts w:ascii="宋体" w:hAnsi="宋体" w:eastAsia="宋体" w:cs="宋体"/>
                <w:b w:val="0"/>
                <w:i w:val="0"/>
                <w:sz w:val="19"/>
              </w:rPr>
              <w:t>种植主体有真实的量化需求，但缺工具</w:t>
            </w:r>
          </w:p>
        </w:tc>
      </w:tr>
      <w:tr>
        <w:trPr>
          <w:cantSplit/>
        </w:trPr>
        <w:tc>
          <w:tcPr>
            <w:tcW w:type="dxa" w:w="1814"/>
          </w:tcPr>
          <w:p>
            <w:pPr>
              <w:keepNext/>
              <w:spacing w:line="240" w:lineRule="auto" w:after="40"/>
              <w:ind w:firstLine="0"/>
            </w:pPr>
            <w:r/>
            <w:r>
              <w:rPr>
                <w:rFonts w:ascii="宋体" w:hAnsi="宋体" w:eastAsia="宋体" w:cs="宋体"/>
                <w:b w:val="0"/>
                <w:i w:val="0"/>
                <w:sz w:val="19"/>
              </w:rPr>
              <w:t>生态产品价值实现</w:t>
            </w:r>
          </w:p>
        </w:tc>
        <w:tc>
          <w:tcPr>
            <w:tcW w:type="dxa" w:w="3288"/>
          </w:tcPr>
          <w:p>
            <w:pPr>
              <w:keepNext/>
              <w:spacing w:line="240" w:lineRule="auto" w:after="40"/>
              <w:ind w:firstLine="0"/>
            </w:pPr>
            <w:r/>
            <w:r>
              <w:rPr>
                <w:rFonts w:ascii="宋体" w:hAnsi="宋体" w:eastAsia="宋体" w:cs="宋体"/>
                <w:b w:val="0"/>
                <w:i w:val="0"/>
                <w:sz w:val="19"/>
              </w:rPr>
              <w:t>生态补偿、生态系统生产总值核算在多地试点</w:t>
            </w:r>
          </w:p>
        </w:tc>
        <w:tc>
          <w:tcPr>
            <w:tcW w:type="dxa" w:w="3515"/>
          </w:tcPr>
          <w:p>
            <w:pPr>
              <w:keepNext/>
              <w:spacing w:line="240" w:lineRule="auto" w:after="40"/>
              <w:ind w:firstLine="0"/>
            </w:pPr>
            <w:r/>
            <w:r>
              <w:rPr>
                <w:rFonts w:ascii="宋体" w:hAnsi="宋体" w:eastAsia="宋体" w:cs="宋体"/>
                <w:b w:val="0"/>
                <w:i w:val="0"/>
                <w:sz w:val="19"/>
              </w:rPr>
              <w:t>政府部门有采购需求，且对数据可信度要求高</w:t>
            </w:r>
          </w:p>
        </w:tc>
      </w:tr>
      <w:tr>
        <w:trPr>
          <w:cantSplit/>
        </w:trPr>
        <w:tc>
          <w:tcPr>
            <w:tcW w:type="dxa" w:w="1814"/>
          </w:tcPr>
          <w:p>
            <w:pPr>
              <w:keepNext/>
              <w:spacing w:line="240" w:lineRule="auto" w:after="40"/>
              <w:ind w:firstLine="0"/>
            </w:pPr>
            <w:r/>
            <w:r>
              <w:rPr>
                <w:rFonts w:ascii="宋体" w:hAnsi="宋体" w:eastAsia="宋体" w:cs="宋体"/>
                <w:b w:val="0"/>
                <w:i w:val="0"/>
                <w:sz w:val="19"/>
              </w:rPr>
              <w:t>生物多样性保护</w:t>
            </w:r>
          </w:p>
        </w:tc>
        <w:tc>
          <w:tcPr>
            <w:tcW w:type="dxa" w:w="3288"/>
          </w:tcPr>
          <w:p>
            <w:pPr>
              <w:keepNext/>
              <w:spacing w:line="240" w:lineRule="auto" w:after="40"/>
              <w:ind w:firstLine="0"/>
            </w:pPr>
            <w:r/>
            <w:r>
              <w:rPr>
                <w:rFonts w:ascii="宋体" w:hAnsi="宋体" w:eastAsia="宋体" w:cs="宋体"/>
                <w:b w:val="0"/>
                <w:i w:val="0"/>
                <w:sz w:val="19"/>
              </w:rPr>
              <w:t>生物多样性纳入国家战略，30×30 目标推进</w:t>
            </w:r>
          </w:p>
        </w:tc>
        <w:tc>
          <w:tcPr>
            <w:tcW w:type="dxa" w:w="3515"/>
          </w:tcPr>
          <w:p>
            <w:pPr>
              <w:keepNext/>
              <w:spacing w:line="240" w:lineRule="auto" w:after="40"/>
              <w:ind w:firstLine="0"/>
            </w:pPr>
            <w:r/>
            <w:r>
              <w:rPr>
                <w:rFonts w:ascii="宋体" w:hAnsi="宋体" w:eastAsia="宋体" w:cs="宋体"/>
                <w:b w:val="0"/>
                <w:i w:val="0"/>
                <w:sz w:val="19"/>
              </w:rPr>
              <w:t>催生长期监测需求，项目具备政策可持续性</w:t>
            </w:r>
          </w:p>
        </w:tc>
      </w:tr>
      <w:tr>
        <w:trPr>
          <w:cantSplit/>
        </w:trPr>
        <w:tc>
          <w:tcPr>
            <w:tcW w:type="dxa" w:w="1814"/>
          </w:tcPr>
          <w:p>
            <w:pPr>
              <w:spacing w:line="240" w:lineRule="auto" w:after="40"/>
              <w:ind w:firstLine="0"/>
            </w:pPr>
            <w:r/>
            <w:r>
              <w:rPr>
                <w:rFonts w:ascii="宋体" w:hAnsi="宋体" w:eastAsia="宋体" w:cs="宋体"/>
                <w:b w:val="0"/>
                <w:i w:val="0"/>
                <w:sz w:val="19"/>
              </w:rPr>
              <w:t>绿色认证与农业保险</w:t>
            </w:r>
          </w:p>
        </w:tc>
        <w:tc>
          <w:tcPr>
            <w:tcW w:type="dxa" w:w="3288"/>
          </w:tcPr>
          <w:p>
            <w:pPr>
              <w:spacing w:line="240" w:lineRule="auto" w:after="40"/>
              <w:ind w:firstLine="0"/>
            </w:pPr>
            <w:r/>
            <w:r>
              <w:rPr>
                <w:rFonts w:ascii="宋体" w:hAnsi="宋体" w:eastAsia="宋体" w:cs="宋体"/>
                <w:b w:val="0"/>
                <w:i w:val="0"/>
                <w:sz w:val="19"/>
              </w:rPr>
              <w:t>认证机构与保险公司需要可审计的底层数据</w:t>
            </w:r>
          </w:p>
        </w:tc>
        <w:tc>
          <w:tcPr>
            <w:tcW w:type="dxa" w:w="3515"/>
          </w:tcPr>
          <w:p>
            <w:pPr>
              <w:spacing w:line="240" w:lineRule="auto" w:after="40"/>
              <w:ind w:firstLine="0"/>
            </w:pPr>
            <w:r/>
            <w:r>
              <w:rPr>
                <w:rFonts w:ascii="宋体" w:hAnsi="宋体" w:eastAsia="宋体" w:cs="宋体"/>
                <w:b w:val="0"/>
                <w:i w:val="0"/>
                <w:sz w:val="19"/>
              </w:rPr>
              <w:t>形成第二类付费客户，客单价高于种植户</w:t>
            </w:r>
          </w:p>
        </w:tc>
      </w:tr>
    </w:tbl>
    <w:p>
      <w:pPr>
        <w:pStyle w:val="Heading1"/>
        <w:keepNext/>
        <w:pageBreakBefore/>
        <w:spacing w:line="312" w:lineRule="auto" w:before="280" w:after="120"/>
        <w:ind w:firstLine="0"/>
      </w:pPr>
      <w:r>
        <w:rPr>
          <w:rFonts w:ascii="宋体" w:hAnsi="宋体" w:eastAsia="宋体" w:cs="宋体"/>
          <w:b/>
          <w:i w:val="0"/>
          <w:color w:val="000000"/>
          <w:sz w:val="32"/>
        </w:rPr>
        <w:t>第三章  产品与服务</w:t>
      </w:r>
    </w:p>
    <w:p>
      <w:pPr>
        <w:pStyle w:val="Heading2"/>
        <w:keepNext/>
        <w:spacing w:line="312" w:lineRule="auto" w:before="200" w:after="120"/>
        <w:ind w:firstLine="0"/>
      </w:pPr>
      <w:r>
        <w:rPr>
          <w:rFonts w:ascii="宋体" w:hAnsi="宋体" w:eastAsia="宋体" w:cs="宋体"/>
          <w:b/>
          <w:i w:val="0"/>
          <w:color w:val="000000"/>
          <w:sz w:val="28"/>
        </w:rPr>
        <w:t>3.1 产品三层形态</w:t>
      </w:r>
    </w:p>
    <w:tbl>
      <w:tblPr>
        <w:tblStyle w:val="TableGrid"/>
        <w:tblW w:type="auto" w:w="0"/>
        <w:jc w:val="center"/>
        <w:tblLook w:firstColumn="1" w:firstRow="1" w:lastColumn="0" w:lastRow="0" w:noHBand="0" w:noVBand="1" w:val="04A0"/>
      </w:tblPr>
      <w:tblGrid>
        <w:gridCol w:w="2211"/>
        <w:gridCol w:w="2211"/>
        <w:gridCol w:w="2211"/>
        <w:gridCol w:w="2211"/>
      </w:tblGrid>
      <w:tr>
        <w:trPr>
          <w:cantSplit/>
          <w:tblHeader/>
        </w:trPr>
        <w:tc>
          <w:tcPr>
            <w:tcW w:type="dxa" w:w="1134"/>
            <w:shd w:val="clear" w:fill="EFEFEF"/>
          </w:tcPr>
          <w:p>
            <w:pPr>
              <w:keepNext/>
              <w:spacing w:line="240" w:lineRule="auto" w:after="40"/>
              <w:ind w:firstLine="0"/>
              <w:jc w:val="center"/>
            </w:pPr>
            <w:r/>
            <w:r>
              <w:rPr>
                <w:rFonts w:ascii="宋体" w:hAnsi="宋体" w:eastAsia="宋体" w:cs="宋体"/>
                <w:b/>
                <w:i w:val="0"/>
                <w:sz w:val="19"/>
              </w:rPr>
              <w:t>层级</w:t>
            </w:r>
          </w:p>
        </w:tc>
        <w:tc>
          <w:tcPr>
            <w:tcW w:type="dxa" w:w="3061"/>
            <w:shd w:val="clear" w:fill="EFEFEF"/>
          </w:tcPr>
          <w:p>
            <w:pPr>
              <w:keepNext/>
              <w:spacing w:line="240" w:lineRule="auto" w:after="40"/>
              <w:ind w:firstLine="0"/>
              <w:jc w:val="center"/>
            </w:pPr>
            <w:r/>
            <w:r>
              <w:rPr>
                <w:rFonts w:ascii="宋体" w:hAnsi="宋体" w:eastAsia="宋体" w:cs="宋体"/>
                <w:b/>
                <w:i w:val="0"/>
                <w:sz w:val="19"/>
              </w:rPr>
              <w:t>形态</w:t>
            </w:r>
          </w:p>
        </w:tc>
        <w:tc>
          <w:tcPr>
            <w:tcW w:type="dxa" w:w="2494"/>
            <w:shd w:val="clear" w:fill="EFEFEF"/>
          </w:tcPr>
          <w:p>
            <w:pPr>
              <w:keepNext/>
              <w:spacing w:line="240" w:lineRule="auto" w:after="40"/>
              <w:ind w:firstLine="0"/>
              <w:jc w:val="center"/>
            </w:pPr>
            <w:r/>
            <w:r>
              <w:rPr>
                <w:rFonts w:ascii="宋体" w:hAnsi="宋体" w:eastAsia="宋体" w:cs="宋体"/>
                <w:b/>
                <w:i w:val="0"/>
                <w:sz w:val="19"/>
              </w:rPr>
              <w:t>面向客户</w:t>
            </w:r>
          </w:p>
        </w:tc>
        <w:tc>
          <w:tcPr>
            <w:tcW w:type="dxa" w:w="2041"/>
            <w:shd w:val="clear" w:fill="EFEFEF"/>
          </w:tcPr>
          <w:p>
            <w:pPr>
              <w:keepNext/>
              <w:spacing w:line="240" w:lineRule="auto" w:after="40"/>
              <w:ind w:firstLine="0"/>
              <w:jc w:val="center"/>
            </w:pPr>
            <w:r/>
            <w:r>
              <w:rPr>
                <w:rFonts w:ascii="宋体" w:hAnsi="宋体" w:eastAsia="宋体" w:cs="宋体"/>
                <w:b/>
                <w:i w:val="0"/>
                <w:sz w:val="19"/>
              </w:rPr>
              <w:t>价值主张</w:t>
            </w:r>
          </w:p>
        </w:tc>
      </w:tr>
      <w:tr>
        <w:trPr>
          <w:cantSplit/>
        </w:trPr>
        <w:tc>
          <w:tcPr>
            <w:tcW w:type="dxa" w:w="1134"/>
          </w:tcPr>
          <w:p>
            <w:pPr>
              <w:keepNext/>
              <w:spacing w:line="240" w:lineRule="auto" w:after="40"/>
              <w:ind w:firstLine="0"/>
            </w:pPr>
            <w:r/>
            <w:r>
              <w:rPr>
                <w:rFonts w:ascii="宋体" w:hAnsi="宋体" w:eastAsia="宋体" w:cs="宋体"/>
                <w:b w:val="0"/>
                <w:i w:val="0"/>
                <w:sz w:val="19"/>
              </w:rPr>
              <w:t>L1 内核</w:t>
            </w:r>
          </w:p>
        </w:tc>
        <w:tc>
          <w:tcPr>
            <w:tcW w:type="dxa" w:w="3061"/>
          </w:tcPr>
          <w:p>
            <w:pPr>
              <w:keepNext/>
              <w:spacing w:line="240" w:lineRule="auto" w:after="40"/>
              <w:ind w:firstLine="0"/>
            </w:pPr>
            <w:r/>
            <w:r>
              <w:rPr>
                <w:rFonts w:ascii="宋体" w:hAnsi="宋体" w:eastAsia="宋体" w:cs="宋体"/>
                <w:b w:val="0"/>
                <w:i w:val="0"/>
                <w:sz w:val="19"/>
              </w:rPr>
              <w:t>多模态识别与一致性融合引擎 + 生态服务核算模型（可作为 SDK 输出）</w:t>
            </w:r>
          </w:p>
        </w:tc>
        <w:tc>
          <w:tcPr>
            <w:tcW w:type="dxa" w:w="2494"/>
          </w:tcPr>
          <w:p>
            <w:pPr>
              <w:keepNext/>
              <w:spacing w:line="240" w:lineRule="auto" w:after="40"/>
              <w:ind w:firstLine="0"/>
            </w:pPr>
            <w:r/>
            <w:r>
              <w:rPr>
                <w:rFonts w:ascii="宋体" w:hAnsi="宋体" w:eastAsia="宋体" w:cs="宋体"/>
                <w:b w:val="0"/>
                <w:i w:val="0"/>
                <w:sz w:val="19"/>
              </w:rPr>
              <w:t>监测设备厂商、农业物联网平台</w:t>
            </w:r>
          </w:p>
        </w:tc>
        <w:tc>
          <w:tcPr>
            <w:tcW w:type="dxa" w:w="2041"/>
          </w:tcPr>
          <w:p>
            <w:pPr>
              <w:keepNext/>
              <w:spacing w:line="240" w:lineRule="auto" w:after="40"/>
              <w:ind w:firstLine="0"/>
            </w:pPr>
            <w:r/>
            <w:r>
              <w:rPr>
                <w:rFonts w:ascii="宋体" w:hAnsi="宋体" w:eastAsia="宋体" w:cs="宋体"/>
                <w:b w:val="0"/>
                <w:i w:val="0"/>
                <w:sz w:val="19"/>
              </w:rPr>
              <w:t>被集成，形成生态壁垒</w:t>
            </w:r>
          </w:p>
        </w:tc>
      </w:tr>
      <w:tr>
        <w:trPr>
          <w:cantSplit/>
        </w:trPr>
        <w:tc>
          <w:tcPr>
            <w:tcW w:type="dxa" w:w="1134"/>
          </w:tcPr>
          <w:p>
            <w:pPr>
              <w:keepNext/>
              <w:spacing w:line="240" w:lineRule="auto" w:after="40"/>
              <w:ind w:firstLine="0"/>
            </w:pPr>
            <w:r/>
            <w:r>
              <w:rPr>
                <w:rFonts w:ascii="宋体" w:hAnsi="宋体" w:eastAsia="宋体" w:cs="宋体"/>
                <w:b w:val="0"/>
                <w:i w:val="0"/>
                <w:sz w:val="19"/>
              </w:rPr>
              <w:t>L2 平台</w:t>
            </w:r>
          </w:p>
        </w:tc>
        <w:tc>
          <w:tcPr>
            <w:tcW w:type="dxa" w:w="3061"/>
          </w:tcPr>
          <w:p>
            <w:pPr>
              <w:keepNext/>
              <w:spacing w:line="240" w:lineRule="auto" w:after="40"/>
              <w:ind w:firstLine="0"/>
            </w:pPr>
            <w:r/>
            <w:r>
              <w:rPr>
                <w:rFonts w:ascii="宋体" w:hAnsi="宋体" w:eastAsia="宋体" w:cs="宋体"/>
                <w:b w:val="0"/>
                <w:i w:val="0"/>
                <w:sz w:val="19"/>
              </w:rPr>
              <w:t>边缘监测节点 + 云平台 + 手机端</w:t>
            </w:r>
          </w:p>
        </w:tc>
        <w:tc>
          <w:tcPr>
            <w:tcW w:type="dxa" w:w="2494"/>
          </w:tcPr>
          <w:p>
            <w:pPr>
              <w:keepNext/>
              <w:spacing w:line="240" w:lineRule="auto" w:after="40"/>
              <w:ind w:firstLine="0"/>
            </w:pPr>
            <w:r/>
            <w:r>
              <w:rPr>
                <w:rFonts w:ascii="宋体" w:hAnsi="宋体" w:eastAsia="宋体" w:cs="宋体"/>
                <w:b w:val="0"/>
                <w:i w:val="0"/>
                <w:sz w:val="19"/>
              </w:rPr>
              <w:t>种植主体、合作社、蜂授粉服务商</w:t>
            </w:r>
          </w:p>
        </w:tc>
        <w:tc>
          <w:tcPr>
            <w:tcW w:type="dxa" w:w="2041"/>
          </w:tcPr>
          <w:p>
            <w:pPr>
              <w:keepNext/>
              <w:spacing w:line="240" w:lineRule="auto" w:after="40"/>
              <w:ind w:firstLine="0"/>
            </w:pPr>
            <w:r/>
            <w:r>
              <w:rPr>
                <w:rFonts w:ascii="宋体" w:hAnsi="宋体" w:eastAsia="宋体" w:cs="宋体"/>
                <w:b w:val="0"/>
                <w:i w:val="0"/>
                <w:sz w:val="19"/>
              </w:rPr>
              <w:t>直接付费的主力产品</w:t>
            </w:r>
          </w:p>
        </w:tc>
      </w:tr>
      <w:tr>
        <w:trPr>
          <w:cantSplit/>
        </w:trPr>
        <w:tc>
          <w:tcPr>
            <w:tcW w:type="dxa" w:w="1134"/>
          </w:tcPr>
          <w:p>
            <w:pPr>
              <w:spacing w:line="240" w:lineRule="auto" w:after="40"/>
              <w:ind w:firstLine="0"/>
            </w:pPr>
            <w:r/>
            <w:r>
              <w:rPr>
                <w:rFonts w:ascii="宋体" w:hAnsi="宋体" w:eastAsia="宋体" w:cs="宋体"/>
                <w:b w:val="0"/>
                <w:i w:val="0"/>
                <w:sz w:val="19"/>
              </w:rPr>
              <w:t>L3 服务</w:t>
            </w:r>
          </w:p>
        </w:tc>
        <w:tc>
          <w:tcPr>
            <w:tcW w:type="dxa" w:w="3061"/>
          </w:tcPr>
          <w:p>
            <w:pPr>
              <w:spacing w:line="240" w:lineRule="auto" w:after="40"/>
              <w:ind w:firstLine="0"/>
            </w:pPr>
            <w:r/>
            <w:r>
              <w:rPr>
                <w:rFonts w:ascii="宋体" w:hAnsi="宋体" w:eastAsia="宋体" w:cs="宋体"/>
                <w:b w:val="0"/>
                <w:i w:val="0"/>
                <w:sz w:val="19"/>
              </w:rPr>
              <w:t>生态服务价值核算报告 + 调控决策方案</w:t>
            </w:r>
          </w:p>
        </w:tc>
        <w:tc>
          <w:tcPr>
            <w:tcW w:type="dxa" w:w="2494"/>
          </w:tcPr>
          <w:p>
            <w:pPr>
              <w:spacing w:line="240" w:lineRule="auto" w:after="40"/>
              <w:ind w:firstLine="0"/>
            </w:pPr>
            <w:r/>
            <w:r>
              <w:rPr>
                <w:rFonts w:ascii="宋体" w:hAnsi="宋体" w:eastAsia="宋体" w:cs="宋体"/>
                <w:b w:val="0"/>
                <w:i w:val="0"/>
                <w:sz w:val="19"/>
              </w:rPr>
              <w:t>地方农业农村局与林草局、认证机构、保险公司</w:t>
            </w:r>
          </w:p>
        </w:tc>
        <w:tc>
          <w:tcPr>
            <w:tcW w:type="dxa" w:w="2041"/>
          </w:tcPr>
          <w:p>
            <w:pPr>
              <w:spacing w:line="240" w:lineRule="auto" w:after="40"/>
              <w:ind w:firstLine="0"/>
            </w:pPr>
            <w:r/>
            <w:r>
              <w:rPr>
                <w:rFonts w:ascii="宋体" w:hAnsi="宋体" w:eastAsia="宋体" w:cs="宋体"/>
                <w:b w:val="0"/>
                <w:i w:val="0"/>
                <w:sz w:val="19"/>
              </w:rPr>
              <w:t>高客单价、强专业壁垒</w:t>
            </w:r>
          </w:p>
        </w:tc>
      </w:tr>
    </w:tbl>
    <w:p>
      <w:pPr>
        <w:pStyle w:val="Heading2"/>
        <w:keepNext/>
        <w:spacing w:line="312" w:lineRule="auto" w:before="200" w:after="120"/>
        <w:ind w:firstLine="0"/>
      </w:pPr>
      <w:r>
        <w:rPr>
          <w:rFonts w:ascii="宋体" w:hAnsi="宋体" w:eastAsia="宋体" w:cs="宋体"/>
          <w:b/>
          <w:i w:val="0"/>
          <w:color w:val="000000"/>
          <w:sz w:val="28"/>
        </w:rPr>
        <w:t>3.2 客户视角的价值</w:t>
      </w:r>
    </w:p>
    <w:p>
      <w:pPr>
        <w:keepNext w:val="0"/>
        <w:spacing w:line="312" w:lineRule="auto" w:before="120" w:after="80"/>
        <w:ind w:firstLine="480"/>
      </w:pPr>
      <w:r>
        <w:rPr>
          <w:rFonts w:ascii="宋体" w:hAnsi="宋体" w:eastAsia="宋体" w:cs="宋体"/>
          <w:b w:val="0"/>
          <w:i w:val="0"/>
          <w:sz w:val="24"/>
        </w:rPr>
        <w:t>我们不用功能列表说服客户，而是用他们关心的问题：</w:t>
      </w:r>
    </w:p>
    <w:p>
      <w:pPr>
        <w:pStyle w:val="ListBullet"/>
        <w:spacing w:line="312" w:lineRule="auto" w:before="0" w:after="60"/>
        <w:ind w:left="480" w:firstLine="0"/>
      </w:pPr>
      <w:r>
        <w:rPr>
          <w:rFonts w:ascii="宋体" w:hAnsi="宋体" w:eastAsia="宋体" w:cs="宋体"/>
          <w:b/>
          <w:i w:val="0"/>
          <w:sz w:val="24"/>
        </w:rPr>
        <w:t>授粉服务</w:t>
      </w:r>
      <w:r>
        <w:rPr>
          <w:rFonts w:ascii="宋体" w:hAnsi="宋体" w:eastAsia="宋体" w:cs="宋体"/>
          <w:b w:val="0"/>
          <w:i w:val="0"/>
          <w:sz w:val="24"/>
        </w:rPr>
        <w:t>：授粉不足能提前发现，减产风险从"事后认命"变成"可管理的变量"；蜂农与种植户之间的授粉效果争议有了客观凭证。</w:t>
      </w:r>
    </w:p>
    <w:p>
      <w:pPr>
        <w:pStyle w:val="ListBullet"/>
        <w:spacing w:line="312" w:lineRule="auto" w:before="0" w:after="60"/>
        <w:ind w:left="480" w:firstLine="0"/>
      </w:pPr>
      <w:r>
        <w:rPr>
          <w:rFonts w:ascii="宋体" w:hAnsi="宋体" w:eastAsia="宋体" w:cs="宋体"/>
          <w:b/>
          <w:i w:val="0"/>
          <w:sz w:val="24"/>
        </w:rPr>
        <w:t>害虫调控</w:t>
      </w:r>
      <w:r>
        <w:rPr>
          <w:rFonts w:ascii="宋体" w:hAnsi="宋体" w:eastAsia="宋体" w:cs="宋体"/>
          <w:b w:val="0"/>
          <w:i w:val="0"/>
          <w:sz w:val="24"/>
        </w:rPr>
        <w:t>：天敌与害虫之比可以被量化，减药决策第一次有了依据，而不是"凭感觉少打一次药"。</w:t>
      </w:r>
    </w:p>
    <w:p>
      <w:pPr>
        <w:pStyle w:val="ListBullet"/>
        <w:spacing w:line="312" w:lineRule="auto" w:before="0" w:after="60"/>
        <w:ind w:left="480" w:firstLine="0"/>
      </w:pPr>
      <w:r>
        <w:rPr>
          <w:rFonts w:ascii="宋体" w:hAnsi="宋体" w:eastAsia="宋体" w:cs="宋体"/>
          <w:b/>
          <w:i w:val="0"/>
          <w:sz w:val="24"/>
        </w:rPr>
        <w:t>生态服务核算</w:t>
      </w:r>
      <w:r>
        <w:rPr>
          <w:rFonts w:ascii="宋体" w:hAnsi="宋体" w:eastAsia="宋体" w:cs="宋体"/>
          <w:b w:val="0"/>
          <w:i w:val="0"/>
          <w:sz w:val="24"/>
        </w:rPr>
        <w:t>：同一片地的核算结果会随生物状况变化，保护行为第一次能在账面上得到体现，可对接生态补偿、认证与保险。</w:t>
      </w:r>
    </w:p>
    <w:p>
      <w:pPr>
        <w:pStyle w:val="Heading2"/>
        <w:keepNext/>
        <w:spacing w:line="312" w:lineRule="auto" w:before="200" w:after="120"/>
        <w:ind w:firstLine="0"/>
      </w:pPr>
      <w:r>
        <w:rPr>
          <w:rFonts w:ascii="宋体" w:hAnsi="宋体" w:eastAsia="宋体" w:cs="宋体"/>
          <w:b/>
          <w:i w:val="0"/>
          <w:color w:val="000000"/>
          <w:sz w:val="28"/>
        </w:rPr>
        <w:t>3.3 使用流程：客户只做三步</w:t>
      </w:r>
    </w:p>
    <w:tbl>
      <w:tblPr>
        <w:tblStyle w:val="TableGrid"/>
        <w:tblW w:type="auto" w:w="0"/>
        <w:jc w:val="center"/>
        <w:tblLook w:firstColumn="1" w:firstRow="1" w:lastColumn="0" w:lastRow="0" w:noHBand="0" w:noVBand="1" w:val="04A0"/>
      </w:tblPr>
      <w:tblGrid>
        <w:gridCol w:w="2948"/>
        <w:gridCol w:w="2948"/>
        <w:gridCol w:w="2948"/>
      </w:tblGrid>
      <w:tr>
        <w:trPr>
          <w:cantSplit/>
          <w:tblHeader/>
        </w:trPr>
        <w:tc>
          <w:tcPr>
            <w:tcW w:type="dxa" w:w="1701"/>
            <w:shd w:val="clear" w:fill="EFEFEF"/>
          </w:tcPr>
          <w:p>
            <w:pPr>
              <w:keepNext/>
              <w:spacing w:line="240" w:lineRule="auto" w:after="40"/>
              <w:ind w:firstLine="0"/>
              <w:jc w:val="center"/>
            </w:pPr>
            <w:r/>
            <w:r>
              <w:rPr>
                <w:rFonts w:ascii="宋体" w:hAnsi="宋体" w:eastAsia="宋体" w:cs="宋体"/>
                <w:b/>
                <w:i w:val="0"/>
                <w:sz w:val="19"/>
              </w:rPr>
              <w:t>步骤</w:t>
            </w:r>
          </w:p>
        </w:tc>
        <w:tc>
          <w:tcPr>
            <w:tcW w:type="dxa" w:w="2835"/>
            <w:shd w:val="clear" w:fill="EFEFEF"/>
          </w:tcPr>
          <w:p>
            <w:pPr>
              <w:keepNext/>
              <w:spacing w:line="240" w:lineRule="auto" w:after="40"/>
              <w:ind w:firstLine="0"/>
              <w:jc w:val="center"/>
            </w:pPr>
            <w:r/>
            <w:r>
              <w:rPr>
                <w:rFonts w:ascii="宋体" w:hAnsi="宋体" w:eastAsia="宋体" w:cs="宋体"/>
                <w:b/>
                <w:i w:val="0"/>
                <w:sz w:val="19"/>
              </w:rPr>
              <w:t>客户动作</w:t>
            </w:r>
          </w:p>
        </w:tc>
        <w:tc>
          <w:tcPr>
            <w:tcW w:type="dxa" w:w="4082"/>
            <w:shd w:val="clear" w:fill="EFEFEF"/>
          </w:tcPr>
          <w:p>
            <w:pPr>
              <w:keepNext/>
              <w:spacing w:line="240" w:lineRule="auto" w:after="40"/>
              <w:ind w:firstLine="0"/>
              <w:jc w:val="center"/>
            </w:pPr>
            <w:r/>
            <w:r>
              <w:rPr>
                <w:rFonts w:ascii="宋体" w:hAnsi="宋体" w:eastAsia="宋体" w:cs="宋体"/>
                <w:b/>
                <w:i w:val="0"/>
                <w:sz w:val="19"/>
              </w:rPr>
              <w:t>系统完成</w:t>
            </w:r>
          </w:p>
        </w:tc>
      </w:tr>
      <w:tr>
        <w:trPr>
          <w:cantSplit/>
        </w:trPr>
        <w:tc>
          <w:tcPr>
            <w:tcW w:type="dxa" w:w="1701"/>
          </w:tcPr>
          <w:p>
            <w:pPr>
              <w:keepNext/>
              <w:spacing w:line="240" w:lineRule="auto" w:after="40"/>
              <w:ind w:firstLine="0"/>
            </w:pPr>
            <w:r/>
            <w:r>
              <w:rPr>
                <w:rFonts w:ascii="宋体" w:hAnsi="宋体" w:eastAsia="宋体" w:cs="宋体"/>
                <w:b w:val="0"/>
                <w:i w:val="0"/>
                <w:sz w:val="19"/>
              </w:rPr>
              <w:t>第一步 布点</w:t>
            </w:r>
          </w:p>
        </w:tc>
        <w:tc>
          <w:tcPr>
            <w:tcW w:type="dxa" w:w="2835"/>
          </w:tcPr>
          <w:p>
            <w:pPr>
              <w:keepNext/>
              <w:spacing w:line="240" w:lineRule="auto" w:after="40"/>
              <w:ind w:firstLine="0"/>
            </w:pPr>
            <w:r/>
            <w:r>
              <w:rPr>
                <w:rFonts w:ascii="宋体" w:hAnsi="宋体" w:eastAsia="宋体" w:cs="宋体"/>
                <w:b w:val="0"/>
                <w:i w:val="0"/>
                <w:sz w:val="19"/>
              </w:rPr>
              <w:t>按生境与作物布局部署节点，手机扫码绑定</w:t>
            </w:r>
          </w:p>
        </w:tc>
        <w:tc>
          <w:tcPr>
            <w:tcW w:type="dxa" w:w="4082"/>
          </w:tcPr>
          <w:p>
            <w:pPr>
              <w:keepNext/>
              <w:spacing w:line="240" w:lineRule="auto" w:after="40"/>
              <w:ind w:firstLine="0"/>
            </w:pPr>
            <w:r/>
            <w:r>
              <w:rPr>
                <w:rFonts w:ascii="宋体" w:hAnsi="宋体" w:eastAsia="宋体" w:cs="宋体"/>
                <w:b w:val="0"/>
                <w:i w:val="0"/>
                <w:sz w:val="19"/>
              </w:rPr>
              <w:t>自动完成时间同步与标定</w:t>
            </w:r>
          </w:p>
        </w:tc>
      </w:tr>
      <w:tr>
        <w:trPr>
          <w:cantSplit/>
        </w:trPr>
        <w:tc>
          <w:tcPr>
            <w:tcW w:type="dxa" w:w="1701"/>
          </w:tcPr>
          <w:p>
            <w:pPr>
              <w:keepNext/>
              <w:spacing w:line="240" w:lineRule="auto" w:after="40"/>
              <w:ind w:firstLine="0"/>
            </w:pPr>
            <w:r/>
            <w:r>
              <w:rPr>
                <w:rFonts w:ascii="宋体" w:hAnsi="宋体" w:eastAsia="宋体" w:cs="宋体"/>
                <w:b w:val="0"/>
                <w:i w:val="0"/>
                <w:sz w:val="19"/>
              </w:rPr>
              <w:t>第二步 采集识别</w:t>
            </w:r>
          </w:p>
        </w:tc>
        <w:tc>
          <w:tcPr>
            <w:tcW w:type="dxa" w:w="2835"/>
          </w:tcPr>
          <w:p>
            <w:pPr>
              <w:keepNext/>
              <w:spacing w:line="240" w:lineRule="auto" w:after="40"/>
              <w:ind w:firstLine="0"/>
            </w:pPr>
            <w:r/>
            <w:r>
              <w:rPr>
                <w:rFonts w:ascii="宋体" w:hAnsi="宋体" w:eastAsia="宋体" w:cs="宋体"/>
                <w:b w:val="0"/>
                <w:i w:val="0"/>
                <w:sz w:val="19"/>
              </w:rPr>
              <w:t>（无需操作）</w:t>
            </w:r>
          </w:p>
        </w:tc>
        <w:tc>
          <w:tcPr>
            <w:tcW w:type="dxa" w:w="4082"/>
          </w:tcPr>
          <w:p>
            <w:pPr>
              <w:keepNext/>
              <w:spacing w:line="240" w:lineRule="auto" w:after="40"/>
              <w:ind w:firstLine="0"/>
            </w:pPr>
            <w:r/>
            <w:r>
              <w:rPr>
                <w:rFonts w:ascii="宋体" w:hAnsi="宋体" w:eastAsia="宋体" w:cs="宋体"/>
                <w:b w:val="0"/>
                <w:i w:val="0"/>
                <w:sz w:val="19"/>
              </w:rPr>
              <w:t>节点本地轻量推理 + 云端跨模态一致性融合，生成实时看板</w:t>
            </w:r>
          </w:p>
        </w:tc>
      </w:tr>
      <w:tr>
        <w:trPr>
          <w:cantSplit/>
        </w:trPr>
        <w:tc>
          <w:tcPr>
            <w:tcW w:type="dxa" w:w="1701"/>
          </w:tcPr>
          <w:p>
            <w:pPr>
              <w:spacing w:line="240" w:lineRule="auto" w:after="40"/>
              <w:ind w:firstLine="0"/>
            </w:pPr>
            <w:r/>
            <w:r>
              <w:rPr>
                <w:rFonts w:ascii="宋体" w:hAnsi="宋体" w:eastAsia="宋体" w:cs="宋体"/>
                <w:b w:val="0"/>
                <w:i w:val="0"/>
                <w:sz w:val="19"/>
              </w:rPr>
              <w:t>第三步 核算与决策</w:t>
            </w:r>
          </w:p>
        </w:tc>
        <w:tc>
          <w:tcPr>
            <w:tcW w:type="dxa" w:w="2835"/>
          </w:tcPr>
          <w:p>
            <w:pPr>
              <w:spacing w:line="240" w:lineRule="auto" w:after="40"/>
              <w:ind w:firstLine="0"/>
            </w:pPr>
            <w:r/>
            <w:r>
              <w:rPr>
                <w:rFonts w:ascii="宋体" w:hAnsi="宋体" w:eastAsia="宋体" w:cs="宋体"/>
                <w:b w:val="0"/>
                <w:i w:val="0"/>
                <w:sz w:val="19"/>
              </w:rPr>
              <w:t>一键生成报告</w:t>
            </w:r>
          </w:p>
        </w:tc>
        <w:tc>
          <w:tcPr>
            <w:tcW w:type="dxa" w:w="4082"/>
          </w:tcPr>
          <w:p>
            <w:pPr>
              <w:spacing w:line="240" w:lineRule="auto" w:after="40"/>
              <w:ind w:firstLine="0"/>
            </w:pPr>
            <w:r/>
            <w:r>
              <w:rPr>
                <w:rFonts w:ascii="宋体" w:hAnsi="宋体" w:eastAsia="宋体" w:cs="宋体"/>
                <w:b w:val="0"/>
                <w:i w:val="0"/>
                <w:sz w:val="19"/>
              </w:rPr>
              <w:t>输出生态服务价值核算报告与调控建议，每条结论可下钻查看证据</w:t>
            </w:r>
          </w:p>
        </w:tc>
      </w:tr>
    </w:tbl>
    <w:p>
      <w:pPr>
        <w:keepNext w:val="0"/>
        <w:spacing w:line="312" w:lineRule="auto" w:before="120" w:after="80"/>
        <w:ind w:firstLine="440"/>
      </w:pPr>
      <w:r>
        <w:rPr>
          <w:rFonts w:ascii="宋体" w:hAnsi="宋体" w:eastAsia="宋体" w:cs="宋体"/>
          <w:b w:val="0"/>
          <w:i w:val="0"/>
          <w:sz w:val="22"/>
        </w:rPr>
        <w:t>对比现状：现在是"一年几次人工样方 + 专家目测 + 表格静态估算"，链路长、频次低、结果与生物实况脱钩；我们是一条链路、持续观测、自动完成。</w:t>
      </w:r>
    </w:p>
    <w:p>
      <w:pPr>
        <w:pStyle w:val="Heading2"/>
        <w:keepNext/>
        <w:spacing w:line="312" w:lineRule="auto" w:before="200" w:after="120"/>
        <w:ind w:firstLine="0"/>
      </w:pPr>
      <w:r>
        <w:rPr>
          <w:rFonts w:ascii="宋体" w:hAnsi="宋体" w:eastAsia="宋体" w:cs="宋体"/>
          <w:b/>
          <w:i w:val="0"/>
          <w:color w:val="000000"/>
          <w:sz w:val="28"/>
        </w:rPr>
        <w:t>3.4 产品路线图</w:t>
      </w:r>
    </w:p>
    <w:tbl>
      <w:tblPr>
        <w:tblStyle w:val="TableGrid"/>
        <w:tblW w:type="auto" w:w="0"/>
        <w:jc w:val="center"/>
        <w:tblLook w:firstColumn="1" w:firstRow="1" w:lastColumn="0" w:lastRow="0" w:noHBand="0" w:noVBand="1" w:val="04A0"/>
      </w:tblPr>
      <w:tblGrid>
        <w:gridCol w:w="2948"/>
        <w:gridCol w:w="2948"/>
        <w:gridCol w:w="2948"/>
      </w:tblGrid>
      <w:tr>
        <w:trPr>
          <w:cantSplit/>
          <w:tblHeader/>
        </w:trPr>
        <w:tc>
          <w:tcPr>
            <w:tcW w:type="dxa" w:w="1928"/>
            <w:shd w:val="clear" w:fill="EFEFEF"/>
          </w:tcPr>
          <w:p>
            <w:pPr>
              <w:keepNext/>
              <w:spacing w:line="240" w:lineRule="auto" w:after="40"/>
              <w:ind w:firstLine="0"/>
              <w:jc w:val="center"/>
            </w:pPr>
            <w:r/>
            <w:r>
              <w:rPr>
                <w:rFonts w:ascii="宋体" w:hAnsi="宋体" w:eastAsia="宋体" w:cs="宋体"/>
                <w:b/>
                <w:i w:val="0"/>
                <w:sz w:val="19"/>
              </w:rPr>
              <w:t>阶段</w:t>
            </w:r>
          </w:p>
        </w:tc>
        <w:tc>
          <w:tcPr>
            <w:tcW w:type="dxa" w:w="4422"/>
            <w:shd w:val="clear" w:fill="EFEFEF"/>
          </w:tcPr>
          <w:p>
            <w:pPr>
              <w:keepNext/>
              <w:spacing w:line="240" w:lineRule="auto" w:after="40"/>
              <w:ind w:firstLine="0"/>
              <w:jc w:val="center"/>
            </w:pPr>
            <w:r/>
            <w:r>
              <w:rPr>
                <w:rFonts w:ascii="宋体" w:hAnsi="宋体" w:eastAsia="宋体" w:cs="宋体"/>
                <w:b/>
                <w:i w:val="0"/>
                <w:sz w:val="19"/>
              </w:rPr>
              <w:t>交付物</w:t>
            </w:r>
          </w:p>
        </w:tc>
        <w:tc>
          <w:tcPr>
            <w:tcW w:type="dxa" w:w="2268"/>
            <w:shd w:val="clear" w:fill="EFEFEF"/>
          </w:tcPr>
          <w:p>
            <w:pPr>
              <w:keepNext/>
              <w:spacing w:line="240" w:lineRule="auto" w:after="40"/>
              <w:ind w:firstLine="0"/>
              <w:jc w:val="center"/>
            </w:pPr>
            <w:r/>
            <w:r>
              <w:rPr>
                <w:rFonts w:ascii="宋体" w:hAnsi="宋体" w:eastAsia="宋体" w:cs="宋体"/>
                <w:b/>
                <w:i w:val="0"/>
                <w:sz w:val="19"/>
              </w:rPr>
              <w:t>可演示状态</w:t>
            </w:r>
          </w:p>
        </w:tc>
      </w:tr>
      <w:tr>
        <w:trPr>
          <w:cantSplit/>
        </w:trPr>
        <w:tc>
          <w:tcPr>
            <w:tcW w:type="dxa" w:w="1928"/>
          </w:tcPr>
          <w:p>
            <w:pPr>
              <w:keepNext/>
              <w:spacing w:line="240" w:lineRule="auto" w:after="40"/>
              <w:ind w:firstLine="0"/>
            </w:pPr>
            <w:r/>
            <w:r>
              <w:rPr>
                <w:rFonts w:ascii="宋体" w:hAnsi="宋体" w:eastAsia="宋体" w:cs="宋体"/>
                <w:b w:val="0"/>
                <w:i w:val="0"/>
                <w:sz w:val="19"/>
              </w:rPr>
              <w:t>P0 调研与需求锁定</w:t>
            </w:r>
          </w:p>
        </w:tc>
        <w:tc>
          <w:tcPr>
            <w:tcW w:type="dxa" w:w="4422"/>
          </w:tcPr>
          <w:p>
            <w:pPr>
              <w:keepNext/>
              <w:spacing w:line="240" w:lineRule="auto" w:after="40"/>
              <w:ind w:firstLine="0"/>
            </w:pPr>
            <w:r/>
            <w:r>
              <w:rPr>
                <w:rFonts w:ascii="宋体" w:hAnsi="宋体" w:eastAsia="宋体" w:cs="宋体"/>
                <w:b w:val="0"/>
                <w:i w:val="0"/>
                <w:sz w:val="19"/>
              </w:rPr>
              <w:t>目标场景选定、访谈取证、现有核算方法调研</w:t>
            </w:r>
          </w:p>
        </w:tc>
        <w:tc>
          <w:tcPr>
            <w:tcW w:type="dxa" w:w="2268"/>
          </w:tcPr>
          <w:p>
            <w:pPr>
              <w:keepNext/>
              <w:spacing w:line="240" w:lineRule="auto" w:after="40"/>
              <w:ind w:firstLine="0"/>
            </w:pPr>
            <w:r/>
            <w:r>
              <w:rPr>
                <w:rFonts w:ascii="宋体" w:hAnsi="宋体" w:eastAsia="宋体" w:cs="宋体"/>
                <w:b w:val="0"/>
                <w:i w:val="0"/>
                <w:sz w:val="19"/>
              </w:rPr>
              <w:t>需求报告</w:t>
            </w:r>
          </w:p>
        </w:tc>
      </w:tr>
      <w:tr>
        <w:trPr>
          <w:cantSplit/>
        </w:trPr>
        <w:tc>
          <w:tcPr>
            <w:tcW w:type="dxa" w:w="1928"/>
          </w:tcPr>
          <w:p>
            <w:pPr>
              <w:keepNext/>
              <w:spacing w:line="240" w:lineRule="auto" w:after="40"/>
              <w:ind w:firstLine="0"/>
            </w:pPr>
            <w:r/>
            <w:r>
              <w:rPr>
                <w:rFonts w:ascii="宋体" w:hAnsi="宋体" w:eastAsia="宋体" w:cs="宋体"/>
                <w:b w:val="0"/>
                <w:i w:val="0"/>
                <w:sz w:val="19"/>
              </w:rPr>
              <w:t>P1 单模态监测原型</w:t>
            </w:r>
          </w:p>
        </w:tc>
        <w:tc>
          <w:tcPr>
            <w:tcW w:type="dxa" w:w="4422"/>
          </w:tcPr>
          <w:p>
            <w:pPr>
              <w:keepNext/>
              <w:spacing w:line="240" w:lineRule="auto" w:after="40"/>
              <w:ind w:firstLine="0"/>
            </w:pPr>
            <w:r/>
            <w:r>
              <w:rPr>
                <w:rFonts w:ascii="宋体" w:hAnsi="宋体" w:eastAsia="宋体" w:cs="宋体"/>
                <w:b w:val="0"/>
                <w:i w:val="0"/>
                <w:sz w:val="19"/>
              </w:rPr>
              <w:t>声学与视觉节点原型、单模态识别模型</w:t>
            </w:r>
          </w:p>
        </w:tc>
        <w:tc>
          <w:tcPr>
            <w:tcW w:type="dxa" w:w="2268"/>
          </w:tcPr>
          <w:p>
            <w:pPr>
              <w:keepNext/>
              <w:spacing w:line="240" w:lineRule="auto" w:after="40"/>
              <w:ind w:firstLine="0"/>
            </w:pPr>
            <w:r/>
            <w:r>
              <w:rPr>
                <w:rFonts w:ascii="宋体" w:hAnsi="宋体" w:eastAsia="宋体" w:cs="宋体"/>
                <w:b w:val="0"/>
                <w:i w:val="0"/>
                <w:sz w:val="19"/>
              </w:rPr>
              <w:t>★ 可现场演示</w:t>
            </w:r>
          </w:p>
        </w:tc>
      </w:tr>
      <w:tr>
        <w:trPr>
          <w:cantSplit/>
        </w:trPr>
        <w:tc>
          <w:tcPr>
            <w:tcW w:type="dxa" w:w="1928"/>
          </w:tcPr>
          <w:p>
            <w:pPr>
              <w:keepNext/>
              <w:spacing w:line="240" w:lineRule="auto" w:after="40"/>
              <w:ind w:firstLine="0"/>
            </w:pPr>
            <w:r/>
            <w:r>
              <w:rPr>
                <w:rFonts w:ascii="宋体" w:hAnsi="宋体" w:eastAsia="宋体" w:cs="宋体"/>
                <w:b w:val="0"/>
                <w:i w:val="0"/>
                <w:sz w:val="19"/>
              </w:rPr>
              <w:t>P2 跨模态融合与群落指标</w:t>
            </w:r>
          </w:p>
        </w:tc>
        <w:tc>
          <w:tcPr>
            <w:tcW w:type="dxa" w:w="4422"/>
          </w:tcPr>
          <w:p>
            <w:pPr>
              <w:keepNext/>
              <w:spacing w:line="240" w:lineRule="auto" w:after="40"/>
              <w:ind w:firstLine="0"/>
            </w:pPr>
            <w:r/>
            <w:r>
              <w:rPr>
                <w:rFonts w:ascii="宋体" w:hAnsi="宋体" w:eastAsia="宋体" w:cs="宋体"/>
                <w:b w:val="0"/>
                <w:i w:val="0"/>
                <w:sz w:val="19"/>
              </w:rPr>
              <w:t>一致性融合算法、群落指标与看板</w:t>
            </w:r>
          </w:p>
        </w:tc>
        <w:tc>
          <w:tcPr>
            <w:tcW w:type="dxa" w:w="2268"/>
          </w:tcPr>
          <w:p>
            <w:pPr>
              <w:keepNext/>
              <w:spacing w:line="240" w:lineRule="auto" w:after="40"/>
              <w:ind w:firstLine="0"/>
            </w:pPr>
            <w:r/>
            <w:r>
              <w:rPr>
                <w:rFonts w:ascii="宋体" w:hAnsi="宋体" w:eastAsia="宋体" w:cs="宋体"/>
                <w:b w:val="0"/>
                <w:i w:val="0"/>
                <w:sz w:val="19"/>
              </w:rPr>
              <w:t>融合效果对比</w:t>
            </w:r>
          </w:p>
        </w:tc>
      </w:tr>
      <w:tr>
        <w:trPr>
          <w:cantSplit/>
        </w:trPr>
        <w:tc>
          <w:tcPr>
            <w:tcW w:type="dxa" w:w="1928"/>
          </w:tcPr>
          <w:p>
            <w:pPr>
              <w:keepNext/>
              <w:spacing w:line="240" w:lineRule="auto" w:after="40"/>
              <w:ind w:firstLine="0"/>
            </w:pPr>
            <w:r/>
            <w:r>
              <w:rPr>
                <w:rFonts w:ascii="宋体" w:hAnsi="宋体" w:eastAsia="宋体" w:cs="宋体"/>
                <w:b w:val="0"/>
                <w:i w:val="0"/>
                <w:sz w:val="19"/>
              </w:rPr>
              <w:t>P3 服务核算与决策</w:t>
            </w:r>
          </w:p>
        </w:tc>
        <w:tc>
          <w:tcPr>
            <w:tcW w:type="dxa" w:w="4422"/>
          </w:tcPr>
          <w:p>
            <w:pPr>
              <w:keepNext/>
              <w:spacing w:line="240" w:lineRule="auto" w:after="40"/>
              <w:ind w:firstLine="0"/>
            </w:pPr>
            <w:r/>
            <w:r>
              <w:rPr>
                <w:rFonts w:ascii="宋体" w:hAnsi="宋体" w:eastAsia="宋体" w:cs="宋体"/>
                <w:b w:val="0"/>
                <w:i w:val="0"/>
                <w:sz w:val="19"/>
              </w:rPr>
              <w:t>生态服务供给函数标定、多目标决策优化</w:t>
            </w:r>
          </w:p>
        </w:tc>
        <w:tc>
          <w:tcPr>
            <w:tcW w:type="dxa" w:w="2268"/>
          </w:tcPr>
          <w:p>
            <w:pPr>
              <w:keepNext/>
              <w:spacing w:line="240" w:lineRule="auto" w:after="40"/>
              <w:ind w:firstLine="0"/>
            </w:pPr>
            <w:r/>
            <w:r>
              <w:rPr>
                <w:rFonts w:ascii="宋体" w:hAnsi="宋体" w:eastAsia="宋体" w:cs="宋体"/>
                <w:b w:val="0"/>
                <w:i w:val="0"/>
                <w:sz w:val="19"/>
              </w:rPr>
              <w:t>★ 答辩杀手锏</w:t>
            </w:r>
          </w:p>
        </w:tc>
      </w:tr>
      <w:tr>
        <w:trPr>
          <w:cantSplit/>
        </w:trPr>
        <w:tc>
          <w:tcPr>
            <w:tcW w:type="dxa" w:w="1928"/>
          </w:tcPr>
          <w:p>
            <w:pPr>
              <w:spacing w:line="240" w:lineRule="auto" w:after="40"/>
              <w:ind w:firstLine="0"/>
            </w:pPr>
            <w:r/>
            <w:r>
              <w:rPr>
                <w:rFonts w:ascii="宋体" w:hAnsi="宋体" w:eastAsia="宋体" w:cs="宋体"/>
                <w:b w:val="0"/>
                <w:i w:val="0"/>
                <w:sz w:val="19"/>
              </w:rPr>
              <w:t>P4 产品化与推广</w:t>
            </w:r>
          </w:p>
        </w:tc>
        <w:tc>
          <w:tcPr>
            <w:tcW w:type="dxa" w:w="4422"/>
          </w:tcPr>
          <w:p>
            <w:pPr>
              <w:spacing w:line="240" w:lineRule="auto" w:after="40"/>
              <w:ind w:firstLine="0"/>
            </w:pPr>
            <w:r/>
            <w:r>
              <w:rPr>
                <w:rFonts w:ascii="宋体" w:hAnsi="宋体" w:eastAsia="宋体" w:cs="宋体"/>
                <w:b w:val="0"/>
                <w:i w:val="0"/>
                <w:sz w:val="19"/>
              </w:rPr>
              <w:t>节点定版、App 与云平台、示范点合作协议</w:t>
            </w:r>
          </w:p>
        </w:tc>
        <w:tc>
          <w:tcPr>
            <w:tcW w:type="dxa" w:w="2268"/>
          </w:tcPr>
          <w:p>
            <w:pPr>
              <w:spacing w:line="240" w:lineRule="auto" w:after="40"/>
              <w:ind w:firstLine="0"/>
            </w:pPr>
            <w:r/>
            <w:r>
              <w:rPr>
                <w:rFonts w:ascii="宋体" w:hAnsi="宋体" w:eastAsia="宋体" w:cs="宋体"/>
                <w:b w:val="0"/>
                <w:i w:val="0"/>
                <w:sz w:val="19"/>
              </w:rPr>
              <w:t>完整产品</w:t>
            </w:r>
          </w:p>
        </w:tc>
      </w:tr>
    </w:tbl>
    <w:p>
      <w:pPr>
        <w:pStyle w:val="Heading1"/>
        <w:keepNext/>
        <w:pageBreakBefore/>
        <w:spacing w:line="312" w:lineRule="auto" w:before="280" w:after="120"/>
        <w:ind w:firstLine="0"/>
      </w:pPr>
      <w:r>
        <w:rPr>
          <w:rFonts w:ascii="宋体" w:hAnsi="宋体" w:eastAsia="宋体" w:cs="宋体"/>
          <w:b/>
          <w:i w:val="0"/>
          <w:color w:val="000000"/>
          <w:sz w:val="32"/>
        </w:rPr>
        <w:t>第四章  技术方案与知识产权</w:t>
      </w:r>
    </w:p>
    <w:p>
      <w:pPr>
        <w:keepNext w:val="0"/>
        <w:spacing w:line="312" w:lineRule="auto" w:before="120" w:after="80"/>
      </w:pPr>
      <w:r>
        <w:rPr>
          <w:rFonts w:ascii="宋体" w:hAnsi="宋体" w:eastAsia="宋体" w:cs="宋体"/>
          <w:b/>
          <w:i w:val="0"/>
          <w:sz w:val="24"/>
        </w:rPr>
        <w:t>本章控制在两页以内。商业计划书里的技术章节只回答一个问题：</w:t>
      </w:r>
      <w:r>
        <w:rPr>
          <w:rFonts w:ascii="宋体" w:hAnsi="宋体" w:eastAsia="宋体" w:cs="宋体"/>
          <w:b/>
          <w:i w:val="0"/>
          <w:sz w:val="24"/>
        </w:rPr>
        <w:t>为什么别人做不出来。</w:t>
      </w:r>
    </w:p>
    <w:p>
      <w:pPr>
        <w:pStyle w:val="Heading2"/>
        <w:keepNext/>
        <w:spacing w:line="312" w:lineRule="auto" w:before="200" w:after="120"/>
        <w:ind w:firstLine="0"/>
      </w:pPr>
      <w:r>
        <w:rPr>
          <w:rFonts w:ascii="宋体" w:hAnsi="宋体" w:eastAsia="宋体" w:cs="宋体"/>
          <w:b/>
          <w:i w:val="0"/>
          <w:color w:val="000000"/>
          <w:sz w:val="28"/>
        </w:rPr>
        <w:t>4.1 核心方法：证据链上的两个构造</w:t>
      </w:r>
    </w:p>
    <w:p>
      <w:pPr>
        <w:keepNext w:val="0"/>
        <w:spacing w:line="312" w:lineRule="auto" w:before="0" w:after="80"/>
        <w:ind w:firstLine="480"/>
      </w:pPr>
      <w:r>
        <w:rPr>
          <w:rFonts w:ascii="宋体" w:hAnsi="宋体" w:eastAsia="宋体" w:cs="宋体"/>
          <w:b w:val="0"/>
          <w:i w:val="0"/>
          <w:sz w:val="24"/>
        </w:rPr>
        <w:t>有益生物的监测与生态服务核算本质上是一条证据链，从传感器信号到管理决策之间隔着四级映射，每一级都有缺口。现有技术各自只填补一小段，我们用两个构造把这条链打通。</w:t>
      </w:r>
    </w:p>
    <w:p>
      <w:pPr>
        <w:spacing w:line="276" w:lineRule="auto" w:before="80" w:after="120"/>
        <w:ind w:firstLine="0" w:left="360"/>
      </w:pPr>
      <w:r>
        <w:rPr>
          <w:rFonts w:ascii="宋体" w:hAnsi="宋体" w:eastAsia="宋体" w:cs="宋体"/>
          <w:b w:val="0"/>
          <w:i w:val="0"/>
          <w:sz w:val="18"/>
        </w:rPr>
        <w:t>观测模态 → 生物事件 → 群落状态 → 服务功能量 → 经济价值 → 管理决策</w:t>
      </w:r>
    </w:p>
    <w:p>
      <w:pPr>
        <w:pStyle w:val="ListBullet"/>
        <w:spacing w:line="312" w:lineRule="auto" w:before="0" w:after="60"/>
        <w:ind w:left="480" w:firstLine="0"/>
      </w:pPr>
      <w:r>
        <w:rPr>
          <w:rFonts w:ascii="宋体" w:hAnsi="宋体" w:eastAsia="宋体" w:cs="宋体"/>
          <w:b/>
          <w:i w:val="0"/>
          <w:sz w:val="24"/>
        </w:rPr>
        <w:t>跨模态观测一致性</w:t>
      </w:r>
      <w:r>
        <w:rPr>
          <w:rFonts w:ascii="宋体" w:hAnsi="宋体" w:eastAsia="宋体" w:cs="宋体"/>
          <w:b w:val="0"/>
          <w:i w:val="0"/>
          <w:sz w:val="24"/>
        </w:rPr>
        <w:t>：同一个生物事件会被多个模态同时观测到，这些观测之间必须互相可预测。一致性高则提升置信，一致性极低且无法给出生态学解释则判为伪观测并自动剔除，长期一致性漂移则提示传感器故障。</w:t>
      </w:r>
      <w:r>
        <w:rPr>
          <w:rFonts w:ascii="宋体" w:hAnsi="宋体" w:eastAsia="宋体" w:cs="宋体"/>
          <w:b/>
          <w:i w:val="0"/>
          <w:sz w:val="24"/>
        </w:rPr>
        <w:t>一个度量，三种用途。</w:t>
      </w:r>
    </w:p>
    <w:p>
      <w:pPr>
        <w:pStyle w:val="ListBullet"/>
        <w:spacing w:line="312" w:lineRule="auto" w:before="0" w:after="60"/>
        <w:ind w:left="480" w:firstLine="0"/>
      </w:pPr>
      <w:r>
        <w:rPr>
          <w:rFonts w:ascii="宋体" w:hAnsi="宋体" w:eastAsia="宋体" w:cs="宋体"/>
          <w:b/>
          <w:i w:val="0"/>
          <w:sz w:val="24"/>
        </w:rPr>
        <w:t>生态服务供给函数</w:t>
      </w:r>
      <w:r>
        <w:rPr>
          <w:rFonts w:ascii="宋体" w:hAnsi="宋体" w:eastAsia="宋体" w:cs="宋体"/>
          <w:b w:val="0"/>
          <w:i w:val="0"/>
          <w:sz w:val="24"/>
        </w:rPr>
        <w:t>：生态服务不是按土地面积查表得来的常数，而是由生物群落状态、生境条件与管理措施共同决定的</w:t>
      </w:r>
      <w:r>
        <w:rPr>
          <w:rFonts w:ascii="宋体" w:hAnsi="宋体" w:eastAsia="宋体" w:cs="宋体"/>
          <w:b/>
          <w:i w:val="0"/>
          <w:sz w:val="24"/>
        </w:rPr>
        <w:t>可标定函数</w:t>
      </w:r>
      <w:r>
        <w:rPr>
          <w:rFonts w:ascii="宋体" w:hAnsi="宋体" w:eastAsia="宋体" w:cs="宋体"/>
          <w:b w:val="0"/>
          <w:i w:val="0"/>
          <w:sz w:val="24"/>
        </w:rPr>
        <w:t>，必须用田间对比试验标定响应曲线，并做不确定度传递。</w:t>
      </w:r>
    </w:p>
    <w:p>
      <w:pPr>
        <w:pStyle w:val="Heading2"/>
        <w:keepNext/>
        <w:spacing w:line="312" w:lineRule="auto" w:before="200" w:after="120"/>
        <w:ind w:firstLine="0"/>
      </w:pPr>
      <w:r>
        <w:rPr>
          <w:rFonts w:ascii="宋体" w:hAnsi="宋体" w:eastAsia="宋体" w:cs="宋体"/>
          <w:b/>
          <w:i w:val="0"/>
          <w:color w:val="000000"/>
          <w:sz w:val="28"/>
        </w:rPr>
        <w:t>4.2 四条创新点</w:t>
      </w:r>
    </w:p>
    <w:tbl>
      <w:tblPr>
        <w:tblStyle w:val="TableGrid"/>
        <w:tblW w:type="auto" w:w="0"/>
        <w:jc w:val="center"/>
        <w:tblLook w:firstColumn="1" w:firstRow="1" w:lastColumn="0" w:lastRow="0" w:noHBand="0" w:noVBand="1" w:val="04A0"/>
      </w:tblPr>
      <w:tblGrid>
        <w:gridCol w:w="2948"/>
        <w:gridCol w:w="2948"/>
        <w:gridCol w:w="2948"/>
      </w:tblGrid>
      <w:tr>
        <w:trPr>
          <w:cantSplit/>
          <w:tblHeader/>
        </w:trPr>
        <w:tc>
          <w:tcPr>
            <w:tcW w:type="dxa" w:w="2041"/>
            <w:shd w:val="clear" w:fill="EFEFEF"/>
          </w:tcPr>
          <w:p>
            <w:pPr>
              <w:keepNext/>
              <w:spacing w:line="240" w:lineRule="auto" w:after="40"/>
              <w:ind w:firstLine="0"/>
              <w:jc w:val="center"/>
            </w:pPr>
            <w:r/>
            <w:r>
              <w:rPr>
                <w:rFonts w:ascii="宋体" w:hAnsi="宋体" w:eastAsia="宋体" w:cs="宋体"/>
                <w:b/>
                <w:i w:val="0"/>
                <w:sz w:val="19"/>
              </w:rPr>
              <w:t>创新点</w:t>
            </w:r>
          </w:p>
        </w:tc>
        <w:tc>
          <w:tcPr>
            <w:tcW w:type="dxa" w:w="3061"/>
            <w:shd w:val="clear" w:fill="EFEFEF"/>
          </w:tcPr>
          <w:p>
            <w:pPr>
              <w:keepNext/>
              <w:spacing w:line="240" w:lineRule="auto" w:after="40"/>
              <w:ind w:firstLine="0"/>
              <w:jc w:val="center"/>
            </w:pPr>
            <w:r/>
            <w:r>
              <w:rPr>
                <w:rFonts w:ascii="宋体" w:hAnsi="宋体" w:eastAsia="宋体" w:cs="宋体"/>
                <w:b/>
                <w:i w:val="0"/>
                <w:sz w:val="19"/>
              </w:rPr>
              <w:t>现有做法的失败</w:t>
            </w:r>
          </w:p>
        </w:tc>
        <w:tc>
          <w:tcPr>
            <w:tcW w:type="dxa" w:w="3515"/>
            <w:shd w:val="clear" w:fill="EFEFEF"/>
          </w:tcPr>
          <w:p>
            <w:pPr>
              <w:keepNext/>
              <w:spacing w:line="240" w:lineRule="auto" w:after="40"/>
              <w:ind w:firstLine="0"/>
              <w:jc w:val="center"/>
            </w:pPr>
            <w:r/>
            <w:r>
              <w:rPr>
                <w:rFonts w:ascii="宋体" w:hAnsi="宋体" w:eastAsia="宋体" w:cs="宋体"/>
                <w:b/>
                <w:i w:val="0"/>
                <w:sz w:val="19"/>
              </w:rPr>
              <w:t>我们的做法与量化指标</w:t>
            </w:r>
          </w:p>
        </w:tc>
      </w:tr>
      <w:tr>
        <w:trPr>
          <w:cantSplit/>
        </w:trPr>
        <w:tc>
          <w:tcPr>
            <w:tcW w:type="dxa" w:w="2041"/>
          </w:tcPr>
          <w:p>
            <w:pPr>
              <w:keepNext/>
              <w:spacing w:line="240" w:lineRule="auto" w:after="40"/>
              <w:ind w:firstLine="0"/>
            </w:pPr>
            <w:r/>
            <w:r>
              <w:rPr>
                <w:rFonts w:ascii="宋体" w:hAnsi="宋体" w:eastAsia="宋体" w:cs="宋体"/>
                <w:b w:val="0"/>
                <w:i w:val="0"/>
                <w:sz w:val="19"/>
              </w:rPr>
              <w:t>跨模态一致性融合与不确定度量化</w:t>
            </w:r>
          </w:p>
        </w:tc>
        <w:tc>
          <w:tcPr>
            <w:tcW w:type="dxa" w:w="3061"/>
          </w:tcPr>
          <w:p>
            <w:pPr>
              <w:keepNext/>
              <w:spacing w:line="240" w:lineRule="auto" w:after="40"/>
              <w:ind w:firstLine="0"/>
            </w:pPr>
            <w:r/>
            <w:r>
              <w:rPr>
                <w:rFonts w:ascii="宋体" w:hAnsi="宋体" w:eastAsia="宋体" w:cs="宋体"/>
                <w:b w:val="0"/>
                <w:i w:val="0"/>
                <w:sz w:val="19"/>
              </w:rPr>
              <w:t>各模态独立、互不验证，复杂场景误报率高且不输出不确定度</w:t>
            </w:r>
          </w:p>
        </w:tc>
        <w:tc>
          <w:tcPr>
            <w:tcW w:type="dxa" w:w="3515"/>
          </w:tcPr>
          <w:p>
            <w:pPr>
              <w:keepNext/>
              <w:spacing w:line="240" w:lineRule="auto" w:after="40"/>
              <w:ind w:firstLine="0"/>
            </w:pPr>
            <w:r/>
            <w:r>
              <w:rPr>
                <w:rFonts w:ascii="宋体" w:hAnsi="宋体" w:eastAsia="宋体" w:cs="宋体"/>
                <w:b w:val="0"/>
                <w:i w:val="0"/>
                <w:sz w:val="19"/>
              </w:rPr>
              <w:t>功能群识别 F1 ≥ 0.90，不确定度校准误差 ≤ 0.05</w:t>
            </w:r>
          </w:p>
        </w:tc>
      </w:tr>
      <w:tr>
        <w:trPr>
          <w:cantSplit/>
        </w:trPr>
        <w:tc>
          <w:tcPr>
            <w:tcW w:type="dxa" w:w="2041"/>
          </w:tcPr>
          <w:p>
            <w:pPr>
              <w:keepNext/>
              <w:spacing w:line="240" w:lineRule="auto" w:after="40"/>
              <w:ind w:firstLine="0"/>
            </w:pPr>
            <w:r/>
            <w:r>
              <w:rPr>
                <w:rFonts w:ascii="宋体" w:hAnsi="宋体" w:eastAsia="宋体" w:cs="宋体"/>
                <w:b w:val="0"/>
                <w:i w:val="0"/>
                <w:sz w:val="19"/>
              </w:rPr>
              <w:t>有益生物群落—生态服务供给函数</w:t>
            </w:r>
          </w:p>
        </w:tc>
        <w:tc>
          <w:tcPr>
            <w:tcW w:type="dxa" w:w="3061"/>
          </w:tcPr>
          <w:p>
            <w:pPr>
              <w:keepNext/>
              <w:spacing w:line="240" w:lineRule="auto" w:after="40"/>
              <w:ind w:firstLine="0"/>
            </w:pPr>
            <w:r/>
            <w:r>
              <w:rPr>
                <w:rFonts w:ascii="宋体" w:hAnsi="宋体" w:eastAsia="宋体" w:cs="宋体"/>
                <w:b w:val="0"/>
                <w:i w:val="0"/>
                <w:sz w:val="19"/>
              </w:rPr>
              <w:t>当量因子法的输入是土地面积，与生物实况完全脱钩</w:t>
            </w:r>
          </w:p>
        </w:tc>
        <w:tc>
          <w:tcPr>
            <w:tcW w:type="dxa" w:w="3515"/>
          </w:tcPr>
          <w:p>
            <w:pPr>
              <w:keepNext/>
              <w:spacing w:line="240" w:lineRule="auto" w:after="40"/>
              <w:ind w:firstLine="0"/>
            </w:pPr>
            <w:r/>
            <w:r>
              <w:rPr>
                <w:rFonts w:ascii="宋体" w:hAnsi="宋体" w:eastAsia="宋体" w:cs="宋体"/>
                <w:b w:val="0"/>
                <w:i w:val="0"/>
                <w:sz w:val="19"/>
              </w:rPr>
              <w:t>价值核算不确定度 ≤ 20%，对产量的解释度 R² ≥ 0.6</w:t>
            </w:r>
          </w:p>
        </w:tc>
      </w:tr>
      <w:tr>
        <w:trPr>
          <w:cantSplit/>
        </w:trPr>
        <w:tc>
          <w:tcPr>
            <w:tcW w:type="dxa" w:w="2041"/>
          </w:tcPr>
          <w:p>
            <w:pPr>
              <w:keepNext/>
              <w:spacing w:line="240" w:lineRule="auto" w:after="40"/>
              <w:ind w:firstLine="0"/>
            </w:pPr>
            <w:r/>
            <w:r>
              <w:rPr>
                <w:rFonts w:ascii="宋体" w:hAnsi="宋体" w:eastAsia="宋体" w:cs="宋体"/>
                <w:b w:val="0"/>
                <w:i w:val="0"/>
                <w:sz w:val="19"/>
              </w:rPr>
              <w:t>多目标调控决策优化</w:t>
            </w:r>
          </w:p>
        </w:tc>
        <w:tc>
          <w:tcPr>
            <w:tcW w:type="dxa" w:w="3061"/>
          </w:tcPr>
          <w:p>
            <w:pPr>
              <w:keepNext/>
              <w:spacing w:line="240" w:lineRule="auto" w:after="40"/>
              <w:ind w:firstLine="0"/>
            </w:pPr>
            <w:r/>
            <w:r>
              <w:rPr>
                <w:rFonts w:ascii="宋体" w:hAnsi="宋体" w:eastAsia="宋体" w:cs="宋体"/>
                <w:b w:val="0"/>
                <w:i w:val="0"/>
                <w:sz w:val="19"/>
              </w:rPr>
              <w:t>建议来自经验，无量化依据；"施药"与"保护天敌"常互相矛盾</w:t>
            </w:r>
          </w:p>
        </w:tc>
        <w:tc>
          <w:tcPr>
            <w:tcW w:type="dxa" w:w="3515"/>
          </w:tcPr>
          <w:p>
            <w:pPr>
              <w:keepNext/>
              <w:spacing w:line="240" w:lineRule="auto" w:after="40"/>
              <w:ind w:firstLine="0"/>
            </w:pPr>
            <w:r/>
            <w:r>
              <w:rPr>
                <w:rFonts w:ascii="宋体" w:hAnsi="宋体" w:eastAsia="宋体" w:cs="宋体"/>
                <w:b w:val="0"/>
                <w:i w:val="0"/>
                <w:sz w:val="19"/>
              </w:rPr>
              <w:t>在多样性达标前提下农药用量下降 ≥ 20%，建议带效果区间</w:t>
            </w:r>
          </w:p>
        </w:tc>
      </w:tr>
      <w:tr>
        <w:trPr>
          <w:cantSplit/>
        </w:trPr>
        <w:tc>
          <w:tcPr>
            <w:tcW w:type="dxa" w:w="2041"/>
          </w:tcPr>
          <w:p>
            <w:pPr>
              <w:spacing w:line="240" w:lineRule="auto" w:after="40"/>
              <w:ind w:firstLine="0"/>
            </w:pPr>
            <w:r/>
            <w:r>
              <w:rPr>
                <w:rFonts w:ascii="宋体" w:hAnsi="宋体" w:eastAsia="宋体" w:cs="宋体"/>
                <w:b w:val="0"/>
                <w:i w:val="0"/>
                <w:sz w:val="19"/>
              </w:rPr>
              <w:t>多模态基准与评测协议</w:t>
            </w:r>
          </w:p>
        </w:tc>
        <w:tc>
          <w:tcPr>
            <w:tcW w:type="dxa" w:w="3061"/>
          </w:tcPr>
          <w:p>
            <w:pPr>
              <w:spacing w:line="240" w:lineRule="auto" w:after="40"/>
              <w:ind w:firstLine="0"/>
            </w:pPr>
            <w:r/>
            <w:r>
              <w:rPr>
                <w:rFonts w:ascii="宋体" w:hAnsi="宋体" w:eastAsia="宋体" w:cs="宋体"/>
                <w:b w:val="0"/>
                <w:i w:val="0"/>
                <w:sz w:val="19"/>
              </w:rPr>
              <w:t>现有数据集单一模态、无生态服务标注，效果无法比较</w:t>
            </w:r>
          </w:p>
        </w:tc>
        <w:tc>
          <w:tcPr>
            <w:tcW w:type="dxa" w:w="3515"/>
          </w:tcPr>
          <w:p>
            <w:pPr>
              <w:spacing w:line="240" w:lineRule="auto" w:after="40"/>
              <w:ind w:firstLine="0"/>
            </w:pPr>
            <w:r/>
            <w:r>
              <w:rPr>
                <w:rFonts w:ascii="宋体" w:hAnsi="宋体" w:eastAsia="宋体" w:cs="宋体"/>
                <w:b w:val="0"/>
                <w:i w:val="0"/>
                <w:sz w:val="19"/>
              </w:rPr>
              <w:t>六项评测指标 + 公开数据集 + 可复现评测脚本</w:t>
            </w:r>
          </w:p>
        </w:tc>
      </w:tr>
    </w:tbl>
    <w:p>
      <w:pPr>
        <w:pStyle w:val="Heading2"/>
        <w:keepNext/>
        <w:spacing w:line="312" w:lineRule="auto" w:before="200" w:after="120"/>
        <w:ind w:firstLine="0"/>
      </w:pPr>
      <w:r>
        <w:rPr>
          <w:rFonts w:ascii="宋体" w:hAnsi="宋体" w:eastAsia="宋体" w:cs="宋体"/>
          <w:b/>
          <w:i w:val="0"/>
          <w:color w:val="000000"/>
          <w:sz w:val="28"/>
        </w:rPr>
        <w:t>4.3 知识产权与技术边界</w:t>
      </w:r>
    </w:p>
    <w:p>
      <w:pPr>
        <w:keepNext w:val="0"/>
        <w:spacing w:line="312" w:lineRule="auto" w:before="120" w:after="80"/>
      </w:pPr>
      <w:r>
        <w:rPr>
          <w:rFonts w:ascii="宋体" w:hAnsi="宋体" w:eastAsia="宋体" w:cs="宋体"/>
          <w:b w:val="0"/>
          <w:i w:val="0"/>
          <w:sz w:val="24"/>
        </w:rPr>
        <w:t>知识产权：【待填：专利 X 项（受理/授权）、软著 X 项、论文 X 篇、数据集 1 套，完成后回填并附证书】</w:t>
      </w:r>
    </w:p>
    <w:p>
      <w:pPr>
        <w:keepNext w:val="0"/>
        <w:spacing w:line="312" w:lineRule="auto" w:before="0" w:after="80"/>
      </w:pPr>
      <w:r>
        <w:rPr>
          <w:rFonts w:ascii="宋体" w:hAnsi="宋体" w:eastAsia="宋体" w:cs="宋体"/>
          <w:b w:val="0"/>
          <w:i w:val="0"/>
          <w:sz w:val="24"/>
        </w:rPr>
        <w:t>技术边界（主动声明，避免被追问时无法收场）：</w:t>
      </w:r>
    </w:p>
    <w:p>
      <w:pPr>
        <w:pStyle w:val="ListBullet"/>
        <w:spacing w:line="312" w:lineRule="auto" w:before="0" w:after="60"/>
        <w:ind w:left="480" w:firstLine="0"/>
      </w:pPr>
      <w:r>
        <w:rPr>
          <w:rFonts w:ascii="宋体" w:hAnsi="宋体" w:eastAsia="宋体" w:cs="宋体"/>
          <w:b w:val="0"/>
          <w:i w:val="0"/>
          <w:sz w:val="24"/>
        </w:rPr>
        <w:t>不承诺物种级鉴定，定位为功能群级识别；疑难类群建议人工或分子复核。</w:t>
      </w:r>
    </w:p>
    <w:p>
      <w:pPr>
        <w:pStyle w:val="ListBullet"/>
        <w:spacing w:line="312" w:lineRule="auto" w:before="0" w:after="60"/>
        <w:ind w:left="480" w:firstLine="0"/>
      </w:pPr>
      <w:r>
        <w:rPr>
          <w:rFonts w:ascii="宋体" w:hAnsi="宋体" w:eastAsia="宋体" w:cs="宋体"/>
          <w:b w:val="0"/>
          <w:i w:val="0"/>
          <w:sz w:val="24"/>
        </w:rPr>
        <w:t>不承诺绝对计数，声学与视觉输出的是相对丰度指数，必须经人工标定换算。</w:t>
      </w:r>
    </w:p>
    <w:p>
      <w:pPr>
        <w:pStyle w:val="ListBullet"/>
        <w:spacing w:line="312" w:lineRule="auto" w:before="0" w:after="60"/>
        <w:ind w:left="480" w:firstLine="0"/>
      </w:pPr>
      <w:r>
        <w:rPr>
          <w:rFonts w:ascii="宋体" w:hAnsi="宋体" w:eastAsia="宋体" w:cs="宋体"/>
          <w:b w:val="0"/>
          <w:i w:val="0"/>
          <w:sz w:val="24"/>
        </w:rPr>
        <w:t>生态服务价值不是"真值"，而是基于实测生物数据的可标定估计，必须报告不确定度——这也是它能被审计的前提。</w:t>
      </w:r>
    </w:p>
    <w:p>
      <w:pPr>
        <w:pStyle w:val="Heading1"/>
        <w:keepNext/>
        <w:pageBreakBefore/>
        <w:spacing w:line="312" w:lineRule="auto" w:before="280" w:after="120"/>
        <w:ind w:firstLine="0"/>
      </w:pPr>
      <w:r>
        <w:rPr>
          <w:rFonts w:ascii="宋体" w:hAnsi="宋体" w:eastAsia="宋体" w:cs="宋体"/>
          <w:b/>
          <w:i w:val="0"/>
          <w:color w:val="000000"/>
          <w:sz w:val="32"/>
        </w:rPr>
        <w:t>第五章  市场分析</w:t>
      </w:r>
    </w:p>
    <w:p>
      <w:pPr>
        <w:pStyle w:val="Heading2"/>
        <w:keepNext/>
        <w:spacing w:line="312" w:lineRule="auto" w:before="200" w:after="120"/>
        <w:ind w:firstLine="0"/>
      </w:pPr>
      <w:r>
        <w:rPr>
          <w:rFonts w:ascii="宋体" w:hAnsi="宋体" w:eastAsia="宋体" w:cs="宋体"/>
          <w:b/>
          <w:i w:val="0"/>
          <w:color w:val="000000"/>
          <w:sz w:val="28"/>
        </w:rPr>
        <w:t>5.1 目标客户分层</w:t>
      </w:r>
    </w:p>
    <w:tbl>
      <w:tblPr>
        <w:tblStyle w:val="TableGrid"/>
        <w:tblW w:type="auto" w:w="0"/>
        <w:jc w:val="center"/>
        <w:tblLook w:firstColumn="1" w:firstRow="1" w:lastColumn="0" w:lastRow="0" w:noHBand="0" w:noVBand="1" w:val="04A0"/>
      </w:tblPr>
      <w:tblGrid>
        <w:gridCol w:w="1769"/>
        <w:gridCol w:w="1769"/>
        <w:gridCol w:w="1769"/>
        <w:gridCol w:w="1769"/>
        <w:gridCol w:w="1769"/>
      </w:tblGrid>
      <w:tr>
        <w:trPr>
          <w:cantSplit/>
          <w:tblHeader/>
        </w:trPr>
        <w:tc>
          <w:tcPr>
            <w:tcW w:type="dxa" w:w="907"/>
            <w:shd w:val="clear" w:fill="EFEFEF"/>
          </w:tcPr>
          <w:p>
            <w:pPr>
              <w:keepNext/>
              <w:spacing w:line="240" w:lineRule="auto" w:after="40"/>
              <w:ind w:firstLine="0"/>
              <w:jc w:val="center"/>
            </w:pPr>
            <w:r/>
            <w:r>
              <w:rPr>
                <w:rFonts w:ascii="宋体" w:hAnsi="宋体" w:eastAsia="宋体" w:cs="宋体"/>
                <w:b/>
                <w:i w:val="0"/>
                <w:sz w:val="17"/>
              </w:rPr>
              <w:t>层级</w:t>
            </w:r>
          </w:p>
        </w:tc>
        <w:tc>
          <w:tcPr>
            <w:tcW w:type="dxa" w:w="2381"/>
            <w:shd w:val="clear" w:fill="EFEFEF"/>
          </w:tcPr>
          <w:p>
            <w:pPr>
              <w:keepNext/>
              <w:spacing w:line="240" w:lineRule="auto" w:after="40"/>
              <w:ind w:firstLine="0"/>
              <w:jc w:val="center"/>
            </w:pPr>
            <w:r/>
            <w:r>
              <w:rPr>
                <w:rFonts w:ascii="宋体" w:hAnsi="宋体" w:eastAsia="宋体" w:cs="宋体"/>
                <w:b/>
                <w:i w:val="0"/>
                <w:sz w:val="17"/>
              </w:rPr>
              <w:t>客户类型</w:t>
            </w:r>
          </w:p>
        </w:tc>
        <w:tc>
          <w:tcPr>
            <w:tcW w:type="dxa" w:w="2608"/>
            <w:shd w:val="clear" w:fill="EFEFEF"/>
          </w:tcPr>
          <w:p>
            <w:pPr>
              <w:keepNext/>
              <w:spacing w:line="240" w:lineRule="auto" w:after="40"/>
              <w:ind w:firstLine="0"/>
              <w:jc w:val="center"/>
            </w:pPr>
            <w:r/>
            <w:r>
              <w:rPr>
                <w:rFonts w:ascii="宋体" w:hAnsi="宋体" w:eastAsia="宋体" w:cs="宋体"/>
                <w:b/>
                <w:i w:val="0"/>
                <w:sz w:val="17"/>
              </w:rPr>
              <w:t>需求特征</w:t>
            </w:r>
          </w:p>
        </w:tc>
        <w:tc>
          <w:tcPr>
            <w:tcW w:type="dxa" w:w="1361"/>
            <w:shd w:val="clear" w:fill="EFEFEF"/>
          </w:tcPr>
          <w:p>
            <w:pPr>
              <w:keepNext/>
              <w:spacing w:line="240" w:lineRule="auto" w:after="40"/>
              <w:ind w:firstLine="0"/>
              <w:jc w:val="center"/>
            </w:pPr>
            <w:r/>
            <w:r>
              <w:rPr>
                <w:rFonts w:ascii="宋体" w:hAnsi="宋体" w:eastAsia="宋体" w:cs="宋体"/>
                <w:b/>
                <w:i w:val="0"/>
                <w:sz w:val="17"/>
              </w:rPr>
              <w:t>付费意愿</w:t>
            </w:r>
          </w:p>
        </w:tc>
        <w:tc>
          <w:tcPr>
            <w:tcW w:type="dxa" w:w="1361"/>
            <w:shd w:val="clear" w:fill="EFEFEF"/>
          </w:tcPr>
          <w:p>
            <w:pPr>
              <w:keepNext/>
              <w:spacing w:line="240" w:lineRule="auto" w:after="40"/>
              <w:ind w:firstLine="0"/>
              <w:jc w:val="center"/>
            </w:pPr>
            <w:r/>
            <w:r>
              <w:rPr>
                <w:rFonts w:ascii="宋体" w:hAnsi="宋体" w:eastAsia="宋体" w:cs="宋体"/>
                <w:b/>
                <w:i w:val="0"/>
                <w:sz w:val="17"/>
              </w:rPr>
              <w:t>切入顺序</w:t>
            </w:r>
          </w:p>
        </w:tc>
      </w:tr>
      <w:tr>
        <w:trPr>
          <w:cantSplit/>
        </w:trPr>
        <w:tc>
          <w:tcPr>
            <w:tcW w:type="dxa" w:w="907"/>
          </w:tcPr>
          <w:p>
            <w:pPr>
              <w:keepNext/>
              <w:spacing w:line="240" w:lineRule="auto" w:after="40"/>
              <w:ind w:firstLine="0"/>
            </w:pPr>
            <w:r/>
            <w:r>
              <w:rPr>
                <w:rFonts w:ascii="宋体" w:hAnsi="宋体" w:eastAsia="宋体" w:cs="宋体"/>
                <w:b w:val="0"/>
                <w:i w:val="0"/>
                <w:sz w:val="17"/>
              </w:rPr>
              <w:t>第一层</w:t>
            </w:r>
          </w:p>
        </w:tc>
        <w:tc>
          <w:tcPr>
            <w:tcW w:type="dxa" w:w="2381"/>
          </w:tcPr>
          <w:p>
            <w:pPr>
              <w:keepNext/>
              <w:spacing w:line="240" w:lineRule="auto" w:after="40"/>
              <w:ind w:firstLine="0"/>
            </w:pPr>
            <w:r/>
            <w:r>
              <w:rPr>
                <w:rFonts w:ascii="宋体" w:hAnsi="宋体" w:eastAsia="宋体" w:cs="宋体"/>
                <w:b w:val="0"/>
                <w:i w:val="0"/>
                <w:sz w:val="17"/>
              </w:rPr>
              <w:t>设施农业园区与果园种植主体</w:t>
            </w:r>
          </w:p>
        </w:tc>
        <w:tc>
          <w:tcPr>
            <w:tcW w:type="dxa" w:w="2608"/>
          </w:tcPr>
          <w:p>
            <w:pPr>
              <w:keepNext/>
              <w:spacing w:line="240" w:lineRule="auto" w:after="40"/>
              <w:ind w:firstLine="0"/>
            </w:pPr>
            <w:r/>
            <w:r>
              <w:rPr>
                <w:rFonts w:ascii="宋体" w:hAnsi="宋体" w:eastAsia="宋体" w:cs="宋体"/>
                <w:b w:val="0"/>
                <w:i w:val="0"/>
                <w:sz w:val="17"/>
              </w:rPr>
              <w:t>授粉不足直接减产，需要客观的授粉效果数据</w:t>
            </w:r>
          </w:p>
        </w:tc>
        <w:tc>
          <w:tcPr>
            <w:tcW w:type="dxa" w:w="1361"/>
          </w:tcPr>
          <w:p>
            <w:pPr>
              <w:keepNext/>
              <w:spacing w:line="240" w:lineRule="auto" w:after="40"/>
              <w:ind w:firstLine="0"/>
            </w:pPr>
            <w:r/>
            <w:r>
              <w:rPr>
                <w:rFonts w:ascii="宋体" w:hAnsi="宋体" w:eastAsia="宋体" w:cs="宋体"/>
                <w:b w:val="0"/>
                <w:i w:val="0"/>
                <w:sz w:val="17"/>
              </w:rPr>
              <w:t>中高</w:t>
            </w:r>
          </w:p>
        </w:tc>
        <w:tc>
          <w:tcPr>
            <w:tcW w:type="dxa" w:w="1361"/>
          </w:tcPr>
          <w:p>
            <w:pPr>
              <w:keepNext/>
              <w:spacing w:line="240" w:lineRule="auto" w:after="40"/>
              <w:ind w:firstLine="0"/>
            </w:pPr>
            <w:r/>
            <w:r>
              <w:rPr>
                <w:rFonts w:ascii="宋体" w:hAnsi="宋体" w:eastAsia="宋体" w:cs="宋体"/>
                <w:b w:val="0"/>
                <w:i w:val="0"/>
                <w:sz w:val="17"/>
              </w:rPr>
              <w:t>★ 首发滩头</w:t>
            </w:r>
          </w:p>
        </w:tc>
      </w:tr>
      <w:tr>
        <w:trPr>
          <w:cantSplit/>
        </w:trPr>
        <w:tc>
          <w:tcPr>
            <w:tcW w:type="dxa" w:w="907"/>
          </w:tcPr>
          <w:p>
            <w:pPr>
              <w:keepNext/>
              <w:spacing w:line="240" w:lineRule="auto" w:after="40"/>
              <w:ind w:firstLine="0"/>
            </w:pPr>
            <w:r/>
            <w:r>
              <w:rPr>
                <w:rFonts w:ascii="宋体" w:hAnsi="宋体" w:eastAsia="宋体" w:cs="宋体"/>
                <w:b w:val="0"/>
                <w:i w:val="0"/>
                <w:sz w:val="17"/>
              </w:rPr>
              <w:t>第一层</w:t>
            </w:r>
          </w:p>
        </w:tc>
        <w:tc>
          <w:tcPr>
            <w:tcW w:type="dxa" w:w="2381"/>
          </w:tcPr>
          <w:p>
            <w:pPr>
              <w:keepNext/>
              <w:spacing w:line="240" w:lineRule="auto" w:after="40"/>
              <w:ind w:firstLine="0"/>
            </w:pPr>
            <w:r/>
            <w:r>
              <w:rPr>
                <w:rFonts w:ascii="宋体" w:hAnsi="宋体" w:eastAsia="宋体" w:cs="宋体"/>
                <w:b w:val="0"/>
                <w:i w:val="0"/>
                <w:sz w:val="17"/>
              </w:rPr>
              <w:t>蜂农与蜂授粉服务商</w:t>
            </w:r>
          </w:p>
        </w:tc>
        <w:tc>
          <w:tcPr>
            <w:tcW w:type="dxa" w:w="2608"/>
          </w:tcPr>
          <w:p>
            <w:pPr>
              <w:keepNext/>
              <w:spacing w:line="240" w:lineRule="auto" w:after="40"/>
              <w:ind w:firstLine="0"/>
            </w:pPr>
            <w:r/>
            <w:r>
              <w:rPr>
                <w:rFonts w:ascii="宋体" w:hAnsi="宋体" w:eastAsia="宋体" w:cs="宋体"/>
                <w:b w:val="0"/>
                <w:i w:val="0"/>
                <w:sz w:val="17"/>
              </w:rPr>
              <w:t>需要向种植户证明授粉效果，解决责任争议</w:t>
            </w:r>
          </w:p>
        </w:tc>
        <w:tc>
          <w:tcPr>
            <w:tcW w:type="dxa" w:w="1361"/>
          </w:tcPr>
          <w:p>
            <w:pPr>
              <w:keepNext/>
              <w:spacing w:line="240" w:lineRule="auto" w:after="40"/>
              <w:ind w:firstLine="0"/>
            </w:pPr>
            <w:r/>
            <w:r>
              <w:rPr>
                <w:rFonts w:ascii="宋体" w:hAnsi="宋体" w:eastAsia="宋体" w:cs="宋体"/>
                <w:b w:val="0"/>
                <w:i w:val="0"/>
                <w:sz w:val="17"/>
              </w:rPr>
              <w:t>中</w:t>
            </w:r>
          </w:p>
        </w:tc>
        <w:tc>
          <w:tcPr>
            <w:tcW w:type="dxa" w:w="1361"/>
          </w:tcPr>
          <w:p>
            <w:pPr>
              <w:keepNext/>
              <w:spacing w:line="240" w:lineRule="auto" w:after="40"/>
              <w:ind w:firstLine="0"/>
            </w:pPr>
            <w:r/>
            <w:r>
              <w:rPr>
                <w:rFonts w:ascii="宋体" w:hAnsi="宋体" w:eastAsia="宋体" w:cs="宋体"/>
                <w:b w:val="0"/>
                <w:i w:val="0"/>
                <w:sz w:val="17"/>
              </w:rPr>
              <w:t>★ 首发滩头</w:t>
            </w:r>
          </w:p>
        </w:tc>
      </w:tr>
      <w:tr>
        <w:trPr>
          <w:cantSplit/>
        </w:trPr>
        <w:tc>
          <w:tcPr>
            <w:tcW w:type="dxa" w:w="907"/>
          </w:tcPr>
          <w:p>
            <w:pPr>
              <w:keepNext/>
              <w:spacing w:line="240" w:lineRule="auto" w:after="40"/>
              <w:ind w:firstLine="0"/>
            </w:pPr>
            <w:r/>
            <w:r>
              <w:rPr>
                <w:rFonts w:ascii="宋体" w:hAnsi="宋体" w:eastAsia="宋体" w:cs="宋体"/>
                <w:b w:val="0"/>
                <w:i w:val="0"/>
                <w:sz w:val="17"/>
              </w:rPr>
              <w:t>第一层</w:t>
            </w:r>
          </w:p>
        </w:tc>
        <w:tc>
          <w:tcPr>
            <w:tcW w:type="dxa" w:w="2381"/>
          </w:tcPr>
          <w:p>
            <w:pPr>
              <w:keepNext/>
              <w:spacing w:line="240" w:lineRule="auto" w:after="40"/>
              <w:ind w:firstLine="0"/>
            </w:pPr>
            <w:r/>
            <w:r>
              <w:rPr>
                <w:rFonts w:ascii="宋体" w:hAnsi="宋体" w:eastAsia="宋体" w:cs="宋体"/>
                <w:b w:val="0"/>
                <w:i w:val="0"/>
                <w:sz w:val="17"/>
              </w:rPr>
              <w:t>粮食主产区种植大户与合作社</w:t>
            </w:r>
          </w:p>
        </w:tc>
        <w:tc>
          <w:tcPr>
            <w:tcW w:type="dxa" w:w="2608"/>
          </w:tcPr>
          <w:p>
            <w:pPr>
              <w:keepNext/>
              <w:spacing w:line="240" w:lineRule="auto" w:after="40"/>
              <w:ind w:firstLine="0"/>
            </w:pPr>
            <w:r/>
            <w:r>
              <w:rPr>
                <w:rFonts w:ascii="宋体" w:hAnsi="宋体" w:eastAsia="宋体" w:cs="宋体"/>
                <w:b w:val="0"/>
                <w:i w:val="0"/>
                <w:sz w:val="17"/>
              </w:rPr>
              <w:t>减药增效是硬指标，但缺量化依据</w:t>
            </w:r>
          </w:p>
        </w:tc>
        <w:tc>
          <w:tcPr>
            <w:tcW w:type="dxa" w:w="1361"/>
          </w:tcPr>
          <w:p>
            <w:pPr>
              <w:keepNext/>
              <w:spacing w:line="240" w:lineRule="auto" w:after="40"/>
              <w:ind w:firstLine="0"/>
            </w:pPr>
            <w:r/>
            <w:r>
              <w:rPr>
                <w:rFonts w:ascii="宋体" w:hAnsi="宋体" w:eastAsia="宋体" w:cs="宋体"/>
                <w:b w:val="0"/>
                <w:i w:val="0"/>
                <w:sz w:val="17"/>
              </w:rPr>
              <w:t>中</w:t>
            </w:r>
          </w:p>
        </w:tc>
        <w:tc>
          <w:tcPr>
            <w:tcW w:type="dxa" w:w="1361"/>
          </w:tcPr>
          <w:p>
            <w:pPr>
              <w:keepNext/>
              <w:spacing w:line="240" w:lineRule="auto" w:after="40"/>
              <w:ind w:firstLine="0"/>
            </w:pPr>
            <w:r/>
            <w:r>
              <w:rPr>
                <w:rFonts w:ascii="宋体" w:hAnsi="宋体" w:eastAsia="宋体" w:cs="宋体"/>
                <w:b w:val="0"/>
                <w:i w:val="0"/>
                <w:sz w:val="17"/>
              </w:rPr>
              <w:t>★ 现金流主力</w:t>
            </w:r>
          </w:p>
        </w:tc>
      </w:tr>
      <w:tr>
        <w:trPr>
          <w:cantSplit/>
        </w:trPr>
        <w:tc>
          <w:tcPr>
            <w:tcW w:type="dxa" w:w="907"/>
          </w:tcPr>
          <w:p>
            <w:pPr>
              <w:keepNext/>
              <w:spacing w:line="240" w:lineRule="auto" w:after="40"/>
              <w:ind w:firstLine="0"/>
            </w:pPr>
            <w:r/>
            <w:r>
              <w:rPr>
                <w:rFonts w:ascii="宋体" w:hAnsi="宋体" w:eastAsia="宋体" w:cs="宋体"/>
                <w:b w:val="0"/>
                <w:i w:val="0"/>
                <w:sz w:val="17"/>
              </w:rPr>
              <w:t>第二层</w:t>
            </w:r>
          </w:p>
        </w:tc>
        <w:tc>
          <w:tcPr>
            <w:tcW w:type="dxa" w:w="2381"/>
          </w:tcPr>
          <w:p>
            <w:pPr>
              <w:keepNext/>
              <w:spacing w:line="240" w:lineRule="auto" w:after="40"/>
              <w:ind w:firstLine="0"/>
            </w:pPr>
            <w:r/>
            <w:r>
              <w:rPr>
                <w:rFonts w:ascii="宋体" w:hAnsi="宋体" w:eastAsia="宋体" w:cs="宋体"/>
                <w:b w:val="0"/>
                <w:i w:val="0"/>
                <w:sz w:val="17"/>
              </w:rPr>
              <w:t>地方农业农村局 / 林草局 / 植保站</w:t>
            </w:r>
          </w:p>
        </w:tc>
        <w:tc>
          <w:tcPr>
            <w:tcW w:type="dxa" w:w="2608"/>
          </w:tcPr>
          <w:p>
            <w:pPr>
              <w:keepNext/>
              <w:spacing w:line="240" w:lineRule="auto" w:after="40"/>
              <w:ind w:firstLine="0"/>
            </w:pPr>
            <w:r/>
            <w:r>
              <w:rPr>
                <w:rFonts w:ascii="宋体" w:hAnsi="宋体" w:eastAsia="宋体" w:cs="宋体"/>
                <w:b w:val="0"/>
                <w:i w:val="0"/>
                <w:sz w:val="17"/>
              </w:rPr>
              <w:t>监测网络建设与生态服务核算，政府采购</w:t>
            </w:r>
          </w:p>
        </w:tc>
        <w:tc>
          <w:tcPr>
            <w:tcW w:type="dxa" w:w="1361"/>
          </w:tcPr>
          <w:p>
            <w:pPr>
              <w:keepNext/>
              <w:spacing w:line="240" w:lineRule="auto" w:after="40"/>
              <w:ind w:firstLine="0"/>
            </w:pPr>
            <w:r/>
            <w:r>
              <w:rPr>
                <w:rFonts w:ascii="宋体" w:hAnsi="宋体" w:eastAsia="宋体" w:cs="宋体"/>
                <w:b w:val="0"/>
                <w:i w:val="0"/>
                <w:sz w:val="17"/>
              </w:rPr>
              <w:t>高</w:t>
            </w:r>
          </w:p>
        </w:tc>
        <w:tc>
          <w:tcPr>
            <w:tcW w:type="dxa" w:w="1361"/>
          </w:tcPr>
          <w:p>
            <w:pPr>
              <w:keepNext/>
              <w:spacing w:line="240" w:lineRule="auto" w:after="40"/>
              <w:ind w:firstLine="0"/>
            </w:pPr>
            <w:r/>
            <w:r>
              <w:rPr>
                <w:rFonts w:ascii="宋体" w:hAnsi="宋体" w:eastAsia="宋体" w:cs="宋体"/>
                <w:b w:val="0"/>
                <w:i w:val="0"/>
                <w:sz w:val="17"/>
              </w:rPr>
              <w:t>一期</w:t>
            </w:r>
          </w:p>
        </w:tc>
      </w:tr>
      <w:tr>
        <w:trPr>
          <w:cantSplit/>
        </w:trPr>
        <w:tc>
          <w:tcPr>
            <w:tcW w:type="dxa" w:w="907"/>
          </w:tcPr>
          <w:p>
            <w:pPr>
              <w:keepNext/>
              <w:spacing w:line="240" w:lineRule="auto" w:after="40"/>
              <w:ind w:firstLine="0"/>
            </w:pPr>
            <w:r/>
            <w:r>
              <w:rPr>
                <w:rFonts w:ascii="宋体" w:hAnsi="宋体" w:eastAsia="宋体" w:cs="宋体"/>
                <w:b w:val="0"/>
                <w:i w:val="0"/>
                <w:sz w:val="17"/>
              </w:rPr>
              <w:t>第二层</w:t>
            </w:r>
          </w:p>
        </w:tc>
        <w:tc>
          <w:tcPr>
            <w:tcW w:type="dxa" w:w="2381"/>
          </w:tcPr>
          <w:p>
            <w:pPr>
              <w:keepNext/>
              <w:spacing w:line="240" w:lineRule="auto" w:after="40"/>
              <w:ind w:firstLine="0"/>
            </w:pPr>
            <w:r/>
            <w:r>
              <w:rPr>
                <w:rFonts w:ascii="宋体" w:hAnsi="宋体" w:eastAsia="宋体" w:cs="宋体"/>
                <w:b w:val="0"/>
                <w:i w:val="0"/>
                <w:sz w:val="17"/>
              </w:rPr>
              <w:t>认证机构与核算咨询机构</w:t>
            </w:r>
          </w:p>
        </w:tc>
        <w:tc>
          <w:tcPr>
            <w:tcW w:type="dxa" w:w="2608"/>
          </w:tcPr>
          <w:p>
            <w:pPr>
              <w:keepNext/>
              <w:spacing w:line="240" w:lineRule="auto" w:after="40"/>
              <w:ind w:firstLine="0"/>
            </w:pPr>
            <w:r/>
            <w:r>
              <w:rPr>
                <w:rFonts w:ascii="宋体" w:hAnsi="宋体" w:eastAsia="宋体" w:cs="宋体"/>
                <w:b w:val="0"/>
                <w:i w:val="0"/>
                <w:sz w:val="17"/>
              </w:rPr>
              <w:t>需要可审计的生物数据支撑认证与核算报告</w:t>
            </w:r>
          </w:p>
        </w:tc>
        <w:tc>
          <w:tcPr>
            <w:tcW w:type="dxa" w:w="1361"/>
          </w:tcPr>
          <w:p>
            <w:pPr>
              <w:keepNext/>
              <w:spacing w:line="240" w:lineRule="auto" w:after="40"/>
              <w:ind w:firstLine="0"/>
            </w:pPr>
            <w:r/>
            <w:r>
              <w:rPr>
                <w:rFonts w:ascii="宋体" w:hAnsi="宋体" w:eastAsia="宋体" w:cs="宋体"/>
                <w:b w:val="0"/>
                <w:i w:val="0"/>
                <w:sz w:val="17"/>
              </w:rPr>
              <w:t>高</w:t>
            </w:r>
          </w:p>
        </w:tc>
        <w:tc>
          <w:tcPr>
            <w:tcW w:type="dxa" w:w="1361"/>
          </w:tcPr>
          <w:p>
            <w:pPr>
              <w:keepNext/>
              <w:spacing w:line="240" w:lineRule="auto" w:after="40"/>
              <w:ind w:firstLine="0"/>
            </w:pPr>
            <w:r/>
            <w:r>
              <w:rPr>
                <w:rFonts w:ascii="宋体" w:hAnsi="宋体" w:eastAsia="宋体" w:cs="宋体"/>
                <w:b w:val="0"/>
                <w:i w:val="0"/>
                <w:sz w:val="17"/>
              </w:rPr>
              <w:t>一期（标杆案例）</w:t>
            </w:r>
          </w:p>
        </w:tc>
      </w:tr>
      <w:tr>
        <w:trPr>
          <w:cantSplit/>
        </w:trPr>
        <w:tc>
          <w:tcPr>
            <w:tcW w:type="dxa" w:w="907"/>
          </w:tcPr>
          <w:p>
            <w:pPr>
              <w:spacing w:line="240" w:lineRule="auto" w:after="40"/>
              <w:ind w:firstLine="0"/>
            </w:pPr>
            <w:r/>
            <w:r>
              <w:rPr>
                <w:rFonts w:ascii="宋体" w:hAnsi="宋体" w:eastAsia="宋体" w:cs="宋体"/>
                <w:b w:val="0"/>
                <w:i w:val="0"/>
                <w:sz w:val="17"/>
              </w:rPr>
              <w:t>第三层</w:t>
            </w:r>
          </w:p>
        </w:tc>
        <w:tc>
          <w:tcPr>
            <w:tcW w:type="dxa" w:w="2381"/>
          </w:tcPr>
          <w:p>
            <w:pPr>
              <w:spacing w:line="240" w:lineRule="auto" w:after="40"/>
              <w:ind w:firstLine="0"/>
            </w:pPr>
            <w:r/>
            <w:r>
              <w:rPr>
                <w:rFonts w:ascii="宋体" w:hAnsi="宋体" w:eastAsia="宋体" w:cs="宋体"/>
                <w:b w:val="0"/>
                <w:i w:val="0"/>
                <w:sz w:val="17"/>
              </w:rPr>
              <w:t>保险公司与生物多样性金融项目方</w:t>
            </w:r>
          </w:p>
        </w:tc>
        <w:tc>
          <w:tcPr>
            <w:tcW w:type="dxa" w:w="2608"/>
          </w:tcPr>
          <w:p>
            <w:pPr>
              <w:spacing w:line="240" w:lineRule="auto" w:after="40"/>
              <w:ind w:firstLine="0"/>
            </w:pPr>
            <w:r/>
            <w:r>
              <w:rPr>
                <w:rFonts w:ascii="宋体" w:hAnsi="宋体" w:eastAsia="宋体" w:cs="宋体"/>
                <w:b w:val="0"/>
                <w:i w:val="0"/>
                <w:sz w:val="17"/>
              </w:rPr>
              <w:t>需要连续、客观、可核验的底层数据</w:t>
            </w:r>
          </w:p>
        </w:tc>
        <w:tc>
          <w:tcPr>
            <w:tcW w:type="dxa" w:w="1361"/>
          </w:tcPr>
          <w:p>
            <w:pPr>
              <w:spacing w:line="240" w:lineRule="auto" w:after="40"/>
              <w:ind w:firstLine="0"/>
            </w:pPr>
            <w:r/>
            <w:r>
              <w:rPr>
                <w:rFonts w:ascii="宋体" w:hAnsi="宋体" w:eastAsia="宋体" w:cs="宋体"/>
                <w:b w:val="0"/>
                <w:i w:val="0"/>
                <w:sz w:val="17"/>
              </w:rPr>
              <w:t>高，周期长</w:t>
            </w:r>
          </w:p>
        </w:tc>
        <w:tc>
          <w:tcPr>
            <w:tcW w:type="dxa" w:w="1361"/>
          </w:tcPr>
          <w:p>
            <w:pPr>
              <w:spacing w:line="240" w:lineRule="auto" w:after="40"/>
              <w:ind w:firstLine="0"/>
            </w:pPr>
            <w:r/>
            <w:r>
              <w:rPr>
                <w:rFonts w:ascii="宋体" w:hAnsi="宋体" w:eastAsia="宋体" w:cs="宋体"/>
                <w:b w:val="0"/>
                <w:i w:val="0"/>
                <w:sz w:val="17"/>
              </w:rPr>
              <w:t>二期</w:t>
            </w:r>
          </w:p>
        </w:tc>
      </w:tr>
    </w:tbl>
    <w:p>
      <w:pPr>
        <w:pStyle w:val="Heading2"/>
        <w:keepNext/>
        <w:spacing w:line="312" w:lineRule="auto" w:before="200" w:after="120"/>
        <w:ind w:firstLine="0"/>
      </w:pPr>
      <w:r>
        <w:rPr>
          <w:rFonts w:ascii="宋体" w:hAnsi="宋体" w:eastAsia="宋体" w:cs="宋体"/>
          <w:b/>
          <w:i w:val="0"/>
          <w:color w:val="000000"/>
          <w:sz w:val="28"/>
        </w:rPr>
        <w:t>5.2 市场规模：自下而上测算</w:t>
      </w:r>
    </w:p>
    <w:p>
      <w:pPr>
        <w:keepNext w:val="0"/>
        <w:spacing w:line="312" w:lineRule="auto" w:before="120" w:after="80"/>
      </w:pPr>
      <w:r>
        <w:rPr>
          <w:rFonts w:ascii="宋体" w:hAnsi="宋体" w:eastAsia="宋体" w:cs="宋体"/>
          <w:b w:val="0"/>
          <w:i w:val="0"/>
          <w:sz w:val="24"/>
        </w:rPr>
        <w:t>我们不引用第三方报告的大数字，而是用"客户基数 × 节点数 × 可触达比例 × 付费率 × 客单价"推导，并把每一个假设的来源写清楚，这样评委才能检验逻辑。</w:t>
      </w:r>
    </w:p>
    <w:tbl>
      <w:tblPr>
        <w:tblStyle w:val="TableGrid"/>
        <w:tblW w:type="auto" w:w="0"/>
        <w:jc w:val="center"/>
        <w:tblLook w:firstColumn="1" w:firstRow="1" w:lastColumn="0" w:lastRow="0" w:noHBand="0" w:noVBand="1" w:val="04A0"/>
      </w:tblPr>
      <w:tblGrid>
        <w:gridCol w:w="2948"/>
        <w:gridCol w:w="2948"/>
        <w:gridCol w:w="2948"/>
      </w:tblGrid>
      <w:tr>
        <w:trPr>
          <w:cantSplit/>
          <w:tblHeader/>
        </w:trPr>
        <w:tc>
          <w:tcPr>
            <w:tcW w:type="dxa" w:w="1814"/>
            <w:shd w:val="clear" w:fill="EFEFEF"/>
          </w:tcPr>
          <w:p>
            <w:pPr>
              <w:keepNext/>
              <w:spacing w:line="240" w:lineRule="auto" w:after="40"/>
              <w:ind w:firstLine="0"/>
              <w:jc w:val="center"/>
            </w:pPr>
            <w:r/>
            <w:r>
              <w:rPr>
                <w:rFonts w:ascii="宋体" w:hAnsi="宋体" w:eastAsia="宋体" w:cs="宋体"/>
                <w:b/>
                <w:i w:val="0"/>
                <w:sz w:val="18"/>
              </w:rPr>
              <w:t>测算项</w:t>
            </w:r>
          </w:p>
        </w:tc>
        <w:tc>
          <w:tcPr>
            <w:tcW w:type="dxa" w:w="2041"/>
            <w:shd w:val="clear" w:fill="EFEFEF"/>
          </w:tcPr>
          <w:p>
            <w:pPr>
              <w:keepNext/>
              <w:spacing w:line="240" w:lineRule="auto" w:after="40"/>
              <w:ind w:firstLine="0"/>
              <w:jc w:val="center"/>
            </w:pPr>
            <w:r/>
            <w:r>
              <w:rPr>
                <w:rFonts w:ascii="宋体" w:hAnsi="宋体" w:eastAsia="宋体" w:cs="宋体"/>
                <w:b/>
                <w:i w:val="0"/>
                <w:sz w:val="18"/>
              </w:rPr>
              <w:t>取值</w:t>
            </w:r>
          </w:p>
        </w:tc>
        <w:tc>
          <w:tcPr>
            <w:tcW w:type="dxa" w:w="4195"/>
            <w:shd w:val="clear" w:fill="EFEFEF"/>
          </w:tcPr>
          <w:p>
            <w:pPr>
              <w:keepNext/>
              <w:spacing w:line="240" w:lineRule="auto" w:after="40"/>
              <w:ind w:firstLine="0"/>
              <w:jc w:val="center"/>
            </w:pPr>
            <w:r/>
            <w:r>
              <w:rPr>
                <w:rFonts w:ascii="宋体" w:hAnsi="宋体" w:eastAsia="宋体" w:cs="宋体"/>
                <w:b/>
                <w:i w:val="0"/>
                <w:sz w:val="18"/>
              </w:rPr>
              <w:t>来源 / 依据</w:t>
            </w:r>
          </w:p>
        </w:tc>
      </w:tr>
      <w:tr>
        <w:trPr>
          <w:cantSplit/>
        </w:trPr>
        <w:tc>
          <w:tcPr>
            <w:tcW w:type="dxa" w:w="1814"/>
          </w:tcPr>
          <w:p>
            <w:pPr>
              <w:keepNext/>
              <w:spacing w:line="240" w:lineRule="auto" w:after="40"/>
              <w:ind w:firstLine="0"/>
            </w:pPr>
            <w:r/>
            <w:r>
              <w:rPr>
                <w:rFonts w:ascii="宋体" w:hAnsi="宋体" w:eastAsia="宋体" w:cs="宋体"/>
                <w:b w:val="0"/>
                <w:i w:val="0"/>
                <w:sz w:val="18"/>
              </w:rPr>
              <w:t>目标客户基数 A</w:t>
            </w:r>
          </w:p>
        </w:tc>
        <w:tc>
          <w:tcPr>
            <w:tcW w:type="dxa" w:w="2041"/>
          </w:tcPr>
          <w:p>
            <w:pPr>
              <w:keepNext/>
              <w:spacing w:line="240" w:lineRule="auto" w:after="40"/>
              <w:ind w:firstLine="0"/>
            </w:pPr>
            <w:r/>
            <w:r>
              <w:rPr>
                <w:rFonts w:ascii="宋体" w:hAnsi="宋体" w:eastAsia="宋体" w:cs="宋体"/>
                <w:b w:val="0"/>
                <w:i w:val="0"/>
                <w:sz w:val="18"/>
              </w:rPr>
              <w:t>【待填】家 / 县域</w:t>
            </w:r>
          </w:p>
        </w:tc>
        <w:tc>
          <w:tcPr>
            <w:tcW w:type="dxa" w:w="4195"/>
          </w:tcPr>
          <w:p>
            <w:pPr>
              <w:keepNext/>
              <w:spacing w:line="240" w:lineRule="auto" w:after="40"/>
              <w:ind w:firstLine="0"/>
            </w:pPr>
            <w:r/>
            <w:r>
              <w:rPr>
                <w:rFonts w:ascii="宋体" w:hAnsi="宋体" w:eastAsia="宋体" w:cs="宋体"/>
                <w:b w:val="0"/>
                <w:i w:val="0"/>
                <w:sz w:val="18"/>
              </w:rPr>
              <w:t>设施农业园区、规模果园、粮食主产县与林场的数量（统计年鉴、农业农村部门公开数据、行业协会数据交叉验证）</w:t>
            </w:r>
          </w:p>
        </w:tc>
      </w:tr>
      <w:tr>
        <w:trPr>
          <w:cantSplit/>
        </w:trPr>
        <w:tc>
          <w:tcPr>
            <w:tcW w:type="dxa" w:w="1814"/>
          </w:tcPr>
          <w:p>
            <w:pPr>
              <w:keepNext/>
              <w:spacing w:line="240" w:lineRule="auto" w:after="40"/>
              <w:ind w:firstLine="0"/>
            </w:pPr>
            <w:r/>
            <w:r>
              <w:rPr>
                <w:rFonts w:ascii="宋体" w:hAnsi="宋体" w:eastAsia="宋体" w:cs="宋体"/>
                <w:b w:val="0"/>
                <w:i w:val="0"/>
                <w:sz w:val="18"/>
              </w:rPr>
              <w:t>单客户节点需求 B</w:t>
            </w:r>
          </w:p>
        </w:tc>
        <w:tc>
          <w:tcPr>
            <w:tcW w:type="dxa" w:w="2041"/>
          </w:tcPr>
          <w:p>
            <w:pPr>
              <w:keepNext/>
              <w:spacing w:line="240" w:lineRule="auto" w:after="40"/>
              <w:ind w:firstLine="0"/>
            </w:pPr>
            <w:r/>
            <w:r>
              <w:rPr>
                <w:rFonts w:ascii="宋体" w:hAnsi="宋体" w:eastAsia="宋体" w:cs="宋体"/>
                <w:b w:val="0"/>
                <w:i w:val="0"/>
                <w:sz w:val="18"/>
              </w:rPr>
              <w:t>【待填】个</w:t>
            </w:r>
          </w:p>
        </w:tc>
        <w:tc>
          <w:tcPr>
            <w:tcW w:type="dxa" w:w="4195"/>
          </w:tcPr>
          <w:p>
            <w:pPr>
              <w:keepNext/>
              <w:spacing w:line="240" w:lineRule="auto" w:after="40"/>
              <w:ind w:firstLine="0"/>
            </w:pPr>
            <w:r/>
            <w:r>
              <w:rPr>
                <w:rFonts w:ascii="宋体" w:hAnsi="宋体" w:eastAsia="宋体" w:cs="宋体"/>
                <w:b w:val="0"/>
                <w:i w:val="0"/>
                <w:sz w:val="18"/>
              </w:rPr>
              <w:t>按经营面积与生境异质性估算，建议 3–10 个</w:t>
            </w:r>
          </w:p>
        </w:tc>
      </w:tr>
      <w:tr>
        <w:trPr>
          <w:cantSplit/>
        </w:trPr>
        <w:tc>
          <w:tcPr>
            <w:tcW w:type="dxa" w:w="1814"/>
          </w:tcPr>
          <w:p>
            <w:pPr>
              <w:keepNext/>
              <w:spacing w:line="240" w:lineRule="auto" w:after="40"/>
              <w:ind w:firstLine="0"/>
            </w:pPr>
            <w:r/>
            <w:r>
              <w:rPr>
                <w:rFonts w:ascii="宋体" w:hAnsi="宋体" w:eastAsia="宋体" w:cs="宋体"/>
                <w:b w:val="0"/>
                <w:i w:val="0"/>
                <w:sz w:val="18"/>
              </w:rPr>
              <w:t>可触达比例 C</w:t>
            </w:r>
          </w:p>
        </w:tc>
        <w:tc>
          <w:tcPr>
            <w:tcW w:type="dxa" w:w="2041"/>
          </w:tcPr>
          <w:p>
            <w:pPr>
              <w:keepNext/>
              <w:spacing w:line="240" w:lineRule="auto" w:after="40"/>
              <w:ind w:firstLine="0"/>
            </w:pPr>
            <w:r/>
            <w:r>
              <w:rPr>
                <w:rFonts w:ascii="宋体" w:hAnsi="宋体" w:eastAsia="宋体" w:cs="宋体"/>
                <w:b w:val="0"/>
                <w:i w:val="0"/>
                <w:sz w:val="18"/>
              </w:rPr>
              <w:t>【待填】%</w:t>
            </w:r>
          </w:p>
        </w:tc>
        <w:tc>
          <w:tcPr>
            <w:tcW w:type="dxa" w:w="4195"/>
          </w:tcPr>
          <w:p>
            <w:pPr>
              <w:keepNext/>
              <w:spacing w:line="240" w:lineRule="auto" w:after="40"/>
              <w:ind w:firstLine="0"/>
            </w:pPr>
            <w:r/>
            <w:r>
              <w:rPr>
                <w:rFonts w:ascii="宋体" w:hAnsi="宋体" w:eastAsia="宋体" w:cs="宋体"/>
                <w:b w:val="0"/>
                <w:i w:val="0"/>
                <w:sz w:val="18"/>
              </w:rPr>
              <w:t>通过示范项目与农技推广体系可触达的比例</w:t>
            </w:r>
          </w:p>
        </w:tc>
      </w:tr>
      <w:tr>
        <w:trPr>
          <w:cantSplit/>
        </w:trPr>
        <w:tc>
          <w:tcPr>
            <w:tcW w:type="dxa" w:w="1814"/>
          </w:tcPr>
          <w:p>
            <w:pPr>
              <w:keepNext/>
              <w:spacing w:line="240" w:lineRule="auto" w:after="40"/>
              <w:ind w:firstLine="0"/>
            </w:pPr>
            <w:r/>
            <w:r>
              <w:rPr>
                <w:rFonts w:ascii="宋体" w:hAnsi="宋体" w:eastAsia="宋体" w:cs="宋体"/>
                <w:b w:val="0"/>
                <w:i w:val="0"/>
                <w:sz w:val="18"/>
              </w:rPr>
              <w:t>付费转化率 D</w:t>
            </w:r>
          </w:p>
        </w:tc>
        <w:tc>
          <w:tcPr>
            <w:tcW w:type="dxa" w:w="2041"/>
          </w:tcPr>
          <w:p>
            <w:pPr>
              <w:keepNext/>
              <w:spacing w:line="240" w:lineRule="auto" w:after="40"/>
              <w:ind w:firstLine="0"/>
            </w:pPr>
            <w:r/>
            <w:r>
              <w:rPr>
                <w:rFonts w:ascii="宋体" w:hAnsi="宋体" w:eastAsia="宋体" w:cs="宋体"/>
                <w:b w:val="0"/>
                <w:i w:val="0"/>
                <w:sz w:val="18"/>
              </w:rPr>
              <w:t>【待填】%</w:t>
            </w:r>
          </w:p>
        </w:tc>
        <w:tc>
          <w:tcPr>
            <w:tcW w:type="dxa" w:w="4195"/>
          </w:tcPr>
          <w:p>
            <w:pPr>
              <w:keepNext/>
              <w:spacing w:line="240" w:lineRule="auto" w:after="40"/>
              <w:ind w:firstLine="0"/>
            </w:pPr>
            <w:r/>
            <w:r>
              <w:rPr>
                <w:rFonts w:ascii="宋体" w:hAnsi="宋体" w:eastAsia="宋体" w:cs="宋体"/>
                <w:b w:val="0"/>
                <w:i w:val="0"/>
                <w:sz w:val="18"/>
              </w:rPr>
              <w:t>建议保守取值 3%–8%，需说明依据</w:t>
            </w:r>
          </w:p>
        </w:tc>
      </w:tr>
      <w:tr>
        <w:trPr>
          <w:cantSplit/>
        </w:trPr>
        <w:tc>
          <w:tcPr>
            <w:tcW w:type="dxa" w:w="1814"/>
          </w:tcPr>
          <w:p>
            <w:pPr>
              <w:keepNext/>
              <w:spacing w:line="240" w:lineRule="auto" w:after="40"/>
              <w:ind w:firstLine="0"/>
            </w:pPr>
            <w:r/>
            <w:r>
              <w:rPr>
                <w:rFonts w:ascii="宋体" w:hAnsi="宋体" w:eastAsia="宋体" w:cs="宋体"/>
                <w:b w:val="0"/>
                <w:i w:val="0"/>
                <w:sz w:val="18"/>
              </w:rPr>
              <w:t>年度客单价 E</w:t>
            </w:r>
          </w:p>
        </w:tc>
        <w:tc>
          <w:tcPr>
            <w:tcW w:type="dxa" w:w="2041"/>
          </w:tcPr>
          <w:p>
            <w:pPr>
              <w:keepNext/>
              <w:spacing w:line="240" w:lineRule="auto" w:after="40"/>
              <w:ind w:firstLine="0"/>
            </w:pPr>
            <w:r/>
            <w:r>
              <w:rPr>
                <w:rFonts w:ascii="宋体" w:hAnsi="宋体" w:eastAsia="宋体" w:cs="宋体"/>
                <w:b w:val="0"/>
                <w:i w:val="0"/>
                <w:sz w:val="18"/>
              </w:rPr>
              <w:t>【待填】元 / 节点 · 年</w:t>
            </w:r>
          </w:p>
        </w:tc>
        <w:tc>
          <w:tcPr>
            <w:tcW w:type="dxa" w:w="4195"/>
          </w:tcPr>
          <w:p>
            <w:pPr>
              <w:keepNext/>
              <w:spacing w:line="240" w:lineRule="auto" w:after="40"/>
              <w:ind w:firstLine="0"/>
            </w:pPr>
            <w:r/>
            <w:r>
              <w:rPr>
                <w:rFonts w:ascii="宋体" w:hAnsi="宋体" w:eastAsia="宋体" w:cs="宋体"/>
                <w:b w:val="0"/>
                <w:i w:val="0"/>
                <w:sz w:val="18"/>
              </w:rPr>
              <w:t>节点硬件摊销 + 平台订阅 + 核算服务的合计口径</w:t>
            </w:r>
          </w:p>
        </w:tc>
      </w:tr>
      <w:tr>
        <w:trPr>
          <w:cantSplit/>
        </w:trPr>
        <w:tc>
          <w:tcPr>
            <w:tcW w:type="dxa" w:w="1814"/>
          </w:tcPr>
          <w:p>
            <w:pPr>
              <w:keepNext/>
              <w:spacing w:line="240" w:lineRule="auto" w:after="40"/>
              <w:ind w:firstLine="0"/>
            </w:pPr>
            <w:r/>
            <w:r>
              <w:rPr>
                <w:rFonts w:ascii="宋体" w:hAnsi="宋体" w:eastAsia="宋体" w:cs="宋体"/>
                <w:b w:val="0"/>
                <w:i w:val="0"/>
                <w:sz w:val="18"/>
              </w:rPr>
              <w:t>可服务市场规模</w:t>
            </w:r>
          </w:p>
        </w:tc>
        <w:tc>
          <w:tcPr>
            <w:tcW w:type="dxa" w:w="2041"/>
          </w:tcPr>
          <w:p>
            <w:pPr>
              <w:keepNext/>
              <w:spacing w:line="240" w:lineRule="auto" w:after="40"/>
              <w:ind w:firstLine="0"/>
            </w:pPr>
            <w:r/>
            <w:r>
              <w:rPr>
                <w:rFonts w:ascii="宋体" w:hAnsi="宋体" w:eastAsia="宋体" w:cs="宋体"/>
                <w:b w:val="0"/>
                <w:i w:val="0"/>
                <w:sz w:val="18"/>
              </w:rPr>
              <w:t>A × B × C × E</w:t>
            </w:r>
          </w:p>
        </w:tc>
        <w:tc>
          <w:tcPr>
            <w:tcW w:type="dxa" w:w="4195"/>
          </w:tcPr>
          <w:p>
            <w:pPr>
              <w:keepNext/>
              <w:spacing w:line="240" w:lineRule="auto" w:after="40"/>
              <w:ind w:firstLine="0"/>
            </w:pPr>
            <w:r/>
            <w:r>
              <w:rPr>
                <w:rFonts w:ascii="宋体" w:hAnsi="宋体" w:eastAsia="宋体" w:cs="宋体"/>
                <w:b w:val="0"/>
                <w:i w:val="0"/>
                <w:sz w:val="18"/>
              </w:rPr>
              <w:t>需写出完整计算过程</w:t>
            </w:r>
          </w:p>
        </w:tc>
      </w:tr>
      <w:tr>
        <w:trPr>
          <w:cantSplit/>
        </w:trPr>
        <w:tc>
          <w:tcPr>
            <w:tcW w:type="dxa" w:w="1814"/>
          </w:tcPr>
          <w:p>
            <w:pPr>
              <w:spacing w:line="240" w:lineRule="auto" w:after="40"/>
              <w:ind w:firstLine="0"/>
            </w:pPr>
            <w:r/>
            <w:r>
              <w:rPr>
                <w:rFonts w:ascii="宋体" w:hAnsi="宋体" w:eastAsia="宋体" w:cs="宋体"/>
                <w:b w:val="0"/>
                <w:i w:val="0"/>
                <w:sz w:val="18"/>
              </w:rPr>
              <w:t>三年目标份额</w:t>
            </w:r>
          </w:p>
        </w:tc>
        <w:tc>
          <w:tcPr>
            <w:tcW w:type="dxa" w:w="2041"/>
          </w:tcPr>
          <w:p>
            <w:pPr>
              <w:spacing w:line="240" w:lineRule="auto" w:after="40"/>
              <w:ind w:firstLine="0"/>
            </w:pPr>
            <w:r/>
            <w:r>
              <w:rPr>
                <w:rFonts w:ascii="宋体" w:hAnsi="宋体" w:eastAsia="宋体" w:cs="宋体"/>
                <w:b w:val="0"/>
                <w:i w:val="0"/>
                <w:sz w:val="18"/>
              </w:rPr>
              <w:t>【待填】%</w:t>
            </w:r>
          </w:p>
        </w:tc>
        <w:tc>
          <w:tcPr>
            <w:tcW w:type="dxa" w:w="4195"/>
          </w:tcPr>
          <w:p>
            <w:pPr>
              <w:spacing w:line="240" w:lineRule="auto" w:after="40"/>
              <w:ind w:firstLine="0"/>
            </w:pPr>
            <w:r/>
            <w:r>
              <w:rPr>
                <w:rFonts w:ascii="宋体" w:hAnsi="宋体" w:eastAsia="宋体" w:cs="宋体"/>
                <w:b w:val="0"/>
                <w:i w:val="0"/>
                <w:sz w:val="18"/>
              </w:rPr>
              <w:t>建议保守取值，避免被追问细节</w:t>
            </w:r>
          </w:p>
        </w:tc>
      </w:tr>
    </w:tbl>
    <w:p>
      <w:pPr>
        <w:keepNext w:val="0"/>
        <w:spacing w:line="312" w:lineRule="auto" w:before="120" w:after="80"/>
      </w:pPr>
      <w:r>
        <w:rPr>
          <w:rFonts w:ascii="宋体" w:hAnsi="宋体" w:eastAsia="宋体" w:cs="宋体"/>
          <w:b w:val="0"/>
          <w:i w:val="0"/>
          <w:sz w:val="24"/>
        </w:rPr>
        <w:t>说明：正式版本中应同时给出"自上而下"的行业规模作为背景，但决策依据必须用自下而上的测算，并明确标注哪些是假设、哪些是调研数据。</w:t>
      </w:r>
    </w:p>
    <w:p>
      <w:pPr>
        <w:pStyle w:val="Heading2"/>
        <w:keepNext/>
        <w:spacing w:line="312" w:lineRule="auto" w:before="200" w:after="120"/>
        <w:ind w:firstLine="0"/>
      </w:pPr>
      <w:r>
        <w:rPr>
          <w:rFonts w:ascii="宋体" w:hAnsi="宋体" w:eastAsia="宋体" w:cs="宋体"/>
          <w:b/>
          <w:i w:val="0"/>
          <w:color w:val="000000"/>
          <w:sz w:val="28"/>
        </w:rPr>
        <w:t>5.3 切入策略：先做滩头，不做平台</w:t>
      </w:r>
    </w:p>
    <w:tbl>
      <w:tblPr>
        <w:tblStyle w:val="TableGrid"/>
        <w:tblW w:type="auto" w:w="0"/>
        <w:jc w:val="center"/>
        <w:tblLook w:firstColumn="1" w:firstRow="1" w:lastColumn="0" w:lastRow="0" w:noHBand="0" w:noVBand="1" w:val="04A0"/>
      </w:tblPr>
      <w:tblGrid>
        <w:gridCol w:w="2211"/>
        <w:gridCol w:w="2211"/>
        <w:gridCol w:w="2211"/>
        <w:gridCol w:w="2211"/>
      </w:tblGrid>
      <w:tr>
        <w:trPr>
          <w:cantSplit/>
          <w:tblHeader/>
        </w:trPr>
        <w:tc>
          <w:tcPr>
            <w:tcW w:type="dxa" w:w="907"/>
            <w:shd w:val="clear" w:fill="EFEFEF"/>
          </w:tcPr>
          <w:p>
            <w:pPr>
              <w:keepNext/>
              <w:spacing w:line="240" w:lineRule="auto" w:after="40"/>
              <w:ind w:firstLine="0"/>
              <w:jc w:val="center"/>
            </w:pPr>
            <w:r/>
            <w:r>
              <w:rPr>
                <w:rFonts w:ascii="宋体" w:hAnsi="宋体" w:eastAsia="宋体" w:cs="宋体"/>
                <w:b/>
                <w:i w:val="0"/>
                <w:sz w:val="18"/>
              </w:rPr>
              <w:t>阶段</w:t>
            </w:r>
          </w:p>
        </w:tc>
        <w:tc>
          <w:tcPr>
            <w:tcW w:type="dxa" w:w="2268"/>
            <w:shd w:val="clear" w:fill="EFEFEF"/>
          </w:tcPr>
          <w:p>
            <w:pPr>
              <w:keepNext/>
              <w:spacing w:line="240" w:lineRule="auto" w:after="40"/>
              <w:ind w:firstLine="0"/>
              <w:jc w:val="center"/>
            </w:pPr>
            <w:r/>
            <w:r>
              <w:rPr>
                <w:rFonts w:ascii="宋体" w:hAnsi="宋体" w:eastAsia="宋体" w:cs="宋体"/>
                <w:b/>
                <w:i w:val="0"/>
                <w:sz w:val="18"/>
              </w:rPr>
              <w:t>滩头目标</w:t>
            </w:r>
          </w:p>
        </w:tc>
        <w:tc>
          <w:tcPr>
            <w:tcW w:type="dxa" w:w="3515"/>
            <w:shd w:val="clear" w:fill="EFEFEF"/>
          </w:tcPr>
          <w:p>
            <w:pPr>
              <w:keepNext/>
              <w:spacing w:line="240" w:lineRule="auto" w:after="40"/>
              <w:ind w:firstLine="0"/>
              <w:jc w:val="center"/>
            </w:pPr>
            <w:r/>
            <w:r>
              <w:rPr>
                <w:rFonts w:ascii="宋体" w:hAnsi="宋体" w:eastAsia="宋体" w:cs="宋体"/>
                <w:b/>
                <w:i w:val="0"/>
                <w:sz w:val="18"/>
              </w:rPr>
              <w:t>选择理由</w:t>
            </w:r>
          </w:p>
        </w:tc>
        <w:tc>
          <w:tcPr>
            <w:tcW w:type="dxa" w:w="1928"/>
            <w:shd w:val="clear" w:fill="EFEFEF"/>
          </w:tcPr>
          <w:p>
            <w:pPr>
              <w:keepNext/>
              <w:spacing w:line="240" w:lineRule="auto" w:after="40"/>
              <w:ind w:firstLine="0"/>
              <w:jc w:val="center"/>
            </w:pPr>
            <w:r/>
            <w:r>
              <w:rPr>
                <w:rFonts w:ascii="宋体" w:hAnsi="宋体" w:eastAsia="宋体" w:cs="宋体"/>
                <w:b/>
                <w:i w:val="0"/>
                <w:sz w:val="18"/>
              </w:rPr>
              <w:t>成功标志</w:t>
            </w:r>
          </w:p>
        </w:tc>
      </w:tr>
      <w:tr>
        <w:trPr>
          <w:cantSplit/>
        </w:trPr>
        <w:tc>
          <w:tcPr>
            <w:tcW w:type="dxa" w:w="907"/>
          </w:tcPr>
          <w:p>
            <w:pPr>
              <w:keepNext/>
              <w:spacing w:line="240" w:lineRule="auto" w:after="40"/>
              <w:ind w:firstLine="0"/>
            </w:pPr>
            <w:r/>
            <w:r>
              <w:rPr>
                <w:rFonts w:ascii="宋体" w:hAnsi="宋体" w:eastAsia="宋体" w:cs="宋体"/>
                <w:b w:val="0"/>
                <w:i w:val="0"/>
                <w:sz w:val="18"/>
              </w:rPr>
              <w:t>第一阶段</w:t>
            </w:r>
          </w:p>
        </w:tc>
        <w:tc>
          <w:tcPr>
            <w:tcW w:type="dxa" w:w="2268"/>
          </w:tcPr>
          <w:p>
            <w:pPr>
              <w:keepNext/>
              <w:spacing w:line="240" w:lineRule="auto" w:after="40"/>
              <w:ind w:firstLine="0"/>
            </w:pPr>
            <w:r/>
            <w:r>
              <w:rPr>
                <w:rFonts w:ascii="宋体" w:hAnsi="宋体" w:eastAsia="宋体" w:cs="宋体"/>
                <w:b w:val="0"/>
                <w:i w:val="0"/>
                <w:sz w:val="18"/>
              </w:rPr>
              <w:t>设施农业与果园的授粉服务监测</w:t>
            </w:r>
          </w:p>
        </w:tc>
        <w:tc>
          <w:tcPr>
            <w:tcW w:type="dxa" w:w="3515"/>
          </w:tcPr>
          <w:p>
            <w:pPr>
              <w:keepNext/>
              <w:spacing w:line="240" w:lineRule="auto" w:after="40"/>
              <w:ind w:firstLine="0"/>
            </w:pPr>
            <w:r/>
            <w:r>
              <w:rPr>
                <w:rFonts w:ascii="宋体" w:hAnsi="宋体" w:eastAsia="宋体" w:cs="宋体"/>
                <w:b w:val="0"/>
                <w:i w:val="0"/>
                <w:sz w:val="18"/>
              </w:rPr>
              <w:t>授粉不足与授粉效果争议最容易被理解，增产效果可用坐果率直接量化；决策链短（园区负责人或蜂农服务商一人拍板）；单点价值高、示范效应强</w:t>
            </w:r>
          </w:p>
        </w:tc>
        <w:tc>
          <w:tcPr>
            <w:tcW w:type="dxa" w:w="1928"/>
          </w:tcPr>
          <w:p>
            <w:pPr>
              <w:keepNext/>
              <w:spacing w:line="240" w:lineRule="auto" w:after="40"/>
              <w:ind w:firstLine="0"/>
            </w:pPr>
            <w:r/>
            <w:r>
              <w:rPr>
                <w:rFonts w:ascii="宋体" w:hAnsi="宋体" w:eastAsia="宋体" w:cs="宋体"/>
                <w:b w:val="0"/>
                <w:i w:val="0"/>
                <w:sz w:val="18"/>
              </w:rPr>
              <w:t>付费客户数与示范园区的增产对比数据</w:t>
            </w:r>
          </w:p>
        </w:tc>
      </w:tr>
      <w:tr>
        <w:trPr>
          <w:cantSplit/>
        </w:trPr>
        <w:tc>
          <w:tcPr>
            <w:tcW w:type="dxa" w:w="907"/>
          </w:tcPr>
          <w:p>
            <w:pPr>
              <w:keepNext/>
              <w:spacing w:line="240" w:lineRule="auto" w:after="40"/>
              <w:ind w:firstLine="0"/>
            </w:pPr>
            <w:r/>
            <w:r>
              <w:rPr>
                <w:rFonts w:ascii="宋体" w:hAnsi="宋体" w:eastAsia="宋体" w:cs="宋体"/>
                <w:b w:val="0"/>
                <w:i w:val="0"/>
                <w:sz w:val="18"/>
              </w:rPr>
              <w:t>第二阶段</w:t>
            </w:r>
          </w:p>
        </w:tc>
        <w:tc>
          <w:tcPr>
            <w:tcW w:type="dxa" w:w="2268"/>
          </w:tcPr>
          <w:p>
            <w:pPr>
              <w:keepNext/>
              <w:spacing w:line="240" w:lineRule="auto" w:after="40"/>
              <w:ind w:firstLine="0"/>
            </w:pPr>
            <w:r/>
            <w:r>
              <w:rPr>
                <w:rFonts w:ascii="宋体" w:hAnsi="宋体" w:eastAsia="宋体" w:cs="宋体"/>
                <w:b w:val="0"/>
                <w:i w:val="0"/>
                <w:sz w:val="18"/>
              </w:rPr>
              <w:t>粮食主产区的害虫—天敌协同监测与减药决策</w:t>
            </w:r>
          </w:p>
        </w:tc>
        <w:tc>
          <w:tcPr>
            <w:tcW w:type="dxa" w:w="3515"/>
          </w:tcPr>
          <w:p>
            <w:pPr>
              <w:keepNext/>
              <w:spacing w:line="240" w:lineRule="auto" w:after="40"/>
              <w:ind w:firstLine="0"/>
            </w:pPr>
            <w:r/>
            <w:r>
              <w:rPr>
                <w:rFonts w:ascii="宋体" w:hAnsi="宋体" w:eastAsia="宋体" w:cs="宋体"/>
                <w:b w:val="0"/>
                <w:i w:val="0"/>
                <w:sz w:val="18"/>
              </w:rPr>
              <w:t>面积大、频次高，减药增效是政策硬指标，可对接农技推广体系规模化复制</w:t>
            </w:r>
          </w:p>
        </w:tc>
        <w:tc>
          <w:tcPr>
            <w:tcW w:type="dxa" w:w="1928"/>
          </w:tcPr>
          <w:p>
            <w:pPr>
              <w:keepNext/>
              <w:spacing w:line="240" w:lineRule="auto" w:after="40"/>
              <w:ind w:firstLine="0"/>
            </w:pPr>
            <w:r/>
            <w:r>
              <w:rPr>
                <w:rFonts w:ascii="宋体" w:hAnsi="宋体" w:eastAsia="宋体" w:cs="宋体"/>
                <w:b w:val="0"/>
                <w:i w:val="0"/>
                <w:sz w:val="18"/>
              </w:rPr>
              <w:t>节点铺设数量与减药幅度实测数据</w:t>
            </w:r>
          </w:p>
        </w:tc>
      </w:tr>
      <w:tr>
        <w:trPr>
          <w:cantSplit/>
        </w:trPr>
        <w:tc>
          <w:tcPr>
            <w:tcW w:type="dxa" w:w="907"/>
          </w:tcPr>
          <w:p>
            <w:pPr>
              <w:spacing w:line="240" w:lineRule="auto" w:after="40"/>
              <w:ind w:firstLine="0"/>
            </w:pPr>
            <w:r/>
            <w:r>
              <w:rPr>
                <w:rFonts w:ascii="宋体" w:hAnsi="宋体" w:eastAsia="宋体" w:cs="宋体"/>
                <w:b w:val="0"/>
                <w:i w:val="0"/>
                <w:sz w:val="18"/>
              </w:rPr>
              <w:t>第三阶段</w:t>
            </w:r>
          </w:p>
        </w:tc>
        <w:tc>
          <w:tcPr>
            <w:tcW w:type="dxa" w:w="2268"/>
          </w:tcPr>
          <w:p>
            <w:pPr>
              <w:spacing w:line="240" w:lineRule="auto" w:after="40"/>
              <w:ind w:firstLine="0"/>
            </w:pPr>
            <w:r/>
            <w:r>
              <w:rPr>
                <w:rFonts w:ascii="宋体" w:hAnsi="宋体" w:eastAsia="宋体" w:cs="宋体"/>
                <w:b w:val="0"/>
                <w:i w:val="0"/>
                <w:sz w:val="18"/>
              </w:rPr>
              <w:t>林业与政府监测网络、生态服务核算与补偿</w:t>
            </w:r>
          </w:p>
        </w:tc>
        <w:tc>
          <w:tcPr>
            <w:tcW w:type="dxa" w:w="3515"/>
          </w:tcPr>
          <w:p>
            <w:pPr>
              <w:spacing w:line="240" w:lineRule="auto" w:after="40"/>
              <w:ind w:firstLine="0"/>
            </w:pPr>
            <w:r/>
            <w:r>
              <w:rPr>
                <w:rFonts w:ascii="宋体" w:hAnsi="宋体" w:eastAsia="宋体" w:cs="宋体"/>
                <w:b w:val="0"/>
                <w:i w:val="0"/>
                <w:sz w:val="18"/>
              </w:rPr>
              <w:t>单项目金额高、竞争少，一旦成为核算口径就形成标准壁垒</w:t>
            </w:r>
          </w:p>
        </w:tc>
        <w:tc>
          <w:tcPr>
            <w:tcW w:type="dxa" w:w="1928"/>
          </w:tcPr>
          <w:p>
            <w:pPr>
              <w:spacing w:line="240" w:lineRule="auto" w:after="40"/>
              <w:ind w:firstLine="0"/>
            </w:pPr>
            <w:r/>
            <w:r>
              <w:rPr>
                <w:rFonts w:ascii="宋体" w:hAnsi="宋体" w:eastAsia="宋体" w:cs="宋体"/>
                <w:b w:val="0"/>
                <w:i w:val="0"/>
                <w:sz w:val="18"/>
              </w:rPr>
              <w:t>政府采购合同、参与地方标准制定</w:t>
            </w:r>
          </w:p>
        </w:tc>
      </w:tr>
    </w:tbl>
    <w:p>
      <w:pPr>
        <w:pStyle w:val="Heading1"/>
        <w:keepNext/>
        <w:pageBreakBefore/>
        <w:spacing w:line="312" w:lineRule="auto" w:before="280" w:after="120"/>
        <w:ind w:firstLine="0"/>
      </w:pPr>
      <w:r>
        <w:rPr>
          <w:rFonts w:ascii="宋体" w:hAnsi="宋体" w:eastAsia="宋体" w:cs="宋体"/>
          <w:b/>
          <w:i w:val="0"/>
          <w:color w:val="000000"/>
          <w:sz w:val="32"/>
        </w:rPr>
        <w:t>第六章  竞争分析</w:t>
      </w:r>
    </w:p>
    <w:p>
      <w:pPr>
        <w:pStyle w:val="Heading2"/>
        <w:keepNext/>
        <w:spacing w:line="312" w:lineRule="auto" w:before="200" w:after="120"/>
        <w:ind w:firstLine="0"/>
      </w:pPr>
      <w:r>
        <w:rPr>
          <w:rFonts w:ascii="宋体" w:hAnsi="宋体" w:eastAsia="宋体" w:cs="宋体"/>
          <w:b/>
          <w:i w:val="0"/>
          <w:color w:val="000000"/>
          <w:sz w:val="28"/>
        </w:rPr>
        <w:t>6.1 竞争格局：三个方案，三种主体</w:t>
      </w:r>
    </w:p>
    <w:tbl>
      <w:tblPr>
        <w:tblStyle w:val="TableGrid"/>
        <w:tblW w:type="auto" w:w="0"/>
        <w:jc w:val="center"/>
        <w:tblLook w:firstColumn="1" w:firstRow="1" w:lastColumn="0" w:lastRow="0" w:noHBand="0" w:noVBand="1" w:val="04A0"/>
      </w:tblPr>
      <w:tblGrid>
        <w:gridCol w:w="2211"/>
        <w:gridCol w:w="2211"/>
        <w:gridCol w:w="2211"/>
        <w:gridCol w:w="2211"/>
      </w:tblGrid>
      <w:tr>
        <w:trPr>
          <w:cantSplit/>
          <w:tblHeader/>
        </w:trPr>
        <w:tc>
          <w:tcPr>
            <w:tcW w:type="dxa" w:w="1361"/>
            <w:shd w:val="clear" w:fill="EFEFEF"/>
          </w:tcPr>
          <w:p>
            <w:pPr>
              <w:keepNext/>
              <w:spacing w:line="240" w:lineRule="auto" w:after="40"/>
              <w:ind w:firstLine="0"/>
              <w:jc w:val="center"/>
            </w:pPr>
            <w:r/>
            <w:r>
              <w:rPr>
                <w:rFonts w:ascii="宋体" w:hAnsi="宋体" w:eastAsia="宋体" w:cs="宋体"/>
                <w:b/>
                <w:i w:val="0"/>
                <w:sz w:val="19"/>
              </w:rPr>
              <w:t>维度</w:t>
            </w:r>
          </w:p>
        </w:tc>
        <w:tc>
          <w:tcPr>
            <w:tcW w:type="dxa" w:w="2041"/>
            <w:shd w:val="clear" w:fill="EFEFEF"/>
          </w:tcPr>
          <w:p>
            <w:pPr>
              <w:keepNext/>
              <w:spacing w:line="240" w:lineRule="auto" w:after="40"/>
              <w:ind w:firstLine="0"/>
              <w:jc w:val="center"/>
            </w:pPr>
            <w:r/>
            <w:r>
              <w:rPr>
                <w:rFonts w:ascii="宋体" w:hAnsi="宋体" w:eastAsia="宋体" w:cs="宋体"/>
                <w:b/>
                <w:i w:val="0"/>
                <w:sz w:val="19"/>
              </w:rPr>
              <w:t>人工调查（现状）</w:t>
            </w:r>
          </w:p>
        </w:tc>
        <w:tc>
          <w:tcPr>
            <w:tcW w:type="dxa" w:w="1928"/>
            <w:shd w:val="clear" w:fill="EFEFEF"/>
          </w:tcPr>
          <w:p>
            <w:pPr>
              <w:keepNext/>
              <w:spacing w:line="240" w:lineRule="auto" w:after="40"/>
              <w:ind w:firstLine="0"/>
              <w:jc w:val="center"/>
            </w:pPr>
            <w:r/>
            <w:r>
              <w:rPr>
                <w:rFonts w:ascii="宋体" w:hAnsi="宋体" w:eastAsia="宋体" w:cs="宋体"/>
                <w:b/>
                <w:i w:val="0"/>
                <w:sz w:val="19"/>
              </w:rPr>
              <w:t>现有监测设备</w:t>
            </w:r>
          </w:p>
        </w:tc>
        <w:tc>
          <w:tcPr>
            <w:tcW w:type="dxa" w:w="3288"/>
            <w:shd w:val="clear" w:fill="EFEFEF"/>
          </w:tcPr>
          <w:p>
            <w:pPr>
              <w:keepNext/>
              <w:spacing w:line="240" w:lineRule="auto" w:after="40"/>
              <w:ind w:firstLine="0"/>
              <w:jc w:val="center"/>
            </w:pPr>
            <w:r/>
            <w:r>
              <w:rPr>
                <w:rFonts w:ascii="宋体" w:hAnsi="宋体" w:eastAsia="宋体" w:cs="宋体"/>
                <w:b/>
                <w:i w:val="0"/>
                <w:sz w:val="19"/>
              </w:rPr>
              <w:t>益望</w:t>
            </w:r>
          </w:p>
        </w:tc>
      </w:tr>
      <w:tr>
        <w:trPr>
          <w:cantSplit/>
        </w:trPr>
        <w:tc>
          <w:tcPr>
            <w:tcW w:type="dxa" w:w="1361"/>
          </w:tcPr>
          <w:p>
            <w:pPr>
              <w:keepNext/>
              <w:spacing w:line="240" w:lineRule="auto" w:after="40"/>
              <w:ind w:firstLine="0"/>
            </w:pPr>
            <w:r/>
            <w:r>
              <w:rPr>
                <w:rFonts w:ascii="宋体" w:hAnsi="宋体" w:eastAsia="宋体" w:cs="宋体"/>
                <w:b w:val="0"/>
                <w:i w:val="0"/>
                <w:sz w:val="19"/>
              </w:rPr>
              <w:t>监测主体</w:t>
            </w:r>
          </w:p>
        </w:tc>
        <w:tc>
          <w:tcPr>
            <w:tcW w:type="dxa" w:w="2041"/>
          </w:tcPr>
          <w:p>
            <w:pPr>
              <w:keepNext/>
              <w:spacing w:line="240" w:lineRule="auto" w:after="40"/>
              <w:ind w:firstLine="0"/>
            </w:pPr>
            <w:r/>
            <w:r>
              <w:rPr>
                <w:rFonts w:ascii="宋体" w:hAnsi="宋体" w:eastAsia="宋体" w:cs="宋体"/>
                <w:b w:val="0"/>
                <w:i w:val="0"/>
                <w:sz w:val="19"/>
              </w:rPr>
              <w:t>有益生物，但靠人工</w:t>
            </w:r>
          </w:p>
        </w:tc>
        <w:tc>
          <w:tcPr>
            <w:tcW w:type="dxa" w:w="1928"/>
          </w:tcPr>
          <w:p>
            <w:pPr>
              <w:keepNext/>
              <w:spacing w:line="240" w:lineRule="auto" w:after="40"/>
              <w:ind w:firstLine="0"/>
            </w:pPr>
            <w:r/>
            <w:r>
              <w:rPr>
                <w:rFonts w:ascii="宋体" w:hAnsi="宋体" w:eastAsia="宋体" w:cs="宋体"/>
                <w:b w:val="0"/>
                <w:i w:val="0"/>
                <w:sz w:val="19"/>
              </w:rPr>
              <w:t>有害生物</w:t>
            </w:r>
          </w:p>
        </w:tc>
        <w:tc>
          <w:tcPr>
            <w:tcW w:type="dxa" w:w="3288"/>
          </w:tcPr>
          <w:p>
            <w:pPr>
              <w:keepNext/>
              <w:spacing w:line="240" w:lineRule="auto" w:after="40"/>
              <w:ind w:firstLine="0"/>
            </w:pPr>
            <w:r/>
            <w:r>
              <w:rPr>
                <w:rFonts w:ascii="宋体" w:hAnsi="宋体" w:eastAsia="宋体" w:cs="宋体"/>
                <w:b w:val="0"/>
                <w:i w:val="0"/>
                <w:sz w:val="19"/>
              </w:rPr>
              <w:t>有益生物</w:t>
            </w:r>
          </w:p>
        </w:tc>
      </w:tr>
      <w:tr>
        <w:trPr>
          <w:cantSplit/>
        </w:trPr>
        <w:tc>
          <w:tcPr>
            <w:tcW w:type="dxa" w:w="1361"/>
          </w:tcPr>
          <w:p>
            <w:pPr>
              <w:keepNext/>
              <w:spacing w:line="240" w:lineRule="auto" w:after="40"/>
              <w:ind w:firstLine="0"/>
            </w:pPr>
            <w:r/>
            <w:r>
              <w:rPr>
                <w:rFonts w:ascii="宋体" w:hAnsi="宋体" w:eastAsia="宋体" w:cs="宋体"/>
                <w:b w:val="0"/>
                <w:i w:val="0"/>
                <w:sz w:val="19"/>
              </w:rPr>
              <w:t>自动化程度</w:t>
            </w:r>
          </w:p>
        </w:tc>
        <w:tc>
          <w:tcPr>
            <w:tcW w:type="dxa" w:w="2041"/>
          </w:tcPr>
          <w:p>
            <w:pPr>
              <w:keepNext/>
              <w:spacing w:line="240" w:lineRule="auto" w:after="40"/>
              <w:ind w:firstLine="0"/>
            </w:pPr>
            <w:r/>
            <w:r>
              <w:rPr>
                <w:rFonts w:ascii="宋体" w:hAnsi="宋体" w:eastAsia="宋体" w:cs="宋体"/>
                <w:b w:val="0"/>
                <w:i w:val="0"/>
                <w:sz w:val="19"/>
              </w:rPr>
              <w:t>✗ 年调查几次</w:t>
            </w:r>
          </w:p>
        </w:tc>
        <w:tc>
          <w:tcPr>
            <w:tcW w:type="dxa" w:w="1928"/>
          </w:tcPr>
          <w:p>
            <w:pPr>
              <w:keepNext/>
              <w:spacing w:line="240" w:lineRule="auto" w:after="40"/>
              <w:ind w:firstLine="0"/>
            </w:pPr>
            <w:r/>
            <w:r>
              <w:rPr>
                <w:rFonts w:ascii="宋体" w:hAnsi="宋体" w:eastAsia="宋体" w:cs="宋体"/>
                <w:b w:val="0"/>
                <w:i w:val="0"/>
                <w:sz w:val="19"/>
              </w:rPr>
              <w:t>✓ 单模态</w:t>
            </w:r>
          </w:p>
        </w:tc>
        <w:tc>
          <w:tcPr>
            <w:tcW w:type="dxa" w:w="3288"/>
          </w:tcPr>
          <w:p>
            <w:pPr>
              <w:keepNext/>
              <w:spacing w:line="240" w:lineRule="auto" w:after="40"/>
              <w:ind w:firstLine="0"/>
            </w:pPr>
            <w:r/>
            <w:r>
              <w:rPr>
                <w:rFonts w:ascii="宋体" w:hAnsi="宋体" w:eastAsia="宋体" w:cs="宋体"/>
                <w:b w:val="0"/>
                <w:i w:val="0"/>
                <w:sz w:val="19"/>
              </w:rPr>
              <w:t>✓ 多模态互证</w:t>
            </w:r>
          </w:p>
        </w:tc>
      </w:tr>
      <w:tr>
        <w:trPr>
          <w:cantSplit/>
        </w:trPr>
        <w:tc>
          <w:tcPr>
            <w:tcW w:type="dxa" w:w="1361"/>
          </w:tcPr>
          <w:p>
            <w:pPr>
              <w:keepNext/>
              <w:spacing w:line="240" w:lineRule="auto" w:after="40"/>
              <w:ind w:firstLine="0"/>
            </w:pPr>
            <w:r/>
            <w:r>
              <w:rPr>
                <w:rFonts w:ascii="宋体" w:hAnsi="宋体" w:eastAsia="宋体" w:cs="宋体"/>
                <w:b w:val="0"/>
                <w:i w:val="0"/>
                <w:sz w:val="19"/>
              </w:rPr>
              <w:t>输出不确定度</w:t>
            </w:r>
          </w:p>
        </w:tc>
        <w:tc>
          <w:tcPr>
            <w:tcW w:type="dxa" w:w="2041"/>
          </w:tcPr>
          <w:p>
            <w:pPr>
              <w:keepNext/>
              <w:spacing w:line="240" w:lineRule="auto" w:after="40"/>
              <w:ind w:firstLine="0"/>
            </w:pPr>
            <w:r/>
            <w:r>
              <w:rPr>
                <w:rFonts w:ascii="宋体" w:hAnsi="宋体" w:eastAsia="宋体" w:cs="宋体"/>
                <w:b w:val="0"/>
                <w:i w:val="0"/>
                <w:sz w:val="19"/>
              </w:rPr>
              <w:t>✗</w:t>
            </w:r>
          </w:p>
        </w:tc>
        <w:tc>
          <w:tcPr>
            <w:tcW w:type="dxa" w:w="1928"/>
          </w:tcPr>
          <w:p>
            <w:pPr>
              <w:keepNext/>
              <w:spacing w:line="240" w:lineRule="auto" w:after="40"/>
              <w:ind w:firstLine="0"/>
            </w:pPr>
            <w:r/>
            <w:r>
              <w:rPr>
                <w:rFonts w:ascii="宋体" w:hAnsi="宋体" w:eastAsia="宋体" w:cs="宋体"/>
                <w:b w:val="0"/>
                <w:i w:val="0"/>
                <w:sz w:val="19"/>
              </w:rPr>
              <w:t>✗</w:t>
            </w:r>
          </w:p>
        </w:tc>
        <w:tc>
          <w:tcPr>
            <w:tcW w:type="dxa" w:w="3288"/>
          </w:tcPr>
          <w:p>
            <w:pPr>
              <w:keepNext/>
              <w:spacing w:line="240" w:lineRule="auto" w:after="40"/>
              <w:ind w:firstLine="0"/>
            </w:pPr>
            <w:r/>
            <w:r>
              <w:rPr>
                <w:rFonts w:ascii="宋体" w:hAnsi="宋体" w:eastAsia="宋体" w:cs="宋体"/>
                <w:b w:val="0"/>
                <w:i w:val="0"/>
                <w:sz w:val="19"/>
              </w:rPr>
              <w:t>✓</w:t>
            </w:r>
          </w:p>
        </w:tc>
      </w:tr>
      <w:tr>
        <w:trPr>
          <w:cantSplit/>
        </w:trPr>
        <w:tc>
          <w:tcPr>
            <w:tcW w:type="dxa" w:w="1361"/>
          </w:tcPr>
          <w:p>
            <w:pPr>
              <w:keepNext/>
              <w:spacing w:line="240" w:lineRule="auto" w:after="40"/>
              <w:ind w:firstLine="0"/>
            </w:pPr>
            <w:r/>
            <w:r>
              <w:rPr>
                <w:rFonts w:ascii="宋体" w:hAnsi="宋体" w:eastAsia="宋体" w:cs="宋体"/>
                <w:b w:val="0"/>
                <w:i w:val="0"/>
                <w:sz w:val="19"/>
              </w:rPr>
              <w:t>群落结构指标</w:t>
            </w:r>
          </w:p>
        </w:tc>
        <w:tc>
          <w:tcPr>
            <w:tcW w:type="dxa" w:w="2041"/>
          </w:tcPr>
          <w:p>
            <w:pPr>
              <w:keepNext/>
              <w:spacing w:line="240" w:lineRule="auto" w:after="40"/>
              <w:ind w:firstLine="0"/>
            </w:pPr>
            <w:r/>
            <w:r>
              <w:rPr>
                <w:rFonts w:ascii="宋体" w:hAnsi="宋体" w:eastAsia="宋体" w:cs="宋体"/>
                <w:b w:val="0"/>
                <w:i w:val="0"/>
                <w:sz w:val="19"/>
              </w:rPr>
              <w:t>有限且不可比</w:t>
            </w:r>
          </w:p>
        </w:tc>
        <w:tc>
          <w:tcPr>
            <w:tcW w:type="dxa" w:w="1928"/>
          </w:tcPr>
          <w:p>
            <w:pPr>
              <w:keepNext/>
              <w:spacing w:line="240" w:lineRule="auto" w:after="40"/>
              <w:ind w:firstLine="0"/>
            </w:pPr>
            <w:r/>
            <w:r>
              <w:rPr>
                <w:rFonts w:ascii="宋体" w:hAnsi="宋体" w:eastAsia="宋体" w:cs="宋体"/>
                <w:b w:val="0"/>
                <w:i w:val="0"/>
                <w:sz w:val="19"/>
              </w:rPr>
              <w:t>✗</w:t>
            </w:r>
          </w:p>
        </w:tc>
        <w:tc>
          <w:tcPr>
            <w:tcW w:type="dxa" w:w="3288"/>
          </w:tcPr>
          <w:p>
            <w:pPr>
              <w:keepNext/>
              <w:spacing w:line="240" w:lineRule="auto" w:after="40"/>
              <w:ind w:firstLine="0"/>
            </w:pPr>
            <w:r/>
            <w:r>
              <w:rPr>
                <w:rFonts w:ascii="宋体" w:hAnsi="宋体" w:eastAsia="宋体" w:cs="宋体"/>
                <w:b w:val="0"/>
                <w:i w:val="0"/>
                <w:sz w:val="19"/>
              </w:rPr>
              <w:t>✓</w:t>
            </w:r>
          </w:p>
        </w:tc>
      </w:tr>
      <w:tr>
        <w:trPr>
          <w:cantSplit/>
        </w:trPr>
        <w:tc>
          <w:tcPr>
            <w:tcW w:type="dxa" w:w="1361"/>
          </w:tcPr>
          <w:p>
            <w:pPr>
              <w:keepNext/>
              <w:spacing w:line="240" w:lineRule="auto" w:after="40"/>
              <w:ind w:firstLine="0"/>
            </w:pPr>
            <w:r/>
            <w:r>
              <w:rPr>
                <w:rFonts w:ascii="宋体" w:hAnsi="宋体" w:eastAsia="宋体" w:cs="宋体"/>
                <w:b w:val="0"/>
                <w:i w:val="0"/>
                <w:sz w:val="19"/>
              </w:rPr>
              <w:t>生态服务核算</w:t>
            </w:r>
          </w:p>
        </w:tc>
        <w:tc>
          <w:tcPr>
            <w:tcW w:type="dxa" w:w="2041"/>
          </w:tcPr>
          <w:p>
            <w:pPr>
              <w:keepNext/>
              <w:spacing w:line="240" w:lineRule="auto" w:after="40"/>
              <w:ind w:firstLine="0"/>
            </w:pPr>
            <w:r/>
            <w:r>
              <w:rPr>
                <w:rFonts w:ascii="宋体" w:hAnsi="宋体" w:eastAsia="宋体" w:cs="宋体"/>
                <w:b w:val="0"/>
                <w:i w:val="0"/>
                <w:sz w:val="19"/>
              </w:rPr>
              <w:t>✗</w:t>
            </w:r>
          </w:p>
        </w:tc>
        <w:tc>
          <w:tcPr>
            <w:tcW w:type="dxa" w:w="1928"/>
          </w:tcPr>
          <w:p>
            <w:pPr>
              <w:keepNext/>
              <w:spacing w:line="240" w:lineRule="auto" w:after="40"/>
              <w:ind w:firstLine="0"/>
            </w:pPr>
            <w:r/>
            <w:r>
              <w:rPr>
                <w:rFonts w:ascii="宋体" w:hAnsi="宋体" w:eastAsia="宋体" w:cs="宋体"/>
                <w:b w:val="0"/>
                <w:i w:val="0"/>
                <w:sz w:val="19"/>
              </w:rPr>
              <w:t>✗</w:t>
            </w:r>
          </w:p>
        </w:tc>
        <w:tc>
          <w:tcPr>
            <w:tcW w:type="dxa" w:w="3288"/>
          </w:tcPr>
          <w:p>
            <w:pPr>
              <w:keepNext/>
              <w:spacing w:line="240" w:lineRule="auto" w:after="40"/>
              <w:ind w:firstLine="0"/>
            </w:pPr>
            <w:r/>
            <w:r>
              <w:rPr>
                <w:rFonts w:ascii="宋体" w:hAnsi="宋体" w:eastAsia="宋体" w:cs="宋体"/>
                <w:b w:val="0"/>
                <w:i w:val="0"/>
                <w:sz w:val="19"/>
              </w:rPr>
              <w:t>✓ 可标定、可审计</w:t>
            </w:r>
          </w:p>
        </w:tc>
      </w:tr>
      <w:tr>
        <w:trPr>
          <w:cantSplit/>
        </w:trPr>
        <w:tc>
          <w:tcPr>
            <w:tcW w:type="dxa" w:w="1361"/>
          </w:tcPr>
          <w:p>
            <w:pPr>
              <w:keepNext/>
              <w:spacing w:line="240" w:lineRule="auto" w:after="40"/>
              <w:ind w:firstLine="0"/>
            </w:pPr>
            <w:r/>
            <w:r>
              <w:rPr>
                <w:rFonts w:ascii="宋体" w:hAnsi="宋体" w:eastAsia="宋体" w:cs="宋体"/>
                <w:b w:val="0"/>
                <w:i w:val="0"/>
                <w:sz w:val="19"/>
              </w:rPr>
              <w:t>调控决策建议</w:t>
            </w:r>
          </w:p>
        </w:tc>
        <w:tc>
          <w:tcPr>
            <w:tcW w:type="dxa" w:w="2041"/>
          </w:tcPr>
          <w:p>
            <w:pPr>
              <w:keepNext/>
              <w:spacing w:line="240" w:lineRule="auto" w:after="40"/>
              <w:ind w:firstLine="0"/>
            </w:pPr>
            <w:r/>
            <w:r>
              <w:rPr>
                <w:rFonts w:ascii="宋体" w:hAnsi="宋体" w:eastAsia="宋体" w:cs="宋体"/>
                <w:b w:val="0"/>
                <w:i w:val="0"/>
                <w:sz w:val="19"/>
              </w:rPr>
              <w:t>经验判断</w:t>
            </w:r>
          </w:p>
        </w:tc>
        <w:tc>
          <w:tcPr>
            <w:tcW w:type="dxa" w:w="1928"/>
          </w:tcPr>
          <w:p>
            <w:pPr>
              <w:keepNext/>
              <w:spacing w:line="240" w:lineRule="auto" w:after="40"/>
              <w:ind w:firstLine="0"/>
            </w:pPr>
            <w:r/>
            <w:r>
              <w:rPr>
                <w:rFonts w:ascii="宋体" w:hAnsi="宋体" w:eastAsia="宋体" w:cs="宋体"/>
                <w:b w:val="0"/>
                <w:i w:val="0"/>
                <w:sz w:val="19"/>
              </w:rPr>
              <w:t>施药建议</w:t>
            </w:r>
          </w:p>
        </w:tc>
        <w:tc>
          <w:tcPr>
            <w:tcW w:type="dxa" w:w="3288"/>
          </w:tcPr>
          <w:p>
            <w:pPr>
              <w:keepNext/>
              <w:spacing w:line="240" w:lineRule="auto" w:after="40"/>
              <w:ind w:firstLine="0"/>
            </w:pPr>
            <w:r/>
            <w:r>
              <w:rPr>
                <w:rFonts w:ascii="宋体" w:hAnsi="宋体" w:eastAsia="宋体" w:cs="宋体"/>
                <w:b w:val="0"/>
                <w:i w:val="0"/>
                <w:sz w:val="19"/>
              </w:rPr>
              <w:t>✓ 多目标、带效果区间</w:t>
            </w:r>
          </w:p>
        </w:tc>
      </w:tr>
      <w:tr>
        <w:trPr>
          <w:cantSplit/>
        </w:trPr>
        <w:tc>
          <w:tcPr>
            <w:tcW w:type="dxa" w:w="1361"/>
          </w:tcPr>
          <w:p>
            <w:pPr>
              <w:spacing w:line="240" w:lineRule="auto" w:after="40"/>
              <w:ind w:firstLine="0"/>
            </w:pPr>
            <w:r/>
            <w:r>
              <w:rPr>
                <w:rFonts w:ascii="宋体" w:hAnsi="宋体" w:eastAsia="宋体" w:cs="宋体"/>
                <w:b w:val="0"/>
                <w:i w:val="0"/>
                <w:sz w:val="19"/>
              </w:rPr>
              <w:t>主要短板</w:t>
            </w:r>
          </w:p>
        </w:tc>
        <w:tc>
          <w:tcPr>
            <w:tcW w:type="dxa" w:w="2041"/>
          </w:tcPr>
          <w:p>
            <w:pPr>
              <w:spacing w:line="240" w:lineRule="auto" w:after="40"/>
              <w:ind w:firstLine="0"/>
            </w:pPr>
            <w:r/>
            <w:r>
              <w:rPr>
                <w:rFonts w:ascii="宋体" w:hAnsi="宋体" w:eastAsia="宋体" w:cs="宋体"/>
                <w:b w:val="0"/>
                <w:i w:val="0"/>
                <w:sz w:val="19"/>
              </w:rPr>
              <w:t>贵、慢、误差大、不可比</w:t>
            </w:r>
          </w:p>
        </w:tc>
        <w:tc>
          <w:tcPr>
            <w:tcW w:type="dxa" w:w="1928"/>
          </w:tcPr>
          <w:p>
            <w:pPr>
              <w:spacing w:line="240" w:lineRule="auto" w:after="40"/>
              <w:ind w:firstLine="0"/>
            </w:pPr>
            <w:r/>
            <w:r>
              <w:rPr>
                <w:rFonts w:ascii="宋体" w:hAnsi="宋体" w:eastAsia="宋体" w:cs="宋体"/>
                <w:b w:val="0"/>
                <w:i w:val="0"/>
                <w:sz w:val="19"/>
              </w:rPr>
              <w:t>只盯害虫，且误杀帮手</w:t>
            </w:r>
          </w:p>
        </w:tc>
        <w:tc>
          <w:tcPr>
            <w:tcW w:type="dxa" w:w="3288"/>
          </w:tcPr>
          <w:p>
            <w:pPr>
              <w:spacing w:line="240" w:lineRule="auto" w:after="40"/>
              <w:ind w:firstLine="0"/>
            </w:pPr>
            <w:r/>
            <w:r>
              <w:rPr>
                <w:rFonts w:ascii="宋体" w:hAnsi="宋体" w:eastAsia="宋体" w:cs="宋体"/>
                <w:b w:val="0"/>
                <w:i w:val="0"/>
                <w:sz w:val="19"/>
              </w:rPr>
              <w:t>节点成本需优化、功能群级精度</w:t>
            </w:r>
          </w:p>
        </w:tc>
      </w:tr>
    </w:tbl>
    <w:p>
      <w:pPr>
        <w:keepNext w:val="0"/>
        <w:spacing w:line="312" w:lineRule="auto" w:before="120" w:after="80"/>
        <w:ind w:firstLine="480"/>
      </w:pPr>
      <w:r>
        <w:rPr>
          <w:rFonts w:ascii="宋体" w:hAnsi="宋体" w:eastAsia="宋体" w:cs="宋体"/>
          <w:b/>
          <w:i w:val="0"/>
          <w:sz w:val="24"/>
        </w:rPr>
        <w:t>这里要说清一件事：</w:t>
      </w:r>
      <w:r>
        <w:rPr>
          <w:rFonts w:ascii="宋体" w:hAnsi="宋体" w:eastAsia="宋体" w:cs="宋体"/>
          <w:b/>
          <w:i w:val="0"/>
          <w:sz w:val="24"/>
        </w:rPr>
        <w:t>我们不是"精度更高的虫情测报设备"，我们的主体换了——从害虫换成帮手，并在此基础上增加了它们原本没有的核算与决策能力。问题不是精度不够，是主体错了。</w:t>
      </w:r>
    </w:p>
    <w:p>
      <w:pPr>
        <w:pStyle w:val="Heading2"/>
        <w:keepNext/>
        <w:spacing w:line="312" w:lineRule="auto" w:before="200" w:after="120"/>
        <w:ind w:firstLine="0"/>
      </w:pPr>
      <w:r>
        <w:rPr>
          <w:rFonts w:ascii="宋体" w:hAnsi="宋体" w:eastAsia="宋体" w:cs="宋体"/>
          <w:b/>
          <w:i w:val="0"/>
          <w:color w:val="000000"/>
          <w:sz w:val="28"/>
        </w:rPr>
        <w:t>6.2 差异化定位</w:t>
      </w:r>
    </w:p>
    <w:p>
      <w:pPr>
        <w:keepNext w:val="0"/>
        <w:spacing w:line="312" w:lineRule="auto" w:before="120" w:after="160"/>
        <w:jc w:val="center"/>
      </w:pPr>
      <w:r>
        <w:rPr>
          <w:rFonts w:ascii="宋体" w:hAnsi="宋体" w:eastAsia="宋体" w:cs="宋体"/>
          <w:b/>
          <w:i w:val="0"/>
          <w:sz w:val="28"/>
        </w:rPr>
        <w:t>别人测害虫，我们算服务。</w:t>
      </w:r>
    </w:p>
    <w:p>
      <w:pPr>
        <w:pStyle w:val="Heading2"/>
        <w:keepNext/>
        <w:spacing w:line="312" w:lineRule="auto" w:before="200" w:after="120"/>
        <w:ind w:firstLine="0"/>
      </w:pPr>
      <w:r>
        <w:rPr>
          <w:rFonts w:ascii="宋体" w:hAnsi="宋体" w:eastAsia="宋体" w:cs="宋体"/>
          <w:b/>
          <w:i w:val="0"/>
          <w:color w:val="000000"/>
          <w:sz w:val="28"/>
        </w:rPr>
        <w:t>6.3 四层竞争壁垒</w:t>
      </w:r>
    </w:p>
    <w:tbl>
      <w:tblPr>
        <w:tblStyle w:val="TableGrid"/>
        <w:tblW w:type="auto" w:w="0"/>
        <w:jc w:val="center"/>
        <w:tblLook w:firstColumn="1" w:firstRow="1" w:lastColumn="0" w:lastRow="0" w:noHBand="0" w:noVBand="1" w:val="04A0"/>
      </w:tblPr>
      <w:tblGrid>
        <w:gridCol w:w="2948"/>
        <w:gridCol w:w="2948"/>
        <w:gridCol w:w="2948"/>
      </w:tblGrid>
      <w:tr>
        <w:trPr>
          <w:cantSplit/>
          <w:tblHeader/>
        </w:trPr>
        <w:tc>
          <w:tcPr>
            <w:tcW w:type="dxa" w:w="1134"/>
            <w:shd w:val="clear" w:fill="EFEFEF"/>
          </w:tcPr>
          <w:p>
            <w:pPr>
              <w:keepNext/>
              <w:spacing w:line="240" w:lineRule="auto" w:after="40"/>
              <w:ind w:firstLine="0"/>
              <w:jc w:val="center"/>
            </w:pPr>
            <w:r/>
            <w:r>
              <w:rPr>
                <w:rFonts w:ascii="宋体" w:hAnsi="宋体" w:eastAsia="宋体" w:cs="宋体"/>
                <w:b/>
                <w:i w:val="0"/>
                <w:sz w:val="19"/>
              </w:rPr>
              <w:t>壁垒</w:t>
            </w:r>
          </w:p>
        </w:tc>
        <w:tc>
          <w:tcPr>
            <w:tcW w:type="dxa" w:w="3628"/>
            <w:shd w:val="clear" w:fill="EFEFEF"/>
          </w:tcPr>
          <w:p>
            <w:pPr>
              <w:keepNext/>
              <w:spacing w:line="240" w:lineRule="auto" w:after="40"/>
              <w:ind w:firstLine="0"/>
              <w:jc w:val="center"/>
            </w:pPr>
            <w:r/>
            <w:r>
              <w:rPr>
                <w:rFonts w:ascii="宋体" w:hAnsi="宋体" w:eastAsia="宋体" w:cs="宋体"/>
                <w:b/>
                <w:i w:val="0"/>
                <w:sz w:val="19"/>
              </w:rPr>
              <w:t>内容</w:t>
            </w:r>
          </w:p>
        </w:tc>
        <w:tc>
          <w:tcPr>
            <w:tcW w:type="dxa" w:w="3855"/>
            <w:shd w:val="clear" w:fill="EFEFEF"/>
          </w:tcPr>
          <w:p>
            <w:pPr>
              <w:keepNext/>
              <w:spacing w:line="240" w:lineRule="auto" w:after="40"/>
              <w:ind w:firstLine="0"/>
              <w:jc w:val="center"/>
            </w:pPr>
            <w:r/>
            <w:r>
              <w:rPr>
                <w:rFonts w:ascii="宋体" w:hAnsi="宋体" w:eastAsia="宋体" w:cs="宋体"/>
                <w:b/>
                <w:i w:val="0"/>
                <w:sz w:val="19"/>
              </w:rPr>
              <w:t>为什么竞品难以复制</w:t>
            </w:r>
          </w:p>
        </w:tc>
      </w:tr>
      <w:tr>
        <w:trPr>
          <w:cantSplit/>
        </w:trPr>
        <w:tc>
          <w:tcPr>
            <w:tcW w:type="dxa" w:w="1134"/>
          </w:tcPr>
          <w:p>
            <w:pPr>
              <w:keepNext/>
              <w:spacing w:line="240" w:lineRule="auto" w:after="40"/>
              <w:ind w:firstLine="0"/>
            </w:pPr>
            <w:r/>
            <w:r>
              <w:rPr>
                <w:rFonts w:ascii="宋体" w:hAnsi="宋体" w:eastAsia="宋体" w:cs="宋体"/>
                <w:b w:val="0"/>
                <w:i w:val="0"/>
                <w:sz w:val="19"/>
              </w:rPr>
              <w:t>数据壁垒</w:t>
            </w:r>
          </w:p>
        </w:tc>
        <w:tc>
          <w:tcPr>
            <w:tcW w:type="dxa" w:w="3628"/>
          </w:tcPr>
          <w:p>
            <w:pPr>
              <w:keepNext/>
              <w:spacing w:line="240" w:lineRule="auto" w:after="40"/>
              <w:ind w:firstLine="0"/>
            </w:pPr>
            <w:r/>
            <w:r>
              <w:rPr>
                <w:rFonts w:ascii="宋体" w:hAnsi="宋体" w:eastAsia="宋体" w:cs="宋体"/>
                <w:b w:val="0"/>
                <w:i w:val="0"/>
                <w:sz w:val="19"/>
              </w:rPr>
              <w:t>多模态有益生物标注数据集 + 田间标定的服务响应曲线 + 免费版回流的真实观测数据</w:t>
            </w:r>
          </w:p>
        </w:tc>
        <w:tc>
          <w:tcPr>
            <w:tcW w:type="dxa" w:w="3855"/>
          </w:tcPr>
          <w:p>
            <w:pPr>
              <w:keepNext/>
              <w:spacing w:line="240" w:lineRule="auto" w:after="40"/>
              <w:ind w:firstLine="0"/>
            </w:pPr>
            <w:r/>
            <w:r>
              <w:rPr>
                <w:rFonts w:ascii="宋体" w:hAnsi="宋体" w:eastAsia="宋体" w:cs="宋体"/>
                <w:b w:val="0"/>
                <w:i w:val="0"/>
                <w:sz w:val="19"/>
              </w:rPr>
              <w:t>需要长期田间投入与生态学专业能力，硬件厂商与平台公司既没动力、也缺团队</w:t>
            </w:r>
          </w:p>
        </w:tc>
      </w:tr>
      <w:tr>
        <w:trPr>
          <w:cantSplit/>
        </w:trPr>
        <w:tc>
          <w:tcPr>
            <w:tcW w:type="dxa" w:w="1134"/>
          </w:tcPr>
          <w:p>
            <w:pPr>
              <w:keepNext/>
              <w:spacing w:line="240" w:lineRule="auto" w:after="40"/>
              <w:ind w:firstLine="0"/>
            </w:pPr>
            <w:r/>
            <w:r>
              <w:rPr>
                <w:rFonts w:ascii="宋体" w:hAnsi="宋体" w:eastAsia="宋体" w:cs="宋体"/>
                <w:b w:val="0"/>
                <w:i w:val="0"/>
                <w:sz w:val="19"/>
              </w:rPr>
              <w:t>算法壁垒</w:t>
            </w:r>
          </w:p>
        </w:tc>
        <w:tc>
          <w:tcPr>
            <w:tcW w:type="dxa" w:w="3628"/>
          </w:tcPr>
          <w:p>
            <w:pPr>
              <w:keepNext/>
              <w:spacing w:line="240" w:lineRule="auto" w:after="40"/>
              <w:ind w:firstLine="0"/>
            </w:pPr>
            <w:r/>
            <w:r>
              <w:rPr>
                <w:rFonts w:ascii="宋体" w:hAnsi="宋体" w:eastAsia="宋体" w:cs="宋体"/>
                <w:b w:val="0"/>
                <w:i w:val="0"/>
                <w:sz w:val="19"/>
              </w:rPr>
              <w:t>跨模态一致性融合 + 可标定的生态服务供给函数（已申请专利）</w:t>
            </w:r>
          </w:p>
        </w:tc>
        <w:tc>
          <w:tcPr>
            <w:tcW w:type="dxa" w:w="3855"/>
          </w:tcPr>
          <w:p>
            <w:pPr>
              <w:keepNext/>
              <w:spacing w:line="240" w:lineRule="auto" w:after="40"/>
              <w:ind w:firstLine="0"/>
            </w:pPr>
            <w:r/>
            <w:r>
              <w:rPr>
                <w:rFonts w:ascii="宋体" w:hAnsi="宋体" w:eastAsia="宋体" w:cs="宋体"/>
                <w:b w:val="0"/>
                <w:i w:val="0"/>
                <w:sz w:val="19"/>
              </w:rPr>
              <w:t>需要同时具备信号处理、计算机视觉与生态统计的跨领域团队</w:t>
            </w:r>
          </w:p>
        </w:tc>
      </w:tr>
      <w:tr>
        <w:trPr>
          <w:cantSplit/>
        </w:trPr>
        <w:tc>
          <w:tcPr>
            <w:tcW w:type="dxa" w:w="1134"/>
          </w:tcPr>
          <w:p>
            <w:pPr>
              <w:keepNext/>
              <w:spacing w:line="240" w:lineRule="auto" w:after="40"/>
              <w:ind w:firstLine="0"/>
            </w:pPr>
            <w:r/>
            <w:r>
              <w:rPr>
                <w:rFonts w:ascii="宋体" w:hAnsi="宋体" w:eastAsia="宋体" w:cs="宋体"/>
                <w:b w:val="0"/>
                <w:i w:val="0"/>
                <w:sz w:val="19"/>
              </w:rPr>
              <w:t>生态壁垒</w:t>
            </w:r>
          </w:p>
        </w:tc>
        <w:tc>
          <w:tcPr>
            <w:tcW w:type="dxa" w:w="3628"/>
          </w:tcPr>
          <w:p>
            <w:pPr>
              <w:keepNext/>
              <w:spacing w:line="240" w:lineRule="auto" w:after="40"/>
              <w:ind w:firstLine="0"/>
            </w:pPr>
            <w:r/>
            <w:r>
              <w:rPr>
                <w:rFonts w:ascii="宋体" w:hAnsi="宋体" w:eastAsia="宋体" w:cs="宋体"/>
                <w:b w:val="0"/>
                <w:i w:val="0"/>
                <w:sz w:val="19"/>
              </w:rPr>
              <w:t>与监测设备厂商、认证机构、保险机构、地方部门集成</w:t>
            </w:r>
          </w:p>
        </w:tc>
        <w:tc>
          <w:tcPr>
            <w:tcW w:type="dxa" w:w="3855"/>
          </w:tcPr>
          <w:p>
            <w:pPr>
              <w:keepNext/>
              <w:spacing w:line="240" w:lineRule="auto" w:after="40"/>
              <w:ind w:firstLine="0"/>
            </w:pPr>
            <w:r/>
            <w:r>
              <w:rPr>
                <w:rFonts w:ascii="宋体" w:hAnsi="宋体" w:eastAsia="宋体" w:cs="宋体"/>
                <w:b w:val="0"/>
                <w:i w:val="0"/>
                <w:sz w:val="19"/>
              </w:rPr>
              <w:t>一旦成为认证与补偿的计量口径，替换成本极高</w:t>
            </w:r>
          </w:p>
        </w:tc>
      </w:tr>
      <w:tr>
        <w:trPr>
          <w:cantSplit/>
        </w:trPr>
        <w:tc>
          <w:tcPr>
            <w:tcW w:type="dxa" w:w="1134"/>
          </w:tcPr>
          <w:p>
            <w:pPr>
              <w:spacing w:line="240" w:lineRule="auto" w:after="40"/>
              <w:ind w:firstLine="0"/>
            </w:pPr>
            <w:r/>
            <w:r>
              <w:rPr>
                <w:rFonts w:ascii="宋体" w:hAnsi="宋体" w:eastAsia="宋体" w:cs="宋体"/>
                <w:b w:val="0"/>
                <w:i w:val="0"/>
                <w:sz w:val="19"/>
              </w:rPr>
              <w:t>垂直壁垒</w:t>
            </w:r>
          </w:p>
        </w:tc>
        <w:tc>
          <w:tcPr>
            <w:tcW w:type="dxa" w:w="3628"/>
          </w:tcPr>
          <w:p>
            <w:pPr>
              <w:spacing w:line="240" w:lineRule="auto" w:after="40"/>
              <w:ind w:firstLine="0"/>
            </w:pPr>
            <w:r/>
            <w:r>
              <w:rPr>
                <w:rFonts w:ascii="宋体" w:hAnsi="宋体" w:eastAsia="宋体" w:cs="宋体"/>
                <w:b w:val="0"/>
                <w:i w:val="0"/>
                <w:sz w:val="19"/>
              </w:rPr>
              <w:t>在林业与设施农业积累长期观测数据与地方标准经验</w:t>
            </w:r>
          </w:p>
        </w:tc>
        <w:tc>
          <w:tcPr>
            <w:tcW w:type="dxa" w:w="3855"/>
          </w:tcPr>
          <w:p>
            <w:pPr>
              <w:spacing w:line="240" w:lineRule="auto" w:after="40"/>
              <w:ind w:firstLine="0"/>
            </w:pPr>
            <w:r/>
            <w:r>
              <w:rPr>
                <w:rFonts w:ascii="宋体" w:hAnsi="宋体" w:eastAsia="宋体" w:cs="宋体"/>
                <w:b w:val="0"/>
                <w:i w:val="0"/>
                <w:sz w:val="19"/>
              </w:rPr>
              <w:t>大厂通常不愿为细分市场做这类长周期积累</w:t>
            </w:r>
          </w:p>
        </w:tc>
      </w:tr>
    </w:tbl>
    <w:p>
      <w:pPr>
        <w:keepNext w:val="0"/>
        <w:spacing w:line="312" w:lineRule="auto" w:before="120" w:after="80"/>
        <w:ind w:firstLine="480"/>
      </w:pPr>
      <w:r>
        <w:rPr>
          <w:rFonts w:ascii="宋体" w:hAnsi="宋体" w:eastAsia="宋体" w:cs="宋体"/>
          <w:b w:val="0"/>
          <w:i w:val="0"/>
          <w:sz w:val="24"/>
        </w:rPr>
        <w:t>诚实补充：如果头部农业物联网公司决定进入这一细分方向，我们的单点技术优势会被削弱，它们拥有渠道与硬件成本优势。因此真正的护城河是时间——我们必须在 12 到 18 个月内，让"有益生物测报"这个概念与我们的品牌绑定，并拿下林业或设施农业的标杆客户与地方标准参与资格。</w:t>
      </w:r>
    </w:p>
    <w:p>
      <w:pPr>
        <w:pStyle w:val="Heading1"/>
        <w:keepNext/>
        <w:pageBreakBefore/>
        <w:spacing w:line="312" w:lineRule="auto" w:before="280" w:after="120"/>
        <w:ind w:firstLine="0"/>
      </w:pPr>
      <w:r>
        <w:rPr>
          <w:rFonts w:ascii="宋体" w:hAnsi="宋体" w:eastAsia="宋体" w:cs="宋体"/>
          <w:b/>
          <w:i w:val="0"/>
          <w:color w:val="000000"/>
          <w:sz w:val="32"/>
        </w:rPr>
        <w:t>第七章  商业模式</w:t>
      </w:r>
    </w:p>
    <w:p>
      <w:pPr>
        <w:pStyle w:val="Heading2"/>
        <w:keepNext/>
        <w:spacing w:line="312" w:lineRule="auto" w:before="200" w:after="120"/>
        <w:ind w:firstLine="0"/>
      </w:pPr>
      <w:r>
        <w:rPr>
          <w:rFonts w:ascii="宋体" w:hAnsi="宋体" w:eastAsia="宋体" w:cs="宋体"/>
          <w:b/>
          <w:i w:val="0"/>
          <w:color w:val="000000"/>
          <w:sz w:val="28"/>
        </w:rPr>
        <w:t>7.1 收入结构：四层，逐层提高客单价</w:t>
      </w:r>
    </w:p>
    <w:tbl>
      <w:tblPr>
        <w:tblStyle w:val="TableGrid"/>
        <w:tblW w:type="auto" w:w="0"/>
        <w:jc w:val="center"/>
        <w:tblLook w:firstColumn="1" w:firstRow="1" w:lastColumn="0" w:lastRow="0" w:noHBand="0" w:noVBand="1" w:val="04A0"/>
      </w:tblPr>
      <w:tblGrid>
        <w:gridCol w:w="1769"/>
        <w:gridCol w:w="1769"/>
        <w:gridCol w:w="1769"/>
        <w:gridCol w:w="1769"/>
        <w:gridCol w:w="1769"/>
      </w:tblGrid>
      <w:tr>
        <w:trPr>
          <w:cantSplit/>
          <w:tblHeader/>
        </w:trPr>
        <w:tc>
          <w:tcPr>
            <w:tcW w:type="dxa" w:w="907"/>
            <w:shd w:val="clear" w:fill="EFEFEF"/>
          </w:tcPr>
          <w:p>
            <w:pPr>
              <w:keepNext/>
              <w:spacing w:line="240" w:lineRule="auto" w:after="40"/>
              <w:ind w:firstLine="0"/>
              <w:jc w:val="center"/>
            </w:pPr>
            <w:r/>
            <w:r>
              <w:rPr>
                <w:rFonts w:ascii="宋体" w:hAnsi="宋体" w:eastAsia="宋体" w:cs="宋体"/>
                <w:b/>
                <w:i w:val="0"/>
                <w:sz w:val="18"/>
              </w:rPr>
              <w:t>层级</w:t>
            </w:r>
          </w:p>
        </w:tc>
        <w:tc>
          <w:tcPr>
            <w:tcW w:type="dxa" w:w="2494"/>
            <w:shd w:val="clear" w:fill="EFEFEF"/>
          </w:tcPr>
          <w:p>
            <w:pPr>
              <w:keepNext/>
              <w:spacing w:line="240" w:lineRule="auto" w:after="40"/>
              <w:ind w:firstLine="0"/>
              <w:jc w:val="center"/>
            </w:pPr>
            <w:r/>
            <w:r>
              <w:rPr>
                <w:rFonts w:ascii="宋体" w:hAnsi="宋体" w:eastAsia="宋体" w:cs="宋体"/>
                <w:b/>
                <w:i w:val="0"/>
                <w:sz w:val="18"/>
              </w:rPr>
              <w:t>产品形态</w:t>
            </w:r>
          </w:p>
        </w:tc>
        <w:tc>
          <w:tcPr>
            <w:tcW w:type="dxa" w:w="2041"/>
            <w:shd w:val="clear" w:fill="EFEFEF"/>
          </w:tcPr>
          <w:p>
            <w:pPr>
              <w:keepNext/>
              <w:spacing w:line="240" w:lineRule="auto" w:after="40"/>
              <w:ind w:firstLine="0"/>
              <w:jc w:val="center"/>
            </w:pPr>
            <w:r/>
            <w:r>
              <w:rPr>
                <w:rFonts w:ascii="宋体" w:hAnsi="宋体" w:eastAsia="宋体" w:cs="宋体"/>
                <w:b/>
                <w:i w:val="0"/>
                <w:sz w:val="18"/>
              </w:rPr>
              <w:t>目标客户</w:t>
            </w:r>
          </w:p>
        </w:tc>
        <w:tc>
          <w:tcPr>
            <w:tcW w:type="dxa" w:w="1701"/>
            <w:shd w:val="clear" w:fill="EFEFEF"/>
          </w:tcPr>
          <w:p>
            <w:pPr>
              <w:keepNext/>
              <w:spacing w:line="240" w:lineRule="auto" w:after="40"/>
              <w:ind w:firstLine="0"/>
              <w:jc w:val="center"/>
            </w:pPr>
            <w:r/>
            <w:r>
              <w:rPr>
                <w:rFonts w:ascii="宋体" w:hAnsi="宋体" w:eastAsia="宋体" w:cs="宋体"/>
                <w:b/>
                <w:i w:val="0"/>
                <w:sz w:val="18"/>
              </w:rPr>
              <w:t>定价</w:t>
            </w:r>
          </w:p>
        </w:tc>
        <w:tc>
          <w:tcPr>
            <w:tcW w:type="dxa" w:w="1474"/>
            <w:shd w:val="clear" w:fill="EFEFEF"/>
          </w:tcPr>
          <w:p>
            <w:pPr>
              <w:keepNext/>
              <w:spacing w:line="240" w:lineRule="auto" w:after="40"/>
              <w:ind w:firstLine="0"/>
              <w:jc w:val="center"/>
            </w:pPr>
            <w:r/>
            <w:r>
              <w:rPr>
                <w:rFonts w:ascii="宋体" w:hAnsi="宋体" w:eastAsia="宋体" w:cs="宋体"/>
                <w:b/>
                <w:i w:val="0"/>
                <w:sz w:val="18"/>
              </w:rPr>
              <w:t>战略作用</w:t>
            </w:r>
          </w:p>
        </w:tc>
      </w:tr>
      <w:tr>
        <w:trPr>
          <w:cantSplit/>
        </w:trPr>
        <w:tc>
          <w:tcPr>
            <w:tcW w:type="dxa" w:w="907"/>
          </w:tcPr>
          <w:p>
            <w:pPr>
              <w:keepNext/>
              <w:spacing w:line="240" w:lineRule="auto" w:after="40"/>
              <w:ind w:firstLine="0"/>
            </w:pPr>
            <w:r/>
            <w:r>
              <w:rPr>
                <w:rFonts w:ascii="宋体" w:hAnsi="宋体" w:eastAsia="宋体" w:cs="宋体"/>
                <w:b w:val="0"/>
                <w:i w:val="0"/>
                <w:sz w:val="18"/>
              </w:rPr>
              <w:t>硬件层</w:t>
            </w:r>
          </w:p>
        </w:tc>
        <w:tc>
          <w:tcPr>
            <w:tcW w:type="dxa" w:w="2494"/>
          </w:tcPr>
          <w:p>
            <w:pPr>
              <w:keepNext/>
              <w:spacing w:line="240" w:lineRule="auto" w:after="40"/>
              <w:ind w:firstLine="0"/>
            </w:pPr>
            <w:r/>
            <w:r>
              <w:rPr>
                <w:rFonts w:ascii="宋体" w:hAnsi="宋体" w:eastAsia="宋体" w:cs="宋体"/>
                <w:b w:val="0"/>
                <w:i w:val="0"/>
                <w:sz w:val="18"/>
              </w:rPr>
              <w:t>边缘监测节点（声学 / 视觉 / 微气象）</w:t>
            </w:r>
          </w:p>
        </w:tc>
        <w:tc>
          <w:tcPr>
            <w:tcW w:type="dxa" w:w="2041"/>
          </w:tcPr>
          <w:p>
            <w:pPr>
              <w:keepNext/>
              <w:spacing w:line="240" w:lineRule="auto" w:after="40"/>
              <w:ind w:firstLine="0"/>
            </w:pPr>
            <w:r/>
            <w:r>
              <w:rPr>
                <w:rFonts w:ascii="宋体" w:hAnsi="宋体" w:eastAsia="宋体" w:cs="宋体"/>
                <w:b w:val="0"/>
                <w:i w:val="0"/>
                <w:sz w:val="18"/>
              </w:rPr>
              <w:t>种植主体、合作社、政府部门</w:t>
            </w:r>
          </w:p>
        </w:tc>
        <w:tc>
          <w:tcPr>
            <w:tcW w:type="dxa" w:w="1701"/>
          </w:tcPr>
          <w:p>
            <w:pPr>
              <w:keepNext/>
              <w:spacing w:line="240" w:lineRule="auto" w:after="40"/>
              <w:ind w:firstLine="0"/>
            </w:pPr>
            <w:r/>
            <w:r>
              <w:rPr>
                <w:rFonts w:ascii="宋体" w:hAnsi="宋体" w:eastAsia="宋体" w:cs="宋体"/>
                <w:b w:val="0"/>
                <w:i w:val="0"/>
                <w:sz w:val="18"/>
              </w:rPr>
              <w:t>【待测算】元 / 节点</w:t>
            </w:r>
          </w:p>
        </w:tc>
        <w:tc>
          <w:tcPr>
            <w:tcW w:type="dxa" w:w="1474"/>
          </w:tcPr>
          <w:p>
            <w:pPr>
              <w:keepNext/>
              <w:spacing w:line="240" w:lineRule="auto" w:after="40"/>
              <w:ind w:firstLine="0"/>
            </w:pPr>
            <w:r/>
            <w:r>
              <w:rPr>
                <w:rFonts w:ascii="宋体" w:hAnsi="宋体" w:eastAsia="宋体" w:cs="宋体"/>
                <w:b w:val="0"/>
                <w:i w:val="0"/>
                <w:sz w:val="18"/>
              </w:rPr>
              <w:t>建立部署壁垒，形成持续数据源</w:t>
            </w:r>
          </w:p>
        </w:tc>
      </w:tr>
      <w:tr>
        <w:trPr>
          <w:cantSplit/>
        </w:trPr>
        <w:tc>
          <w:tcPr>
            <w:tcW w:type="dxa" w:w="907"/>
          </w:tcPr>
          <w:p>
            <w:pPr>
              <w:keepNext/>
              <w:spacing w:line="240" w:lineRule="auto" w:after="40"/>
              <w:ind w:firstLine="0"/>
            </w:pPr>
            <w:r/>
            <w:r>
              <w:rPr>
                <w:rFonts w:ascii="宋体" w:hAnsi="宋体" w:eastAsia="宋体" w:cs="宋体"/>
                <w:b w:val="0"/>
                <w:i w:val="0"/>
                <w:sz w:val="18"/>
              </w:rPr>
              <w:t>平台层</w:t>
            </w:r>
          </w:p>
        </w:tc>
        <w:tc>
          <w:tcPr>
            <w:tcW w:type="dxa" w:w="2494"/>
          </w:tcPr>
          <w:p>
            <w:pPr>
              <w:keepNext/>
              <w:spacing w:line="240" w:lineRule="auto" w:after="40"/>
              <w:ind w:firstLine="0"/>
            </w:pPr>
            <w:r/>
            <w:r>
              <w:rPr>
                <w:rFonts w:ascii="宋体" w:hAnsi="宋体" w:eastAsia="宋体" w:cs="宋体"/>
                <w:b w:val="0"/>
                <w:i w:val="0"/>
                <w:sz w:val="18"/>
              </w:rPr>
              <w:t>SaaS 平台与手机端（按节点数订阅）</w:t>
            </w:r>
          </w:p>
        </w:tc>
        <w:tc>
          <w:tcPr>
            <w:tcW w:type="dxa" w:w="2041"/>
          </w:tcPr>
          <w:p>
            <w:pPr>
              <w:keepNext/>
              <w:spacing w:line="240" w:lineRule="auto" w:after="40"/>
              <w:ind w:firstLine="0"/>
            </w:pPr>
            <w:r/>
            <w:r>
              <w:rPr>
                <w:rFonts w:ascii="宋体" w:hAnsi="宋体" w:eastAsia="宋体" w:cs="宋体"/>
                <w:b w:val="0"/>
                <w:i w:val="0"/>
                <w:sz w:val="18"/>
              </w:rPr>
              <w:t>已部署节点的客户</w:t>
            </w:r>
          </w:p>
        </w:tc>
        <w:tc>
          <w:tcPr>
            <w:tcW w:type="dxa" w:w="1701"/>
          </w:tcPr>
          <w:p>
            <w:pPr>
              <w:keepNext/>
              <w:spacing w:line="240" w:lineRule="auto" w:after="40"/>
              <w:ind w:firstLine="0"/>
            </w:pPr>
            <w:r/>
            <w:r>
              <w:rPr>
                <w:rFonts w:ascii="宋体" w:hAnsi="宋体" w:eastAsia="宋体" w:cs="宋体"/>
                <w:b w:val="0"/>
                <w:i w:val="0"/>
                <w:sz w:val="18"/>
              </w:rPr>
              <w:t>【待测算】元 / 节点 · 年</w:t>
            </w:r>
          </w:p>
        </w:tc>
        <w:tc>
          <w:tcPr>
            <w:tcW w:type="dxa" w:w="1474"/>
          </w:tcPr>
          <w:p>
            <w:pPr>
              <w:keepNext/>
              <w:spacing w:line="240" w:lineRule="auto" w:after="40"/>
              <w:ind w:firstLine="0"/>
            </w:pPr>
            <w:r/>
            <w:r>
              <w:rPr>
                <w:rFonts w:ascii="宋体" w:hAnsi="宋体" w:eastAsia="宋体" w:cs="宋体"/>
                <w:b w:val="0"/>
                <w:i w:val="0"/>
                <w:sz w:val="18"/>
              </w:rPr>
              <w:t>★ 现金流主力</w:t>
            </w:r>
          </w:p>
        </w:tc>
      </w:tr>
      <w:tr>
        <w:trPr>
          <w:cantSplit/>
        </w:trPr>
        <w:tc>
          <w:tcPr>
            <w:tcW w:type="dxa" w:w="907"/>
          </w:tcPr>
          <w:p>
            <w:pPr>
              <w:keepNext/>
              <w:spacing w:line="240" w:lineRule="auto" w:after="40"/>
              <w:ind w:firstLine="0"/>
            </w:pPr>
            <w:r/>
            <w:r>
              <w:rPr>
                <w:rFonts w:ascii="宋体" w:hAnsi="宋体" w:eastAsia="宋体" w:cs="宋体"/>
                <w:b w:val="0"/>
                <w:i w:val="0"/>
                <w:sz w:val="18"/>
              </w:rPr>
              <w:t>服务层</w:t>
            </w:r>
          </w:p>
        </w:tc>
        <w:tc>
          <w:tcPr>
            <w:tcW w:type="dxa" w:w="2494"/>
          </w:tcPr>
          <w:p>
            <w:pPr>
              <w:keepNext/>
              <w:spacing w:line="240" w:lineRule="auto" w:after="40"/>
              <w:ind w:firstLine="0"/>
            </w:pPr>
            <w:r/>
            <w:r>
              <w:rPr>
                <w:rFonts w:ascii="宋体" w:hAnsi="宋体" w:eastAsia="宋体" w:cs="宋体"/>
                <w:b w:val="0"/>
                <w:i w:val="0"/>
                <w:sz w:val="18"/>
              </w:rPr>
              <w:t>生态服务价值核算报告 + 调控决策方案 + 定制咨询</w:t>
            </w:r>
          </w:p>
        </w:tc>
        <w:tc>
          <w:tcPr>
            <w:tcW w:type="dxa" w:w="2041"/>
          </w:tcPr>
          <w:p>
            <w:pPr>
              <w:keepNext/>
              <w:spacing w:line="240" w:lineRule="auto" w:after="40"/>
              <w:ind w:firstLine="0"/>
            </w:pPr>
            <w:r/>
            <w:r>
              <w:rPr>
                <w:rFonts w:ascii="宋体" w:hAnsi="宋体" w:eastAsia="宋体" w:cs="宋体"/>
                <w:b w:val="0"/>
                <w:i w:val="0"/>
                <w:sz w:val="18"/>
              </w:rPr>
              <w:t>政府部门、认证机构、大型园区</w:t>
            </w:r>
          </w:p>
        </w:tc>
        <w:tc>
          <w:tcPr>
            <w:tcW w:type="dxa" w:w="1701"/>
          </w:tcPr>
          <w:p>
            <w:pPr>
              <w:keepNext/>
              <w:spacing w:line="240" w:lineRule="auto" w:after="40"/>
              <w:ind w:firstLine="0"/>
            </w:pPr>
            <w:r/>
            <w:r>
              <w:rPr>
                <w:rFonts w:ascii="宋体" w:hAnsi="宋体" w:eastAsia="宋体" w:cs="宋体"/>
                <w:b w:val="0"/>
                <w:i w:val="0"/>
                <w:sz w:val="18"/>
              </w:rPr>
              <w:t>【待测算】元 / 项目</w:t>
            </w:r>
          </w:p>
        </w:tc>
        <w:tc>
          <w:tcPr>
            <w:tcW w:type="dxa" w:w="1474"/>
          </w:tcPr>
          <w:p>
            <w:pPr>
              <w:keepNext/>
              <w:spacing w:line="240" w:lineRule="auto" w:after="40"/>
              <w:ind w:firstLine="0"/>
            </w:pPr>
            <w:r/>
            <w:r>
              <w:rPr>
                <w:rFonts w:ascii="宋体" w:hAnsi="宋体" w:eastAsia="宋体" w:cs="宋体"/>
                <w:b w:val="0"/>
                <w:i w:val="0"/>
                <w:sz w:val="18"/>
              </w:rPr>
              <w:t>高毛利，建立专业公信力</w:t>
            </w:r>
          </w:p>
        </w:tc>
      </w:tr>
      <w:tr>
        <w:trPr>
          <w:cantSplit/>
        </w:trPr>
        <w:tc>
          <w:tcPr>
            <w:tcW w:type="dxa" w:w="907"/>
          </w:tcPr>
          <w:p>
            <w:pPr>
              <w:spacing w:line="240" w:lineRule="auto" w:after="40"/>
              <w:ind w:firstLine="0"/>
            </w:pPr>
            <w:r/>
            <w:r>
              <w:rPr>
                <w:rFonts w:ascii="宋体" w:hAnsi="宋体" w:eastAsia="宋体" w:cs="宋体"/>
                <w:b w:val="0"/>
                <w:i w:val="0"/>
                <w:sz w:val="18"/>
              </w:rPr>
              <w:t>数据层</w:t>
            </w:r>
          </w:p>
        </w:tc>
        <w:tc>
          <w:tcPr>
            <w:tcW w:type="dxa" w:w="2494"/>
          </w:tcPr>
          <w:p>
            <w:pPr>
              <w:spacing w:line="240" w:lineRule="auto" w:after="40"/>
              <w:ind w:firstLine="0"/>
            </w:pPr>
            <w:r/>
            <w:r>
              <w:rPr>
                <w:rFonts w:ascii="宋体" w:hAnsi="宋体" w:eastAsia="宋体" w:cs="宋体"/>
                <w:b w:val="0"/>
                <w:i w:val="0"/>
                <w:sz w:val="18"/>
              </w:rPr>
              <w:t>面向保险与认证的指数化数据服务</w:t>
            </w:r>
          </w:p>
        </w:tc>
        <w:tc>
          <w:tcPr>
            <w:tcW w:type="dxa" w:w="2041"/>
          </w:tcPr>
          <w:p>
            <w:pPr>
              <w:spacing w:line="240" w:lineRule="auto" w:after="40"/>
              <w:ind w:firstLine="0"/>
            </w:pPr>
            <w:r/>
            <w:r>
              <w:rPr>
                <w:rFonts w:ascii="宋体" w:hAnsi="宋体" w:eastAsia="宋体" w:cs="宋体"/>
                <w:b w:val="0"/>
                <w:i w:val="0"/>
                <w:sz w:val="18"/>
              </w:rPr>
              <w:t>保险公司、生物多样性金融项目方</w:t>
            </w:r>
          </w:p>
        </w:tc>
        <w:tc>
          <w:tcPr>
            <w:tcW w:type="dxa" w:w="1701"/>
          </w:tcPr>
          <w:p>
            <w:pPr>
              <w:spacing w:line="240" w:lineRule="auto" w:after="40"/>
              <w:ind w:firstLine="0"/>
            </w:pPr>
            <w:r/>
            <w:r>
              <w:rPr>
                <w:rFonts w:ascii="宋体" w:hAnsi="宋体" w:eastAsia="宋体" w:cs="宋体"/>
                <w:b w:val="0"/>
                <w:i w:val="0"/>
                <w:sz w:val="18"/>
              </w:rPr>
              <w:t>【待测算】元 / 年</w:t>
            </w:r>
          </w:p>
        </w:tc>
        <w:tc>
          <w:tcPr>
            <w:tcW w:type="dxa" w:w="1474"/>
          </w:tcPr>
          <w:p>
            <w:pPr>
              <w:spacing w:line="240" w:lineRule="auto" w:after="40"/>
              <w:ind w:firstLine="0"/>
            </w:pPr>
            <w:r/>
            <w:r>
              <w:rPr>
                <w:rFonts w:ascii="宋体" w:hAnsi="宋体" w:eastAsia="宋体" w:cs="宋体"/>
                <w:b w:val="0"/>
                <w:i w:val="0"/>
                <w:sz w:val="18"/>
              </w:rPr>
              <w:t>长期壁垒，形成计量口径</w:t>
            </w:r>
          </w:p>
        </w:tc>
      </w:tr>
    </w:tbl>
    <w:p>
      <w:pPr>
        <w:keepNext w:val="0"/>
        <w:spacing w:line="312" w:lineRule="auto" w:before="120" w:after="80"/>
        <w:ind w:firstLine="440"/>
      </w:pPr>
      <w:r>
        <w:rPr>
          <w:rFonts w:ascii="宋体" w:hAnsi="宋体" w:eastAsia="宋体" w:cs="宋体"/>
          <w:b w:val="0"/>
          <w:i w:val="0"/>
          <w:sz w:val="22"/>
        </w:rPr>
        <w:t>收入结构的设计逻辑：硬件负责"铺得下去"，平台负责"收得回来"，服务负责"赚得到钱"，数据负责"锁得住客户"。四层逐级提高客单价与替换成本。</w:t>
      </w:r>
    </w:p>
    <w:p>
      <w:pPr>
        <w:pStyle w:val="Heading2"/>
        <w:keepNext/>
        <w:spacing w:line="312" w:lineRule="auto" w:before="200" w:after="120"/>
        <w:ind w:firstLine="0"/>
      </w:pPr>
      <w:r>
        <w:rPr>
          <w:rFonts w:ascii="宋体" w:hAnsi="宋体" w:eastAsia="宋体" w:cs="宋体"/>
          <w:b/>
          <w:i w:val="0"/>
          <w:color w:val="000000"/>
          <w:sz w:val="28"/>
        </w:rPr>
        <w:t>7.2 定价依据</w:t>
      </w:r>
    </w:p>
    <w:p>
      <w:pPr>
        <w:keepNext w:val="0"/>
        <w:spacing w:line="312" w:lineRule="auto" w:before="0" w:after="80"/>
        <w:ind w:firstLine="480"/>
      </w:pPr>
      <w:r>
        <w:rPr>
          <w:rFonts w:ascii="宋体" w:hAnsi="宋体" w:eastAsia="宋体" w:cs="宋体"/>
          <w:b w:val="0"/>
          <w:i w:val="0"/>
          <w:sz w:val="24"/>
        </w:rPr>
        <w:t>定价不靠拍脑袋，而是与替代方案对比：人工样方调查的成本包括专业人员工时、差旅与实验室分类鉴定费用，按年调查频次折算；我们的成本优势来自"一次部署、长期连续观测"。与现有监测设备相比，我们的能力不同（有益生物主体 + 服务核算），因此不进行同质化的价格竞争。</w:t>
      </w:r>
    </w:p>
    <w:tbl>
      <w:tblPr>
        <w:tblStyle w:val="TableGrid"/>
        <w:tblW w:type="auto" w:w="0"/>
        <w:jc w:val="center"/>
        <w:tblLook w:firstColumn="1" w:firstRow="1" w:lastColumn="0" w:lastRow="0" w:noHBand="0" w:noVBand="1" w:val="04A0"/>
      </w:tblPr>
      <w:tblGrid>
        <w:gridCol w:w="2948"/>
        <w:gridCol w:w="2948"/>
        <w:gridCol w:w="2948"/>
      </w:tblGrid>
      <w:tr>
        <w:trPr>
          <w:cantSplit/>
          <w:tblHeader/>
        </w:trPr>
        <w:tc>
          <w:tcPr>
            <w:tcW w:type="dxa" w:w="2381"/>
            <w:shd w:val="clear" w:fill="EFEFEF"/>
          </w:tcPr>
          <w:p>
            <w:pPr>
              <w:keepNext/>
              <w:spacing w:line="240" w:lineRule="auto" w:after="40"/>
              <w:ind w:firstLine="0"/>
              <w:jc w:val="center"/>
            </w:pPr>
            <w:r/>
            <w:r>
              <w:rPr>
                <w:rFonts w:ascii="宋体" w:hAnsi="宋体" w:eastAsia="宋体" w:cs="宋体"/>
                <w:b/>
                <w:i w:val="0"/>
                <w:sz w:val="19"/>
              </w:rPr>
              <w:t>方案</w:t>
            </w:r>
          </w:p>
        </w:tc>
        <w:tc>
          <w:tcPr>
            <w:tcW w:type="dxa" w:w="1928"/>
            <w:shd w:val="clear" w:fill="EFEFEF"/>
          </w:tcPr>
          <w:p>
            <w:pPr>
              <w:keepNext/>
              <w:spacing w:line="240" w:lineRule="auto" w:after="40"/>
              <w:ind w:firstLine="0"/>
              <w:jc w:val="center"/>
            </w:pPr>
            <w:r/>
            <w:r>
              <w:rPr>
                <w:rFonts w:ascii="宋体" w:hAnsi="宋体" w:eastAsia="宋体" w:cs="宋体"/>
                <w:b/>
                <w:i w:val="0"/>
                <w:sz w:val="19"/>
              </w:rPr>
              <w:t>价格口径</w:t>
            </w:r>
          </w:p>
        </w:tc>
        <w:tc>
          <w:tcPr>
            <w:tcW w:type="dxa" w:w="4309"/>
            <w:shd w:val="clear" w:fill="EFEFEF"/>
          </w:tcPr>
          <w:p>
            <w:pPr>
              <w:keepNext/>
              <w:spacing w:line="240" w:lineRule="auto" w:after="40"/>
              <w:ind w:firstLine="0"/>
              <w:jc w:val="center"/>
            </w:pPr>
            <w:r/>
            <w:r>
              <w:rPr>
                <w:rFonts w:ascii="宋体" w:hAnsi="宋体" w:eastAsia="宋体" w:cs="宋体"/>
                <w:b/>
                <w:i w:val="0"/>
                <w:sz w:val="19"/>
              </w:rPr>
              <w:t>说明</w:t>
            </w:r>
          </w:p>
        </w:tc>
      </w:tr>
      <w:tr>
        <w:trPr>
          <w:cantSplit/>
        </w:trPr>
        <w:tc>
          <w:tcPr>
            <w:tcW w:type="dxa" w:w="2381"/>
          </w:tcPr>
          <w:p>
            <w:pPr>
              <w:keepNext/>
              <w:spacing w:line="240" w:lineRule="auto" w:after="40"/>
              <w:ind w:firstLine="0"/>
            </w:pPr>
            <w:r/>
            <w:r>
              <w:rPr>
                <w:rFonts w:ascii="宋体" w:hAnsi="宋体" w:eastAsia="宋体" w:cs="宋体"/>
                <w:b w:val="0"/>
                <w:i w:val="0"/>
                <w:sz w:val="19"/>
              </w:rPr>
              <w:t>益望（节点 + 平台订阅）</w:t>
            </w:r>
          </w:p>
        </w:tc>
        <w:tc>
          <w:tcPr>
            <w:tcW w:type="dxa" w:w="1928"/>
          </w:tcPr>
          <w:p>
            <w:pPr>
              <w:keepNext/>
              <w:spacing w:line="240" w:lineRule="auto" w:after="40"/>
              <w:ind w:firstLine="0"/>
            </w:pPr>
            <w:r/>
            <w:r>
              <w:rPr>
                <w:rFonts w:ascii="宋体" w:hAnsi="宋体" w:eastAsia="宋体" w:cs="宋体"/>
                <w:b w:val="0"/>
                <w:i w:val="0"/>
                <w:sz w:val="19"/>
              </w:rPr>
              <w:t>【待测算】</w:t>
            </w:r>
          </w:p>
        </w:tc>
        <w:tc>
          <w:tcPr>
            <w:tcW w:type="dxa" w:w="4309"/>
          </w:tcPr>
          <w:p>
            <w:pPr>
              <w:keepNext/>
              <w:spacing w:line="240" w:lineRule="auto" w:after="40"/>
              <w:ind w:firstLine="0"/>
            </w:pPr>
            <w:r/>
            <w:r>
              <w:rPr>
                <w:rFonts w:ascii="宋体" w:hAnsi="宋体" w:eastAsia="宋体" w:cs="宋体"/>
                <w:b w:val="0"/>
                <w:i w:val="0"/>
                <w:sz w:val="19"/>
              </w:rPr>
              <w:t>学生团队成本优势 + 软件边际成本近零，低价策略下仍可维持健康毛利</w:t>
            </w:r>
          </w:p>
        </w:tc>
      </w:tr>
      <w:tr>
        <w:trPr>
          <w:cantSplit/>
        </w:trPr>
        <w:tc>
          <w:tcPr>
            <w:tcW w:type="dxa" w:w="2381"/>
          </w:tcPr>
          <w:p>
            <w:pPr>
              <w:keepNext/>
              <w:spacing w:line="240" w:lineRule="auto" w:after="40"/>
              <w:ind w:firstLine="0"/>
            </w:pPr>
            <w:r/>
            <w:r>
              <w:rPr>
                <w:rFonts w:ascii="宋体" w:hAnsi="宋体" w:eastAsia="宋体" w:cs="宋体"/>
                <w:b w:val="0"/>
                <w:i w:val="0"/>
                <w:sz w:val="19"/>
              </w:rPr>
              <w:t>人工样方调查（现状基线）</w:t>
            </w:r>
          </w:p>
        </w:tc>
        <w:tc>
          <w:tcPr>
            <w:tcW w:type="dxa" w:w="1928"/>
          </w:tcPr>
          <w:p>
            <w:pPr>
              <w:keepNext/>
              <w:spacing w:line="240" w:lineRule="auto" w:after="40"/>
              <w:ind w:firstLine="0"/>
            </w:pPr>
            <w:r/>
            <w:r>
              <w:rPr>
                <w:rFonts w:ascii="宋体" w:hAnsi="宋体" w:eastAsia="宋体" w:cs="宋体"/>
                <w:b w:val="0"/>
                <w:i w:val="0"/>
                <w:sz w:val="19"/>
              </w:rPr>
              <w:t>【待填】元 / 次</w:t>
            </w:r>
          </w:p>
        </w:tc>
        <w:tc>
          <w:tcPr>
            <w:tcW w:type="dxa" w:w="4309"/>
          </w:tcPr>
          <w:p>
            <w:pPr>
              <w:keepNext/>
              <w:spacing w:line="240" w:lineRule="auto" w:after="40"/>
              <w:ind w:firstLine="0"/>
            </w:pPr>
            <w:r/>
            <w:r>
              <w:rPr>
                <w:rFonts w:ascii="宋体" w:hAnsi="宋体" w:eastAsia="宋体" w:cs="宋体"/>
                <w:b w:val="0"/>
                <w:i w:val="0"/>
                <w:sz w:val="19"/>
              </w:rPr>
              <w:t>含专业人员工时、差旅与实验室分类鉴定费用，按年频次折算年成本</w:t>
            </w:r>
          </w:p>
        </w:tc>
      </w:tr>
      <w:tr>
        <w:trPr>
          <w:cantSplit/>
        </w:trPr>
        <w:tc>
          <w:tcPr>
            <w:tcW w:type="dxa" w:w="2381"/>
          </w:tcPr>
          <w:p>
            <w:pPr>
              <w:keepNext/>
              <w:spacing w:line="240" w:lineRule="auto" w:after="40"/>
              <w:ind w:firstLine="0"/>
            </w:pPr>
            <w:r/>
            <w:r>
              <w:rPr>
                <w:rFonts w:ascii="宋体" w:hAnsi="宋体" w:eastAsia="宋体" w:cs="宋体"/>
                <w:b w:val="0"/>
                <w:i w:val="0"/>
                <w:sz w:val="19"/>
              </w:rPr>
              <w:t>自动虫情测报设备</w:t>
            </w:r>
          </w:p>
        </w:tc>
        <w:tc>
          <w:tcPr>
            <w:tcW w:type="dxa" w:w="1928"/>
          </w:tcPr>
          <w:p>
            <w:pPr>
              <w:keepNext/>
              <w:spacing w:line="240" w:lineRule="auto" w:after="40"/>
              <w:ind w:firstLine="0"/>
            </w:pPr>
            <w:r/>
            <w:r>
              <w:rPr>
                <w:rFonts w:ascii="宋体" w:hAnsi="宋体" w:eastAsia="宋体" w:cs="宋体"/>
                <w:b w:val="0"/>
                <w:i w:val="0"/>
                <w:sz w:val="19"/>
              </w:rPr>
              <w:t>【待填】元 / 台</w:t>
            </w:r>
          </w:p>
        </w:tc>
        <w:tc>
          <w:tcPr>
            <w:tcW w:type="dxa" w:w="4309"/>
          </w:tcPr>
          <w:p>
            <w:pPr>
              <w:keepNext/>
              <w:spacing w:line="240" w:lineRule="auto" w:after="40"/>
              <w:ind w:firstLine="0"/>
            </w:pPr>
            <w:r/>
            <w:r>
              <w:rPr>
                <w:rFonts w:ascii="宋体" w:hAnsi="宋体" w:eastAsia="宋体" w:cs="宋体"/>
                <w:b w:val="0"/>
                <w:i w:val="0"/>
                <w:sz w:val="19"/>
              </w:rPr>
              <w:t>公开报价，需截图存档并记录访问日期</w:t>
            </w:r>
          </w:p>
        </w:tc>
      </w:tr>
      <w:tr>
        <w:trPr>
          <w:cantSplit/>
        </w:trPr>
        <w:tc>
          <w:tcPr>
            <w:tcW w:type="dxa" w:w="2381"/>
          </w:tcPr>
          <w:p>
            <w:pPr>
              <w:spacing w:line="240" w:lineRule="auto" w:after="40"/>
              <w:ind w:firstLine="0"/>
            </w:pPr>
            <w:r/>
            <w:r>
              <w:rPr>
                <w:rFonts w:ascii="宋体" w:hAnsi="宋体" w:eastAsia="宋体" w:cs="宋体"/>
                <w:b w:val="0"/>
                <w:i w:val="0"/>
                <w:sz w:val="19"/>
              </w:rPr>
              <w:t>智慧农业物联网平台</w:t>
            </w:r>
          </w:p>
        </w:tc>
        <w:tc>
          <w:tcPr>
            <w:tcW w:type="dxa" w:w="1928"/>
          </w:tcPr>
          <w:p>
            <w:pPr>
              <w:spacing w:line="240" w:lineRule="auto" w:after="40"/>
              <w:ind w:firstLine="0"/>
            </w:pPr>
            <w:r/>
            <w:r>
              <w:rPr>
                <w:rFonts w:ascii="宋体" w:hAnsi="宋体" w:eastAsia="宋体" w:cs="宋体"/>
                <w:b w:val="0"/>
                <w:i w:val="0"/>
                <w:sz w:val="19"/>
              </w:rPr>
              <w:t>【待填】元 / 年</w:t>
            </w:r>
          </w:p>
        </w:tc>
        <w:tc>
          <w:tcPr>
            <w:tcW w:type="dxa" w:w="4309"/>
          </w:tcPr>
          <w:p>
            <w:pPr>
              <w:spacing w:line="240" w:lineRule="auto" w:after="40"/>
              <w:ind w:firstLine="0"/>
            </w:pPr>
            <w:r/>
            <w:r>
              <w:rPr>
                <w:rFonts w:ascii="宋体" w:hAnsi="宋体" w:eastAsia="宋体" w:cs="宋体"/>
                <w:b w:val="0"/>
                <w:i w:val="0"/>
                <w:sz w:val="19"/>
              </w:rPr>
              <w:t>以环境与害虫监测为主，SaaS 订阅口径</w:t>
            </w:r>
          </w:p>
        </w:tc>
      </w:tr>
    </w:tbl>
    <w:p>
      <w:pPr>
        <w:pStyle w:val="Heading2"/>
        <w:keepNext/>
        <w:spacing w:line="312" w:lineRule="auto" w:before="200" w:after="120"/>
        <w:ind w:firstLine="0"/>
      </w:pPr>
      <w:r>
        <w:rPr>
          <w:rFonts w:ascii="宋体" w:hAnsi="宋体" w:eastAsia="宋体" w:cs="宋体"/>
          <w:b/>
          <w:i w:val="0"/>
          <w:color w:val="000000"/>
          <w:sz w:val="28"/>
        </w:rPr>
        <w:t>7.3 增长飞轮</w:t>
      </w:r>
    </w:p>
    <w:p>
      <w:pPr>
        <w:spacing w:line="276" w:lineRule="auto" w:before="200" w:after="120"/>
        <w:ind w:firstLine="0" w:left="360"/>
      </w:pPr>
      <w:r>
        <w:rPr>
          <w:rFonts w:ascii="宋体" w:hAnsi="宋体" w:eastAsia="宋体" w:cs="宋体"/>
          <w:b w:val="0"/>
          <w:i w:val="0"/>
          <w:sz w:val="18"/>
        </w:rPr>
        <w:t>① 免费 App（拍花识蜂、黄板拍照计数）触达种植户与蜂农，降低门槛</w:t>
        <w:br/>
        <w:t xml:space="preserve">        ↓</w:t>
        <w:br/>
        <w:t>② 用户上传观测数据，积累真实多模态有益生物数据与标注</w:t>
        <w:br/>
        <w:t xml:space="preserve">        ↓</w:t>
        <w:br/>
        <w:t>③ 数据反哺模型迭代与服务响应曲线标定，精度与可信度持续提升</w:t>
        <w:br/>
        <w:t xml:space="preserve">        ↓</w:t>
        <w:br/>
        <w:t>④ 可信度提升带来政府、认证机构与保险机构的付费意愿</w:t>
        <w:br/>
        <w:t xml:space="preserve">        ↓</w:t>
        <w:br/>
        <w:t>⑤ 示范项目带来更多客户与更多数据，回到第 ② 步</w:t>
      </w:r>
    </w:p>
    <w:p>
      <w:pPr>
        <w:keepNext w:val="0"/>
        <w:spacing w:line="312" w:lineRule="auto" w:before="0" w:after="80"/>
        <w:ind w:firstLine="480"/>
      </w:pPr>
      <w:r>
        <w:rPr>
          <w:rFonts w:ascii="宋体" w:hAnsi="宋体" w:eastAsia="宋体" w:cs="宋体"/>
          <w:b w:val="0"/>
          <w:i w:val="0"/>
          <w:sz w:val="24"/>
        </w:rPr>
        <w:t>飞轮的关键在于：免费版不只是引流工具，它在持续收集真实世界的有益生物观测数据与服务效果数据，形成竞品拿不到的数据壁垒。</w:t>
      </w:r>
    </w:p>
    <w:p>
      <w:pPr>
        <w:keepNext w:val="0"/>
        <w:spacing w:line="312" w:lineRule="auto" w:before="0" w:after="80"/>
        <w:ind w:firstLine="480"/>
      </w:pPr>
      <w:r>
        <w:rPr>
          <w:rFonts w:ascii="宋体" w:hAnsi="宋体" w:eastAsia="宋体" w:cs="宋体"/>
          <w:b/>
          <w:i w:val="0"/>
          <w:sz w:val="24"/>
        </w:rPr>
        <w:t>数据合规声明：仅采集非人目标与环境数据；地理坐标做脱敏处理；农户数据需明确授权、限定用途、支持删除；并提供完全离线的本地运行模式。</w:t>
      </w:r>
    </w:p>
    <w:p>
      <w:pPr>
        <w:pStyle w:val="Heading1"/>
        <w:keepNext/>
        <w:pageBreakBefore/>
        <w:spacing w:line="312" w:lineRule="auto" w:before="280" w:after="120"/>
        <w:ind w:firstLine="0"/>
      </w:pPr>
      <w:r>
        <w:rPr>
          <w:rFonts w:ascii="宋体" w:hAnsi="宋体" w:eastAsia="宋体" w:cs="宋体"/>
          <w:b/>
          <w:i w:val="0"/>
          <w:color w:val="000000"/>
          <w:sz w:val="32"/>
        </w:rPr>
        <w:t>第八章  营销与运营</w:t>
      </w:r>
    </w:p>
    <w:p>
      <w:pPr>
        <w:pStyle w:val="Heading2"/>
        <w:keepNext/>
        <w:spacing w:line="312" w:lineRule="auto" w:before="200" w:after="120"/>
        <w:ind w:firstLine="0"/>
      </w:pPr>
      <w:r>
        <w:rPr>
          <w:rFonts w:ascii="宋体" w:hAnsi="宋体" w:eastAsia="宋体" w:cs="宋体"/>
          <w:b/>
          <w:i w:val="0"/>
          <w:color w:val="000000"/>
          <w:sz w:val="28"/>
        </w:rPr>
        <w:t>8.1 获客路径：先做标杆，再做规模</w:t>
      </w:r>
    </w:p>
    <w:tbl>
      <w:tblPr>
        <w:tblStyle w:val="TableGrid"/>
        <w:tblW w:type="auto" w:w="0"/>
        <w:jc w:val="center"/>
        <w:tblLook w:firstColumn="1" w:firstRow="1" w:lastColumn="0" w:lastRow="0" w:noHBand="0" w:noVBand="1" w:val="04A0"/>
      </w:tblPr>
      <w:tblGrid>
        <w:gridCol w:w="2948"/>
        <w:gridCol w:w="2948"/>
        <w:gridCol w:w="2948"/>
      </w:tblGrid>
      <w:tr>
        <w:trPr>
          <w:cantSplit/>
          <w:tblHeader/>
        </w:trPr>
        <w:tc>
          <w:tcPr>
            <w:tcW w:type="dxa" w:w="1474"/>
            <w:shd w:val="clear" w:fill="EFEFEF"/>
          </w:tcPr>
          <w:p>
            <w:pPr>
              <w:keepNext/>
              <w:spacing w:line="240" w:lineRule="auto" w:after="40"/>
              <w:ind w:firstLine="0"/>
              <w:jc w:val="center"/>
            </w:pPr>
            <w:r/>
            <w:r>
              <w:rPr>
                <w:rFonts w:ascii="宋体" w:hAnsi="宋体" w:eastAsia="宋体" w:cs="宋体"/>
                <w:b/>
                <w:i w:val="0"/>
                <w:sz w:val="19"/>
              </w:rPr>
              <w:t>渠道</w:t>
            </w:r>
          </w:p>
        </w:tc>
        <w:tc>
          <w:tcPr>
            <w:tcW w:type="dxa" w:w="3742"/>
            <w:shd w:val="clear" w:fill="EFEFEF"/>
          </w:tcPr>
          <w:p>
            <w:pPr>
              <w:keepNext/>
              <w:spacing w:line="240" w:lineRule="auto" w:after="40"/>
              <w:ind w:firstLine="0"/>
              <w:jc w:val="center"/>
            </w:pPr>
            <w:r/>
            <w:r>
              <w:rPr>
                <w:rFonts w:ascii="宋体" w:hAnsi="宋体" w:eastAsia="宋体" w:cs="宋体"/>
                <w:b/>
                <w:i w:val="0"/>
                <w:sz w:val="19"/>
              </w:rPr>
              <w:t>具体动作</w:t>
            </w:r>
          </w:p>
        </w:tc>
        <w:tc>
          <w:tcPr>
            <w:tcW w:type="dxa" w:w="3402"/>
            <w:shd w:val="clear" w:fill="EFEFEF"/>
          </w:tcPr>
          <w:p>
            <w:pPr>
              <w:keepNext/>
              <w:spacing w:line="240" w:lineRule="auto" w:after="40"/>
              <w:ind w:firstLine="0"/>
              <w:jc w:val="center"/>
            </w:pPr>
            <w:r/>
            <w:r>
              <w:rPr>
                <w:rFonts w:ascii="宋体" w:hAnsi="宋体" w:eastAsia="宋体" w:cs="宋体"/>
                <w:b/>
                <w:i w:val="0"/>
                <w:sz w:val="19"/>
              </w:rPr>
              <w:t>预期作用</w:t>
            </w:r>
          </w:p>
        </w:tc>
      </w:tr>
      <w:tr>
        <w:trPr>
          <w:cantSplit/>
        </w:trPr>
        <w:tc>
          <w:tcPr>
            <w:tcW w:type="dxa" w:w="1474"/>
          </w:tcPr>
          <w:p>
            <w:pPr>
              <w:keepNext/>
              <w:spacing w:line="240" w:lineRule="auto" w:after="40"/>
              <w:ind w:firstLine="0"/>
            </w:pPr>
            <w:r/>
            <w:r>
              <w:rPr>
                <w:rFonts w:ascii="宋体" w:hAnsi="宋体" w:eastAsia="宋体" w:cs="宋体"/>
                <w:b w:val="0"/>
                <w:i w:val="0"/>
                <w:sz w:val="19"/>
              </w:rPr>
              <w:t>示范园区带动</w:t>
            </w:r>
          </w:p>
        </w:tc>
        <w:tc>
          <w:tcPr>
            <w:tcW w:type="dxa" w:w="3742"/>
          </w:tcPr>
          <w:p>
            <w:pPr>
              <w:keepNext/>
              <w:spacing w:line="240" w:lineRule="auto" w:after="40"/>
              <w:ind w:firstLine="0"/>
            </w:pPr>
            <w:r/>
            <w:r>
              <w:rPr>
                <w:rFonts w:ascii="宋体" w:hAnsi="宋体" w:eastAsia="宋体" w:cs="宋体"/>
                <w:b w:val="0"/>
                <w:i w:val="0"/>
                <w:sz w:val="19"/>
              </w:rPr>
              <w:t>第一年集中资源做 2–3 个可参观的示范点，用增产与减药实测数据说话</w:t>
            </w:r>
          </w:p>
        </w:tc>
        <w:tc>
          <w:tcPr>
            <w:tcW w:type="dxa" w:w="3402"/>
          </w:tcPr>
          <w:p>
            <w:pPr>
              <w:keepNext/>
              <w:spacing w:line="240" w:lineRule="auto" w:after="40"/>
              <w:ind w:firstLine="0"/>
            </w:pPr>
            <w:r/>
            <w:r>
              <w:rPr>
                <w:rFonts w:ascii="宋体" w:hAnsi="宋体" w:eastAsia="宋体" w:cs="宋体"/>
                <w:b w:val="0"/>
                <w:i w:val="0"/>
                <w:sz w:val="19"/>
              </w:rPr>
              <w:t>★ 主要获客来源，也是全部宣传素材的来源</w:t>
            </w:r>
          </w:p>
        </w:tc>
      </w:tr>
      <w:tr>
        <w:trPr>
          <w:cantSplit/>
        </w:trPr>
        <w:tc>
          <w:tcPr>
            <w:tcW w:type="dxa" w:w="1474"/>
          </w:tcPr>
          <w:p>
            <w:pPr>
              <w:keepNext/>
              <w:spacing w:line="240" w:lineRule="auto" w:after="40"/>
              <w:ind w:firstLine="0"/>
            </w:pPr>
            <w:r/>
            <w:r>
              <w:rPr>
                <w:rFonts w:ascii="宋体" w:hAnsi="宋体" w:eastAsia="宋体" w:cs="宋体"/>
                <w:b w:val="0"/>
                <w:i w:val="0"/>
                <w:sz w:val="19"/>
              </w:rPr>
              <w:t>农技推广体系</w:t>
            </w:r>
          </w:p>
        </w:tc>
        <w:tc>
          <w:tcPr>
            <w:tcW w:type="dxa" w:w="3742"/>
          </w:tcPr>
          <w:p>
            <w:pPr>
              <w:keepNext/>
              <w:spacing w:line="240" w:lineRule="auto" w:after="40"/>
              <w:ind w:firstLine="0"/>
            </w:pPr>
            <w:r/>
            <w:r>
              <w:rPr>
                <w:rFonts w:ascii="宋体" w:hAnsi="宋体" w:eastAsia="宋体" w:cs="宋体"/>
                <w:b w:val="0"/>
                <w:i w:val="0"/>
                <w:sz w:val="19"/>
              </w:rPr>
              <w:t>对接县农技推广站，把方案纳入绿色防控技术推广清单</w:t>
            </w:r>
          </w:p>
        </w:tc>
        <w:tc>
          <w:tcPr>
            <w:tcW w:type="dxa" w:w="3402"/>
          </w:tcPr>
          <w:p>
            <w:pPr>
              <w:keepNext/>
              <w:spacing w:line="240" w:lineRule="auto" w:after="40"/>
              <w:ind w:firstLine="0"/>
            </w:pPr>
            <w:r/>
            <w:r>
              <w:rPr>
                <w:rFonts w:ascii="宋体" w:hAnsi="宋体" w:eastAsia="宋体" w:cs="宋体"/>
                <w:b w:val="0"/>
                <w:i w:val="0"/>
                <w:sz w:val="19"/>
              </w:rPr>
              <w:t>覆盖合作社与种植大户，降低获客成本</w:t>
            </w:r>
          </w:p>
        </w:tc>
      </w:tr>
      <w:tr>
        <w:trPr>
          <w:cantSplit/>
        </w:trPr>
        <w:tc>
          <w:tcPr>
            <w:tcW w:type="dxa" w:w="1474"/>
          </w:tcPr>
          <w:p>
            <w:pPr>
              <w:keepNext/>
              <w:spacing w:line="240" w:lineRule="auto" w:after="40"/>
              <w:ind w:firstLine="0"/>
            </w:pPr>
            <w:r/>
            <w:r>
              <w:rPr>
                <w:rFonts w:ascii="宋体" w:hAnsi="宋体" w:eastAsia="宋体" w:cs="宋体"/>
                <w:b w:val="0"/>
                <w:i w:val="0"/>
                <w:sz w:val="19"/>
              </w:rPr>
              <w:t>行业协会与展会</w:t>
            </w:r>
          </w:p>
        </w:tc>
        <w:tc>
          <w:tcPr>
            <w:tcW w:type="dxa" w:w="3742"/>
          </w:tcPr>
          <w:p>
            <w:pPr>
              <w:keepNext/>
              <w:spacing w:line="240" w:lineRule="auto" w:after="40"/>
              <w:ind w:firstLine="0"/>
            </w:pPr>
            <w:r/>
            <w:r>
              <w:rPr>
                <w:rFonts w:ascii="宋体" w:hAnsi="宋体" w:eastAsia="宋体" w:cs="宋体"/>
                <w:b w:val="0"/>
                <w:i w:val="0"/>
                <w:sz w:val="19"/>
              </w:rPr>
              <w:t>蜂产业、植保、林业行业协会；农业与林业展会</w:t>
            </w:r>
          </w:p>
        </w:tc>
        <w:tc>
          <w:tcPr>
            <w:tcW w:type="dxa" w:w="3402"/>
          </w:tcPr>
          <w:p>
            <w:pPr>
              <w:keepNext/>
              <w:spacing w:line="240" w:lineRule="auto" w:after="40"/>
              <w:ind w:firstLine="0"/>
            </w:pPr>
            <w:r/>
            <w:r>
              <w:rPr>
                <w:rFonts w:ascii="宋体" w:hAnsi="宋体" w:eastAsia="宋体" w:cs="宋体"/>
                <w:b w:val="0"/>
                <w:i w:val="0"/>
                <w:sz w:val="19"/>
              </w:rPr>
              <w:t>对接政府与企业客户</w:t>
            </w:r>
          </w:p>
        </w:tc>
      </w:tr>
      <w:tr>
        <w:trPr>
          <w:cantSplit/>
        </w:trPr>
        <w:tc>
          <w:tcPr>
            <w:tcW w:type="dxa" w:w="1474"/>
          </w:tcPr>
          <w:p>
            <w:pPr>
              <w:keepNext/>
              <w:spacing w:line="240" w:lineRule="auto" w:after="40"/>
              <w:ind w:firstLine="0"/>
            </w:pPr>
            <w:r/>
            <w:r>
              <w:rPr>
                <w:rFonts w:ascii="宋体" w:hAnsi="宋体" w:eastAsia="宋体" w:cs="宋体"/>
                <w:b w:val="0"/>
                <w:i w:val="0"/>
                <w:sz w:val="19"/>
              </w:rPr>
              <w:t>免费 App</w:t>
            </w:r>
          </w:p>
        </w:tc>
        <w:tc>
          <w:tcPr>
            <w:tcW w:type="dxa" w:w="3742"/>
          </w:tcPr>
          <w:p>
            <w:pPr>
              <w:keepNext/>
              <w:spacing w:line="240" w:lineRule="auto" w:after="40"/>
              <w:ind w:firstLine="0"/>
            </w:pPr>
            <w:r/>
            <w:r>
              <w:rPr>
                <w:rFonts w:ascii="宋体" w:hAnsi="宋体" w:eastAsia="宋体" w:cs="宋体"/>
                <w:b w:val="0"/>
                <w:i w:val="0"/>
                <w:sz w:val="19"/>
              </w:rPr>
              <w:t>拍花识蜂、黄板拍照计数等轻量功能免费开放</w:t>
            </w:r>
          </w:p>
        </w:tc>
        <w:tc>
          <w:tcPr>
            <w:tcW w:type="dxa" w:w="3402"/>
          </w:tcPr>
          <w:p>
            <w:pPr>
              <w:keepNext/>
              <w:spacing w:line="240" w:lineRule="auto" w:after="40"/>
              <w:ind w:firstLine="0"/>
            </w:pPr>
            <w:r/>
            <w:r>
              <w:rPr>
                <w:rFonts w:ascii="宋体" w:hAnsi="宋体" w:eastAsia="宋体" w:cs="宋体"/>
                <w:b w:val="0"/>
                <w:i w:val="0"/>
                <w:sz w:val="19"/>
              </w:rPr>
              <w:t>触达长尾用户，同时回流数据</w:t>
            </w:r>
          </w:p>
        </w:tc>
      </w:tr>
      <w:tr>
        <w:trPr>
          <w:cantSplit/>
        </w:trPr>
        <w:tc>
          <w:tcPr>
            <w:tcW w:type="dxa" w:w="1474"/>
          </w:tcPr>
          <w:p>
            <w:pPr>
              <w:spacing w:line="240" w:lineRule="auto" w:after="40"/>
              <w:ind w:firstLine="0"/>
            </w:pPr>
            <w:r/>
            <w:r>
              <w:rPr>
                <w:rFonts w:ascii="宋体" w:hAnsi="宋体" w:eastAsia="宋体" w:cs="宋体"/>
                <w:b w:val="0"/>
                <w:i w:val="0"/>
                <w:sz w:val="19"/>
              </w:rPr>
              <w:t>政府项目</w:t>
            </w:r>
          </w:p>
        </w:tc>
        <w:tc>
          <w:tcPr>
            <w:tcW w:type="dxa" w:w="3742"/>
          </w:tcPr>
          <w:p>
            <w:pPr>
              <w:spacing w:line="240" w:lineRule="auto" w:after="40"/>
              <w:ind w:firstLine="0"/>
            </w:pPr>
            <w:r/>
            <w:r>
              <w:rPr>
                <w:rFonts w:ascii="宋体" w:hAnsi="宋体" w:eastAsia="宋体" w:cs="宋体"/>
                <w:b w:val="0"/>
                <w:i w:val="0"/>
                <w:sz w:val="19"/>
              </w:rPr>
              <w:t>主动对接生态补偿、GEP 核算、监测网络建设项目</w:t>
            </w:r>
          </w:p>
        </w:tc>
        <w:tc>
          <w:tcPr>
            <w:tcW w:type="dxa" w:w="3402"/>
          </w:tcPr>
          <w:p>
            <w:pPr>
              <w:spacing w:line="240" w:lineRule="auto" w:after="40"/>
              <w:ind w:firstLine="0"/>
            </w:pPr>
            <w:r/>
            <w:r>
              <w:rPr>
                <w:rFonts w:ascii="宋体" w:hAnsi="宋体" w:eastAsia="宋体" w:cs="宋体"/>
                <w:b w:val="0"/>
                <w:i w:val="0"/>
                <w:sz w:val="19"/>
              </w:rPr>
              <w:t>单项目金额高，形成标杆案例</w:t>
            </w:r>
          </w:p>
        </w:tc>
      </w:tr>
    </w:tbl>
    <w:p>
      <w:pPr>
        <w:pStyle w:val="Heading2"/>
        <w:keepNext/>
        <w:spacing w:line="312" w:lineRule="auto" w:before="200" w:after="120"/>
        <w:ind w:firstLine="0"/>
      </w:pPr>
      <w:r>
        <w:rPr>
          <w:rFonts w:ascii="宋体" w:hAnsi="宋体" w:eastAsia="宋体" w:cs="宋体"/>
          <w:b/>
          <w:i w:val="0"/>
          <w:color w:val="000000"/>
          <w:sz w:val="28"/>
        </w:rPr>
        <w:t>8.2 交付与运维</w:t>
      </w:r>
    </w:p>
    <w:p>
      <w:pPr>
        <w:keepNext w:val="0"/>
        <w:spacing w:line="312" w:lineRule="auto" w:before="120" w:after="80"/>
        <w:ind w:firstLine="480"/>
      </w:pPr>
      <w:r>
        <w:rPr>
          <w:rFonts w:ascii="宋体" w:hAnsi="宋体" w:eastAsia="宋体" w:cs="宋体"/>
          <w:b w:val="0"/>
          <w:i w:val="0"/>
          <w:sz w:val="24"/>
        </w:rPr>
        <w:t>硬件类项目的真实成本大头往往在交付与运维，这一点必须在材料里说清楚，否则财务测算会被质疑。我们的做法是：</w:t>
      </w:r>
    </w:p>
    <w:p>
      <w:pPr>
        <w:pStyle w:val="ListBullet"/>
        <w:spacing w:line="312" w:lineRule="auto" w:before="0" w:after="60"/>
        <w:ind w:left="480" w:firstLine="0"/>
      </w:pPr>
      <w:r>
        <w:rPr>
          <w:rFonts w:ascii="宋体" w:hAnsi="宋体" w:eastAsia="宋体" w:cs="宋体"/>
          <w:b w:val="0"/>
          <w:i w:val="0"/>
          <w:sz w:val="24"/>
        </w:rPr>
        <w:t>节点采用低功耗设计与太阳能供电，目标是连续无维护工作 30 天以上，把运维频次压到最低。</w:t>
      </w:r>
    </w:p>
    <w:p>
      <w:pPr>
        <w:pStyle w:val="ListBullet"/>
        <w:spacing w:line="312" w:lineRule="auto" w:before="0" w:after="60"/>
        <w:ind w:left="480" w:firstLine="0"/>
      </w:pPr>
      <w:r>
        <w:rPr>
          <w:rFonts w:ascii="宋体" w:hAnsi="宋体" w:eastAsia="宋体" w:cs="宋体"/>
          <w:b w:val="0"/>
          <w:i w:val="0"/>
          <w:sz w:val="24"/>
        </w:rPr>
        <w:t>安装简化到"立杆或树挂 + 扫码绑定"，由合作方人员即可完成，不需要我方工程师到场。</w:t>
      </w:r>
    </w:p>
    <w:p>
      <w:pPr>
        <w:pStyle w:val="ListBullet"/>
        <w:spacing w:line="312" w:lineRule="auto" w:before="0" w:after="60"/>
        <w:ind w:left="480" w:firstLine="0"/>
      </w:pPr>
      <w:r>
        <w:rPr>
          <w:rFonts w:ascii="宋体" w:hAnsi="宋体" w:eastAsia="宋体" w:cs="宋体"/>
          <w:b w:val="0"/>
          <w:i w:val="0"/>
          <w:sz w:val="24"/>
        </w:rPr>
        <w:t>核算报告按年度出具，是客户的年度刚需，因此天然形成续费与续约。</w:t>
      </w:r>
    </w:p>
    <w:p>
      <w:pPr>
        <w:pStyle w:val="ListBullet"/>
        <w:spacing w:line="312" w:lineRule="auto" w:before="0" w:after="60"/>
        <w:ind w:left="480" w:firstLine="0"/>
      </w:pPr>
      <w:r>
        <w:rPr>
          <w:rFonts w:ascii="宋体" w:hAnsi="宋体" w:eastAsia="宋体" w:cs="宋体"/>
          <w:b w:val="0"/>
          <w:i w:val="0"/>
          <w:sz w:val="24"/>
        </w:rPr>
        <w:t>运维数据同时回流，用于故障预警与固件迭代，形成正向循环。</w:t>
      </w:r>
    </w:p>
    <w:p>
      <w:pPr>
        <w:pStyle w:val="Heading2"/>
        <w:keepNext/>
        <w:spacing w:line="312" w:lineRule="auto" w:before="200" w:after="120"/>
        <w:ind w:firstLine="0"/>
      </w:pPr>
      <w:r>
        <w:rPr>
          <w:rFonts w:ascii="宋体" w:hAnsi="宋体" w:eastAsia="宋体" w:cs="宋体"/>
          <w:b/>
          <w:i w:val="0"/>
          <w:color w:val="000000"/>
          <w:sz w:val="28"/>
        </w:rPr>
        <w:t>8.3 客户成功与续费</w:t>
      </w:r>
    </w:p>
    <w:p>
      <w:pPr>
        <w:keepNext w:val="0"/>
        <w:spacing w:line="312" w:lineRule="auto" w:before="0" w:after="80"/>
        <w:ind w:firstLine="480"/>
      </w:pPr>
      <w:r>
        <w:rPr>
          <w:rFonts w:ascii="宋体" w:hAnsi="宋体" w:eastAsia="宋体" w:cs="宋体"/>
          <w:b w:val="0"/>
          <w:i w:val="0"/>
          <w:sz w:val="24"/>
        </w:rPr>
        <w:t>我们的续费逻辑不是"续订软件"，而是"每年都要出一份报告"。生态补偿、认证与保险都需要年度数据，这使收入具备年度重复性。客户成功的关键指标是：报告是否被采用（进了补偿方案、认证材料或保险条款）。一旦被采用，替换成本会迅速上升。</w:t>
      </w:r>
    </w:p>
    <w:p>
      <w:pPr>
        <w:pStyle w:val="Heading1"/>
        <w:keepNext/>
        <w:pageBreakBefore/>
        <w:spacing w:line="312" w:lineRule="auto" w:before="280" w:after="120"/>
        <w:ind w:firstLine="0"/>
      </w:pPr>
      <w:r>
        <w:rPr>
          <w:rFonts w:ascii="宋体" w:hAnsi="宋体" w:eastAsia="宋体" w:cs="宋体"/>
          <w:b/>
          <w:i w:val="0"/>
          <w:color w:val="000000"/>
          <w:sz w:val="32"/>
        </w:rPr>
        <w:t>第九章  团队</w:t>
      </w:r>
    </w:p>
    <w:p>
      <w:pPr>
        <w:pStyle w:val="Heading2"/>
        <w:keepNext/>
        <w:spacing w:line="312" w:lineRule="auto" w:before="200" w:after="120"/>
        <w:ind w:firstLine="0"/>
      </w:pPr>
      <w:r>
        <w:rPr>
          <w:rFonts w:ascii="宋体" w:hAnsi="宋体" w:eastAsia="宋体" w:cs="宋体"/>
          <w:b/>
          <w:i w:val="0"/>
          <w:color w:val="000000"/>
          <w:sz w:val="28"/>
        </w:rPr>
        <w:t>9.1 团队构成</w:t>
      </w:r>
    </w:p>
    <w:tbl>
      <w:tblPr>
        <w:tblStyle w:val="TableGrid"/>
        <w:tblW w:type="auto" w:w="0"/>
        <w:jc w:val="center"/>
        <w:tblLook w:firstColumn="1" w:firstRow="1" w:lastColumn="0" w:lastRow="0" w:noHBand="0" w:noVBand="1" w:val="04A0"/>
      </w:tblPr>
      <w:tblGrid>
        <w:gridCol w:w="2211"/>
        <w:gridCol w:w="2211"/>
        <w:gridCol w:w="2211"/>
        <w:gridCol w:w="2211"/>
      </w:tblGrid>
      <w:tr>
        <w:trPr>
          <w:cantSplit/>
          <w:tblHeader/>
        </w:trPr>
        <w:tc>
          <w:tcPr>
            <w:tcW w:type="dxa" w:w="1701"/>
            <w:shd w:val="clear" w:fill="EFEFEF"/>
          </w:tcPr>
          <w:p>
            <w:pPr>
              <w:keepNext/>
              <w:spacing w:line="240" w:lineRule="auto" w:after="40"/>
              <w:ind w:firstLine="0"/>
              <w:jc w:val="center"/>
            </w:pPr>
            <w:r/>
            <w:r>
              <w:rPr>
                <w:rFonts w:ascii="宋体" w:hAnsi="宋体" w:eastAsia="宋体" w:cs="宋体"/>
                <w:b/>
                <w:i w:val="0"/>
                <w:sz w:val="18"/>
              </w:rPr>
              <w:t>组别</w:t>
            </w:r>
          </w:p>
        </w:tc>
        <w:tc>
          <w:tcPr>
            <w:tcW w:type="dxa" w:w="1020"/>
            <w:shd w:val="clear" w:fill="EFEFEF"/>
          </w:tcPr>
          <w:p>
            <w:pPr>
              <w:keepNext/>
              <w:spacing w:line="240" w:lineRule="auto" w:after="40"/>
              <w:ind w:firstLine="0"/>
              <w:jc w:val="center"/>
            </w:pPr>
            <w:r/>
            <w:r>
              <w:rPr>
                <w:rFonts w:ascii="宋体" w:hAnsi="宋体" w:eastAsia="宋体" w:cs="宋体"/>
                <w:b/>
                <w:i w:val="0"/>
                <w:sz w:val="18"/>
              </w:rPr>
              <w:t>人数</w:t>
            </w:r>
          </w:p>
        </w:tc>
        <w:tc>
          <w:tcPr>
            <w:tcW w:type="dxa" w:w="4535"/>
            <w:shd w:val="clear" w:fill="EFEFEF"/>
          </w:tcPr>
          <w:p>
            <w:pPr>
              <w:keepNext/>
              <w:spacing w:line="240" w:lineRule="auto" w:after="40"/>
              <w:ind w:firstLine="0"/>
              <w:jc w:val="center"/>
            </w:pPr>
            <w:r/>
            <w:r>
              <w:rPr>
                <w:rFonts w:ascii="宋体" w:hAnsi="宋体" w:eastAsia="宋体" w:cs="宋体"/>
                <w:b/>
                <w:i w:val="0"/>
                <w:sz w:val="18"/>
              </w:rPr>
              <w:t>核心职责</w:t>
            </w:r>
          </w:p>
        </w:tc>
        <w:tc>
          <w:tcPr>
            <w:tcW w:type="dxa" w:w="1361"/>
            <w:shd w:val="clear" w:fill="EFEFEF"/>
          </w:tcPr>
          <w:p>
            <w:pPr>
              <w:keepNext/>
              <w:spacing w:line="240" w:lineRule="auto" w:after="40"/>
              <w:ind w:firstLine="0"/>
              <w:jc w:val="center"/>
            </w:pPr>
            <w:r/>
            <w:r>
              <w:rPr>
                <w:rFonts w:ascii="宋体" w:hAnsi="宋体" w:eastAsia="宋体" w:cs="宋体"/>
                <w:b/>
                <w:i w:val="0"/>
                <w:sz w:val="18"/>
              </w:rPr>
              <w:t>负责人</w:t>
            </w:r>
          </w:p>
        </w:tc>
      </w:tr>
      <w:tr>
        <w:trPr>
          <w:cantSplit/>
        </w:trPr>
        <w:tc>
          <w:tcPr>
            <w:tcW w:type="dxa" w:w="1701"/>
          </w:tcPr>
          <w:p>
            <w:pPr>
              <w:keepNext/>
              <w:spacing w:line="240" w:lineRule="auto" w:after="40"/>
              <w:ind w:firstLine="0"/>
            </w:pPr>
            <w:r/>
            <w:r>
              <w:rPr>
                <w:rFonts w:ascii="宋体" w:hAnsi="宋体" w:eastAsia="宋体" w:cs="宋体"/>
                <w:b w:val="0"/>
                <w:i w:val="0"/>
                <w:sz w:val="18"/>
              </w:rPr>
              <w:t>算法组（声学 / 视觉）</w:t>
            </w:r>
          </w:p>
        </w:tc>
        <w:tc>
          <w:tcPr>
            <w:tcW w:type="dxa" w:w="1020"/>
          </w:tcPr>
          <w:p>
            <w:pPr>
              <w:keepNext/>
              <w:spacing w:line="240" w:lineRule="auto" w:after="40"/>
              <w:ind w:firstLine="0"/>
            </w:pPr>
            <w:r/>
            <w:r>
              <w:rPr>
                <w:rFonts w:ascii="宋体" w:hAnsi="宋体" w:eastAsia="宋体" w:cs="宋体"/>
                <w:b w:val="0"/>
                <w:i w:val="0"/>
                <w:sz w:val="18"/>
              </w:rPr>
              <w:t>2</w:t>
            </w:r>
          </w:p>
        </w:tc>
        <w:tc>
          <w:tcPr>
            <w:tcW w:type="dxa" w:w="4535"/>
          </w:tcPr>
          <w:p>
            <w:pPr>
              <w:keepNext/>
              <w:spacing w:line="240" w:lineRule="auto" w:after="40"/>
              <w:ind w:firstLine="0"/>
            </w:pPr>
            <w:r/>
            <w:r>
              <w:rPr>
                <w:rFonts w:ascii="宋体" w:hAnsi="宋体" w:eastAsia="宋体" w:cs="宋体"/>
                <w:b w:val="0"/>
                <w:i w:val="0"/>
                <w:sz w:val="18"/>
              </w:rPr>
              <w:t>声学事件检测与分类、视觉检测与计数、跨模态一致性融合</w:t>
            </w:r>
          </w:p>
        </w:tc>
        <w:tc>
          <w:tcPr>
            <w:tcW w:type="dxa" w:w="1361"/>
          </w:tcPr>
          <w:p>
            <w:pPr>
              <w:keepNext/>
              <w:spacing w:line="240" w:lineRule="auto" w:after="40"/>
              <w:ind w:firstLine="0"/>
            </w:pPr>
            <w:r/>
            <w:r>
              <w:rPr>
                <w:rFonts w:ascii="宋体" w:hAnsi="宋体" w:eastAsia="宋体" w:cs="宋体"/>
                <w:b w:val="0"/>
                <w:i w:val="0"/>
                <w:sz w:val="18"/>
              </w:rPr>
              <w:t>【待填】</w:t>
            </w:r>
          </w:p>
        </w:tc>
      </w:tr>
      <w:tr>
        <w:trPr>
          <w:cantSplit/>
        </w:trPr>
        <w:tc>
          <w:tcPr>
            <w:tcW w:type="dxa" w:w="1701"/>
          </w:tcPr>
          <w:p>
            <w:pPr>
              <w:keepNext/>
              <w:spacing w:line="240" w:lineRule="auto" w:after="40"/>
              <w:ind w:firstLine="0"/>
            </w:pPr>
            <w:r/>
            <w:r>
              <w:rPr>
                <w:rFonts w:ascii="宋体" w:hAnsi="宋体" w:eastAsia="宋体" w:cs="宋体"/>
                <w:b w:val="0"/>
                <w:i w:val="0"/>
                <w:sz w:val="18"/>
              </w:rPr>
              <w:t>嵌入式与硬件组</w:t>
            </w:r>
          </w:p>
        </w:tc>
        <w:tc>
          <w:tcPr>
            <w:tcW w:type="dxa" w:w="1020"/>
          </w:tcPr>
          <w:p>
            <w:pPr>
              <w:keepNext/>
              <w:spacing w:line="240" w:lineRule="auto" w:after="40"/>
              <w:ind w:firstLine="0"/>
            </w:pPr>
            <w:r/>
            <w:r>
              <w:rPr>
                <w:rFonts w:ascii="宋体" w:hAnsi="宋体" w:eastAsia="宋体" w:cs="宋体"/>
                <w:b w:val="0"/>
                <w:i w:val="0"/>
                <w:sz w:val="18"/>
              </w:rPr>
              <w:t>1–2</w:t>
            </w:r>
          </w:p>
        </w:tc>
        <w:tc>
          <w:tcPr>
            <w:tcW w:type="dxa" w:w="4535"/>
          </w:tcPr>
          <w:p>
            <w:pPr>
              <w:keepNext/>
              <w:spacing w:line="240" w:lineRule="auto" w:after="40"/>
              <w:ind w:firstLine="0"/>
            </w:pPr>
            <w:r/>
            <w:r>
              <w:rPr>
                <w:rFonts w:ascii="宋体" w:hAnsi="宋体" w:eastAsia="宋体" w:cs="宋体"/>
                <w:b w:val="0"/>
                <w:i w:val="0"/>
                <w:sz w:val="18"/>
              </w:rPr>
              <w:t>边缘节点硬件设计、低功耗与供电、网络通信、模型边缘部署</w:t>
            </w:r>
          </w:p>
        </w:tc>
        <w:tc>
          <w:tcPr>
            <w:tcW w:type="dxa" w:w="1361"/>
          </w:tcPr>
          <w:p>
            <w:pPr>
              <w:keepNext/>
              <w:spacing w:line="240" w:lineRule="auto" w:after="40"/>
              <w:ind w:firstLine="0"/>
            </w:pPr>
            <w:r/>
            <w:r>
              <w:rPr>
                <w:rFonts w:ascii="宋体" w:hAnsi="宋体" w:eastAsia="宋体" w:cs="宋体"/>
                <w:b w:val="0"/>
                <w:i w:val="0"/>
                <w:sz w:val="18"/>
              </w:rPr>
              <w:t>【待填】</w:t>
            </w:r>
          </w:p>
        </w:tc>
      </w:tr>
      <w:tr>
        <w:trPr>
          <w:cantSplit/>
        </w:trPr>
        <w:tc>
          <w:tcPr>
            <w:tcW w:type="dxa" w:w="1701"/>
          </w:tcPr>
          <w:p>
            <w:pPr>
              <w:keepNext/>
              <w:spacing w:line="240" w:lineRule="auto" w:after="40"/>
              <w:ind w:firstLine="0"/>
            </w:pPr>
            <w:r/>
            <w:r>
              <w:rPr>
                <w:rFonts w:ascii="宋体" w:hAnsi="宋体" w:eastAsia="宋体" w:cs="宋体"/>
                <w:b w:val="0"/>
                <w:i w:val="0"/>
                <w:sz w:val="18"/>
              </w:rPr>
              <w:t>生态与农林组</w:t>
            </w:r>
          </w:p>
        </w:tc>
        <w:tc>
          <w:tcPr>
            <w:tcW w:type="dxa" w:w="1020"/>
          </w:tcPr>
          <w:p>
            <w:pPr>
              <w:keepNext/>
              <w:spacing w:line="240" w:lineRule="auto" w:after="40"/>
              <w:ind w:firstLine="0"/>
            </w:pPr>
            <w:r/>
            <w:r>
              <w:rPr>
                <w:rFonts w:ascii="宋体" w:hAnsi="宋体" w:eastAsia="宋体" w:cs="宋体"/>
                <w:b w:val="0"/>
                <w:i w:val="0"/>
                <w:sz w:val="18"/>
              </w:rPr>
              <w:t>1–2</w:t>
            </w:r>
          </w:p>
        </w:tc>
        <w:tc>
          <w:tcPr>
            <w:tcW w:type="dxa" w:w="4535"/>
          </w:tcPr>
          <w:p>
            <w:pPr>
              <w:keepNext/>
              <w:spacing w:line="240" w:lineRule="auto" w:after="40"/>
              <w:ind w:firstLine="0"/>
            </w:pPr>
            <w:r/>
            <w:r>
              <w:rPr>
                <w:rFonts w:ascii="宋体" w:hAnsi="宋体" w:eastAsia="宋体" w:cs="宋体"/>
                <w:b w:val="0"/>
                <w:i w:val="0"/>
                <w:sz w:val="18"/>
              </w:rPr>
              <w:t>功能群划分与识别策略、田间试验设计、群落指标与生态服务核算（★ 本项目区别于纯技术团队的关键）</w:t>
            </w:r>
          </w:p>
        </w:tc>
        <w:tc>
          <w:tcPr>
            <w:tcW w:type="dxa" w:w="1361"/>
          </w:tcPr>
          <w:p>
            <w:pPr>
              <w:keepNext/>
              <w:spacing w:line="240" w:lineRule="auto" w:after="40"/>
              <w:ind w:firstLine="0"/>
            </w:pPr>
            <w:r/>
            <w:r>
              <w:rPr>
                <w:rFonts w:ascii="宋体" w:hAnsi="宋体" w:eastAsia="宋体" w:cs="宋体"/>
                <w:b w:val="0"/>
                <w:i w:val="0"/>
                <w:sz w:val="18"/>
              </w:rPr>
              <w:t>【待填】</w:t>
            </w:r>
          </w:p>
        </w:tc>
      </w:tr>
      <w:tr>
        <w:trPr>
          <w:cantSplit/>
        </w:trPr>
        <w:tc>
          <w:tcPr>
            <w:tcW w:type="dxa" w:w="1701"/>
          </w:tcPr>
          <w:p>
            <w:pPr>
              <w:keepNext/>
              <w:spacing w:line="240" w:lineRule="auto" w:after="40"/>
              <w:ind w:firstLine="0"/>
            </w:pPr>
            <w:r/>
            <w:r>
              <w:rPr>
                <w:rFonts w:ascii="宋体" w:hAnsi="宋体" w:eastAsia="宋体" w:cs="宋体"/>
                <w:b w:val="0"/>
                <w:i w:val="0"/>
                <w:sz w:val="18"/>
              </w:rPr>
              <w:t>数据与平台组</w:t>
            </w:r>
          </w:p>
        </w:tc>
        <w:tc>
          <w:tcPr>
            <w:tcW w:type="dxa" w:w="1020"/>
          </w:tcPr>
          <w:p>
            <w:pPr>
              <w:keepNext/>
              <w:spacing w:line="240" w:lineRule="auto" w:after="40"/>
              <w:ind w:firstLine="0"/>
            </w:pPr>
            <w:r/>
            <w:r>
              <w:rPr>
                <w:rFonts w:ascii="宋体" w:hAnsi="宋体" w:eastAsia="宋体" w:cs="宋体"/>
                <w:b w:val="0"/>
                <w:i w:val="0"/>
                <w:sz w:val="18"/>
              </w:rPr>
              <w:t>1</w:t>
            </w:r>
          </w:p>
        </w:tc>
        <w:tc>
          <w:tcPr>
            <w:tcW w:type="dxa" w:w="4535"/>
          </w:tcPr>
          <w:p>
            <w:pPr>
              <w:keepNext/>
              <w:spacing w:line="240" w:lineRule="auto" w:after="40"/>
              <w:ind w:firstLine="0"/>
            </w:pPr>
            <w:r/>
            <w:r>
              <w:rPr>
                <w:rFonts w:ascii="宋体" w:hAnsi="宋体" w:eastAsia="宋体" w:cs="宋体"/>
                <w:b w:val="0"/>
                <w:i w:val="0"/>
                <w:sz w:val="18"/>
              </w:rPr>
              <w:t>云平台与数据库、App 与 Web 看板、数据合规方案</w:t>
            </w:r>
          </w:p>
        </w:tc>
        <w:tc>
          <w:tcPr>
            <w:tcW w:type="dxa" w:w="1361"/>
          </w:tcPr>
          <w:p>
            <w:pPr>
              <w:keepNext/>
              <w:spacing w:line="240" w:lineRule="auto" w:after="40"/>
              <w:ind w:firstLine="0"/>
            </w:pPr>
            <w:r/>
            <w:r>
              <w:rPr>
                <w:rFonts w:ascii="宋体" w:hAnsi="宋体" w:eastAsia="宋体" w:cs="宋体"/>
                <w:b w:val="0"/>
                <w:i w:val="0"/>
                <w:sz w:val="18"/>
              </w:rPr>
              <w:t>【待填】</w:t>
            </w:r>
          </w:p>
        </w:tc>
      </w:tr>
      <w:tr>
        <w:trPr>
          <w:cantSplit/>
        </w:trPr>
        <w:tc>
          <w:tcPr>
            <w:tcW w:type="dxa" w:w="1701"/>
          </w:tcPr>
          <w:p>
            <w:pPr>
              <w:keepNext/>
              <w:spacing w:line="240" w:lineRule="auto" w:after="40"/>
              <w:ind w:firstLine="0"/>
            </w:pPr>
            <w:r/>
            <w:r>
              <w:rPr>
                <w:rFonts w:ascii="宋体" w:hAnsi="宋体" w:eastAsia="宋体" w:cs="宋体"/>
                <w:b w:val="0"/>
                <w:i w:val="0"/>
                <w:sz w:val="18"/>
              </w:rPr>
              <w:t>商业组</w:t>
            </w:r>
          </w:p>
        </w:tc>
        <w:tc>
          <w:tcPr>
            <w:tcW w:type="dxa" w:w="1020"/>
          </w:tcPr>
          <w:p>
            <w:pPr>
              <w:keepNext/>
              <w:spacing w:line="240" w:lineRule="auto" w:after="40"/>
              <w:ind w:firstLine="0"/>
            </w:pPr>
            <w:r/>
            <w:r>
              <w:rPr>
                <w:rFonts w:ascii="宋体" w:hAnsi="宋体" w:eastAsia="宋体" w:cs="宋体"/>
                <w:b w:val="0"/>
                <w:i w:val="0"/>
                <w:sz w:val="18"/>
              </w:rPr>
              <w:t>1–2</w:t>
            </w:r>
          </w:p>
        </w:tc>
        <w:tc>
          <w:tcPr>
            <w:tcW w:type="dxa" w:w="4535"/>
          </w:tcPr>
          <w:p>
            <w:pPr>
              <w:keepNext/>
              <w:spacing w:line="240" w:lineRule="auto" w:after="40"/>
              <w:ind w:firstLine="0"/>
            </w:pPr>
            <w:r/>
            <w:r>
              <w:rPr>
                <w:rFonts w:ascii="宋体" w:hAnsi="宋体" w:eastAsia="宋体" w:cs="宋体"/>
                <w:b w:val="0"/>
                <w:i w:val="0"/>
                <w:sz w:val="18"/>
              </w:rPr>
              <w:t>市场调研、用户访谈、商业计划书、财务测算、政府与企业对接</w:t>
            </w:r>
          </w:p>
        </w:tc>
        <w:tc>
          <w:tcPr>
            <w:tcW w:type="dxa" w:w="1361"/>
          </w:tcPr>
          <w:p>
            <w:pPr>
              <w:keepNext/>
              <w:spacing w:line="240" w:lineRule="auto" w:after="40"/>
              <w:ind w:firstLine="0"/>
            </w:pPr>
            <w:r/>
            <w:r>
              <w:rPr>
                <w:rFonts w:ascii="宋体" w:hAnsi="宋体" w:eastAsia="宋体" w:cs="宋体"/>
                <w:b w:val="0"/>
                <w:i w:val="0"/>
                <w:sz w:val="18"/>
              </w:rPr>
              <w:t>【待填】</w:t>
            </w:r>
          </w:p>
        </w:tc>
      </w:tr>
      <w:tr>
        <w:trPr>
          <w:cantSplit/>
        </w:trPr>
        <w:tc>
          <w:tcPr>
            <w:tcW w:type="dxa" w:w="1701"/>
          </w:tcPr>
          <w:p>
            <w:pPr>
              <w:keepNext/>
              <w:spacing w:line="240" w:lineRule="auto" w:after="40"/>
              <w:ind w:firstLine="0"/>
            </w:pPr>
            <w:r/>
            <w:r>
              <w:rPr>
                <w:rFonts w:ascii="宋体" w:hAnsi="宋体" w:eastAsia="宋体" w:cs="宋体"/>
                <w:b w:val="0"/>
                <w:i w:val="0"/>
                <w:sz w:val="18"/>
              </w:rPr>
              <w:t>合计</w:t>
            </w:r>
          </w:p>
        </w:tc>
        <w:tc>
          <w:tcPr>
            <w:tcW w:type="dxa" w:w="1020"/>
          </w:tcPr>
          <w:p>
            <w:pPr>
              <w:keepNext/>
              <w:spacing w:line="240" w:lineRule="auto" w:after="40"/>
              <w:ind w:firstLine="0"/>
            </w:pPr>
            <w:r/>
            <w:r>
              <w:rPr>
                <w:rFonts w:ascii="宋体" w:hAnsi="宋体" w:eastAsia="宋体" w:cs="宋体"/>
                <w:b w:val="0"/>
                <w:i w:val="0"/>
                <w:sz w:val="18"/>
              </w:rPr>
              <w:t>7（区间 6–8）</w:t>
            </w:r>
          </w:p>
        </w:tc>
        <w:tc>
          <w:tcPr>
            <w:tcW w:type="dxa" w:w="4535"/>
          </w:tcPr>
          <w:p>
            <w:pPr>
              <w:keepNext/>
              <w:spacing w:line="240" w:lineRule="auto" w:after="40"/>
              <w:ind w:firstLine="0"/>
            </w:pPr>
            <w:r/>
            <w:r>
              <w:rPr>
                <w:rFonts w:ascii="宋体" w:hAnsi="宋体" w:eastAsia="宋体" w:cs="宋体"/>
                <w:b w:val="0"/>
                <w:i w:val="0"/>
                <w:sz w:val="18"/>
              </w:rPr>
              <w:t>一人多岗、无冗余配置</w:t>
            </w:r>
          </w:p>
        </w:tc>
        <w:tc>
          <w:tcPr>
            <w:tcW w:type="dxa" w:w="1361"/>
          </w:tcPr>
          <w:p>
            <w:pPr>
              <w:keepNext/>
              <w:spacing w:line="240" w:lineRule="auto" w:after="40"/>
              <w:ind w:firstLine="0"/>
            </w:pPr>
            <w:r/>
            <w:r>
              <w:rPr>
                <w:rFonts w:ascii="宋体" w:hAnsi="宋体" w:eastAsia="宋体" w:cs="宋体"/>
                <w:b w:val="0"/>
                <w:i w:val="0"/>
                <w:sz w:val="18"/>
              </w:rPr>
              <w:t>—</w:t>
            </w:r>
          </w:p>
        </w:tc>
      </w:tr>
      <w:tr>
        <w:trPr>
          <w:cantSplit/>
        </w:trPr>
        <w:tc>
          <w:tcPr>
            <w:tcW w:type="dxa" w:w="1701"/>
          </w:tcPr>
          <w:p>
            <w:pPr>
              <w:spacing w:line="240" w:lineRule="auto" w:after="40"/>
              <w:ind w:firstLine="0"/>
            </w:pPr>
            <w:r/>
            <w:r>
              <w:rPr>
                <w:rFonts w:ascii="宋体" w:hAnsi="宋体" w:eastAsia="宋体" w:cs="宋体"/>
                <w:b w:val="0"/>
                <w:i w:val="0"/>
                <w:sz w:val="18"/>
              </w:rPr>
              <w:t>指导教师</w:t>
            </w:r>
          </w:p>
        </w:tc>
        <w:tc>
          <w:tcPr>
            <w:tcW w:type="dxa" w:w="1020"/>
          </w:tcPr>
          <w:p>
            <w:pPr>
              <w:spacing w:line="240" w:lineRule="auto" w:after="40"/>
              <w:ind w:firstLine="0"/>
            </w:pPr>
            <w:r/>
            <w:r>
              <w:rPr>
                <w:rFonts w:ascii="宋体" w:hAnsi="宋体" w:eastAsia="宋体" w:cs="宋体"/>
                <w:b w:val="0"/>
                <w:i w:val="0"/>
                <w:sz w:val="18"/>
              </w:rPr>
              <w:t>2 位</w:t>
            </w:r>
          </w:p>
        </w:tc>
        <w:tc>
          <w:tcPr>
            <w:tcW w:type="dxa" w:w="4535"/>
          </w:tcPr>
          <w:p>
            <w:pPr>
              <w:spacing w:line="240" w:lineRule="auto" w:after="40"/>
              <w:ind w:firstLine="0"/>
            </w:pPr>
            <w:r/>
            <w:r>
              <w:rPr>
                <w:rFonts w:ascii="宋体" w:hAnsi="宋体" w:eastAsia="宋体" w:cs="宋体"/>
                <w:b w:val="0"/>
                <w:i w:val="0"/>
                <w:sz w:val="18"/>
              </w:rPr>
              <w:t>一位把关生态与农林方向，一位把关 AI 与信号处理方向</w:t>
            </w:r>
          </w:p>
        </w:tc>
        <w:tc>
          <w:tcPr>
            <w:tcW w:type="dxa" w:w="1361"/>
          </w:tcPr>
          <w:p>
            <w:pPr>
              <w:spacing w:line="240" w:lineRule="auto" w:after="40"/>
              <w:ind w:firstLine="0"/>
            </w:pPr>
            <w:r/>
            <w:r>
              <w:rPr>
                <w:rFonts w:ascii="宋体" w:hAnsi="宋体" w:eastAsia="宋体" w:cs="宋体"/>
                <w:b w:val="0"/>
                <w:i w:val="0"/>
                <w:sz w:val="18"/>
              </w:rPr>
              <w:t>—</w:t>
            </w:r>
          </w:p>
        </w:tc>
      </w:tr>
    </w:tbl>
    <w:p>
      <w:pPr>
        <w:keepNext w:val="0"/>
        <w:spacing w:line="312" w:lineRule="auto" w:before="120" w:after="80"/>
      </w:pPr>
      <w:r>
        <w:rPr>
          <w:rFonts w:ascii="宋体" w:hAnsi="宋体" w:eastAsia="宋体" w:cs="宋体"/>
          <w:b w:val="0"/>
          <w:i w:val="0"/>
          <w:sz w:val="24"/>
        </w:rPr>
        <w:t>【待补】每位核心成员的具体经历与代表成果、以及指导教师姓名与研究方向。评委关心的是"这个人解决了项目里的哪个具体问题"，不是专业名称。</w:t>
      </w:r>
    </w:p>
    <w:p>
      <w:pPr>
        <w:pStyle w:val="Heading2"/>
        <w:keepNext/>
        <w:spacing w:line="312" w:lineRule="auto" w:before="200" w:after="120"/>
        <w:ind w:firstLine="0"/>
      </w:pPr>
      <w:r>
        <w:rPr>
          <w:rFonts w:ascii="宋体" w:hAnsi="宋体" w:eastAsia="宋体" w:cs="宋体"/>
          <w:b/>
          <w:i w:val="0"/>
          <w:color w:val="000000"/>
          <w:sz w:val="28"/>
        </w:rPr>
        <w:t>9.2 团队优势</w:t>
      </w:r>
    </w:p>
    <w:p>
      <w:pPr>
        <w:pStyle w:val="ListBullet"/>
        <w:spacing w:line="312" w:lineRule="auto" w:before="0" w:after="60"/>
        <w:ind w:left="480" w:firstLine="0"/>
      </w:pPr>
      <w:r>
        <w:rPr>
          <w:rFonts w:ascii="宋体" w:hAnsi="宋体" w:eastAsia="宋体" w:cs="宋体"/>
          <w:b/>
          <w:i w:val="0"/>
          <w:sz w:val="24"/>
        </w:rPr>
        <w:t>跨学科完整闭环</w:t>
      </w:r>
      <w:r>
        <w:rPr>
          <w:rFonts w:ascii="宋体" w:hAnsi="宋体" w:eastAsia="宋体" w:cs="宋体"/>
          <w:b w:val="0"/>
          <w:i w:val="0"/>
          <w:sz w:val="24"/>
        </w:rPr>
        <w:t>：7 人覆盖从传感器到核算报告的全链条。其中生态农林方向是本项目区别于纯技术团队的关键——没有生态学能力，就无法把观测换算成服务。</w:t>
      </w:r>
    </w:p>
    <w:p>
      <w:pPr>
        <w:pStyle w:val="ListBullet"/>
        <w:spacing w:line="312" w:lineRule="auto" w:before="0" w:after="60"/>
        <w:ind w:left="480" w:firstLine="0"/>
      </w:pPr>
      <w:r>
        <w:rPr>
          <w:rFonts w:ascii="宋体" w:hAnsi="宋体" w:eastAsia="宋体" w:cs="宋体"/>
          <w:b/>
          <w:i w:val="0"/>
          <w:sz w:val="24"/>
        </w:rPr>
        <w:t>决策链极短</w:t>
      </w:r>
      <w:r>
        <w:rPr>
          <w:rFonts w:ascii="宋体" w:hAnsi="宋体" w:eastAsia="宋体" w:cs="宋体"/>
          <w:b w:val="0"/>
          <w:i w:val="0"/>
          <w:sz w:val="24"/>
        </w:rPr>
        <w:t>：小团队几乎没有沟通成本，从算法改动到田间验证可在一周内闭环，这种迭代速度是分工细密的大团队难以比拟的。</w:t>
      </w:r>
    </w:p>
    <w:p>
      <w:pPr>
        <w:pStyle w:val="ListBullet"/>
        <w:spacing w:line="312" w:lineRule="auto" w:before="0" w:after="60"/>
        <w:ind w:left="480" w:firstLine="0"/>
      </w:pPr>
      <w:r>
        <w:rPr>
          <w:rFonts w:ascii="宋体" w:hAnsi="宋体" w:eastAsia="宋体" w:cs="宋体"/>
          <w:b/>
          <w:i w:val="0"/>
          <w:sz w:val="24"/>
        </w:rPr>
        <w:t>技术策略克制</w:t>
      </w:r>
      <w:r>
        <w:rPr>
          <w:rFonts w:ascii="宋体" w:hAnsi="宋体" w:eastAsia="宋体" w:cs="宋体"/>
          <w:b w:val="0"/>
          <w:i w:val="0"/>
          <w:sz w:val="24"/>
        </w:rPr>
        <w:t>：通用识别能力用成熟开源模型，创新集中于有益生物监测与服务核算，把有限人力投在最有价值的环节。</w:t>
      </w:r>
    </w:p>
    <w:p>
      <w:pPr>
        <w:pStyle w:val="ListBullet"/>
        <w:spacing w:line="312" w:lineRule="auto" w:before="0" w:after="60"/>
        <w:ind w:left="480" w:firstLine="0"/>
      </w:pPr>
      <w:r>
        <w:rPr>
          <w:rFonts w:ascii="宋体" w:hAnsi="宋体" w:eastAsia="宋体" w:cs="宋体"/>
          <w:b/>
          <w:i w:val="0"/>
          <w:sz w:val="24"/>
        </w:rPr>
        <w:t>成本结构优势</w:t>
      </w:r>
      <w:r>
        <w:rPr>
          <w:rFonts w:ascii="宋体" w:hAnsi="宋体" w:eastAsia="宋体" w:cs="宋体"/>
          <w:b w:val="0"/>
          <w:i w:val="0"/>
          <w:sz w:val="24"/>
        </w:rPr>
        <w:t>：学生团队的人力成本使我们能以显著低于市场方案的价格切入，并仍保持健康毛利。</w:t>
      </w:r>
    </w:p>
    <w:p>
      <w:pPr>
        <w:pStyle w:val="Heading2"/>
        <w:keepNext/>
        <w:spacing w:line="312" w:lineRule="auto" w:before="200" w:after="120"/>
        <w:ind w:firstLine="0"/>
      </w:pPr>
      <w:r>
        <w:rPr>
          <w:rFonts w:ascii="宋体" w:hAnsi="宋体" w:eastAsia="宋体" w:cs="宋体"/>
          <w:b/>
          <w:i w:val="0"/>
          <w:color w:val="000000"/>
          <w:sz w:val="28"/>
        </w:rPr>
        <w:t>9.3 能力缺口与弥补方案</w:t>
      </w:r>
    </w:p>
    <w:p>
      <w:pPr>
        <w:keepNext w:val="0"/>
        <w:spacing w:line="312" w:lineRule="auto" w:before="0" w:after="80"/>
        <w:ind w:firstLine="480"/>
      </w:pPr>
      <w:r>
        <w:rPr>
          <w:rFonts w:ascii="宋体" w:hAnsi="宋体" w:eastAsia="宋体" w:cs="宋体"/>
          <w:b w:val="0"/>
          <w:i w:val="0"/>
          <w:sz w:val="24"/>
        </w:rPr>
        <w:t>主动说明缺口比回避更可信。我们目前有两个明确的缺口：</w:t>
      </w:r>
    </w:p>
    <w:p>
      <w:pPr>
        <w:pStyle w:val="ListBullet"/>
        <w:spacing w:line="312" w:lineRule="auto" w:before="0" w:after="60"/>
        <w:ind w:left="480" w:firstLine="0"/>
      </w:pPr>
      <w:r>
        <w:rPr>
          <w:rFonts w:ascii="宋体" w:hAnsi="宋体" w:eastAsia="宋体" w:cs="宋体"/>
          <w:b/>
          <w:i w:val="0"/>
          <w:sz w:val="24"/>
        </w:rPr>
        <w:t>生态分类学依赖</w:t>
      </w:r>
      <w:r>
        <w:rPr>
          <w:rFonts w:ascii="宋体" w:hAnsi="宋体" w:eastAsia="宋体" w:cs="宋体"/>
          <w:b w:val="0"/>
          <w:i w:val="0"/>
          <w:sz w:val="24"/>
        </w:rPr>
        <w:t>：团队不具备物种级鉴定能力。应对方式是采用功能群级识别策略，主动绕开这一门槛——而功能群粒度恰好是生态服务核算真正需要的粒度。</w:t>
      </w:r>
    </w:p>
    <w:p>
      <w:pPr>
        <w:pStyle w:val="ListBullet"/>
        <w:spacing w:line="312" w:lineRule="auto" w:before="0" w:after="60"/>
        <w:ind w:left="480" w:firstLine="0"/>
      </w:pPr>
      <w:r>
        <w:rPr>
          <w:rFonts w:ascii="宋体" w:hAnsi="宋体" w:eastAsia="宋体" w:cs="宋体"/>
          <w:b/>
          <w:i w:val="0"/>
          <w:sz w:val="24"/>
        </w:rPr>
        <w:t>硬件量产经验不足</w:t>
      </w:r>
      <w:r>
        <w:rPr>
          <w:rFonts w:ascii="宋体" w:hAnsi="宋体" w:eastAsia="宋体" w:cs="宋体"/>
          <w:b w:val="0"/>
          <w:i w:val="0"/>
          <w:sz w:val="24"/>
        </w:rPr>
        <w:t>：应对方式是把第一年的需求限定在小批量定做，通过与学校工程训练中心及本地电子加工方合作完成，把量产留到第二年并在此之前完成成本模型验证。</w:t>
      </w:r>
    </w:p>
    <w:p>
      <w:pPr>
        <w:pStyle w:val="Heading1"/>
        <w:keepNext/>
        <w:pageBreakBefore/>
        <w:spacing w:line="312" w:lineRule="auto" w:before="280" w:after="120"/>
        <w:ind w:firstLine="0"/>
      </w:pPr>
      <w:r>
        <w:rPr>
          <w:rFonts w:ascii="宋体" w:hAnsi="宋体" w:eastAsia="宋体" w:cs="宋体"/>
          <w:b/>
          <w:i w:val="0"/>
          <w:color w:val="000000"/>
          <w:sz w:val="32"/>
        </w:rPr>
        <w:t>第十章  财务分析</w:t>
      </w:r>
    </w:p>
    <w:p>
      <w:pPr>
        <w:keepNext w:val="0"/>
        <w:spacing w:line="312" w:lineRule="auto" w:before="0" w:after="80"/>
      </w:pPr>
      <w:r>
        <w:rPr>
          <w:rFonts w:ascii="宋体" w:hAnsi="宋体" w:eastAsia="宋体" w:cs="宋体"/>
          <w:b/>
          <w:i w:val="0"/>
          <w:sz w:val="24"/>
        </w:rPr>
        <w:t>重要提醒：本章数字必须标注"实测"或"假设"，严禁编造精细收入。学生项目在财务预测上被追问细节的概率极高，一旦答不上来就会全线崩塌。</w:t>
      </w:r>
    </w:p>
    <w:p>
      <w:pPr>
        <w:pStyle w:val="Heading2"/>
        <w:keepNext/>
        <w:spacing w:line="312" w:lineRule="auto" w:before="200" w:after="120"/>
        <w:ind w:firstLine="0"/>
      </w:pPr>
      <w:r>
        <w:rPr>
          <w:rFonts w:ascii="宋体" w:hAnsi="宋体" w:eastAsia="宋体" w:cs="宋体"/>
          <w:b/>
          <w:i w:val="0"/>
          <w:color w:val="000000"/>
          <w:sz w:val="28"/>
        </w:rPr>
        <w:t>10.1 关键假设</w:t>
      </w:r>
    </w:p>
    <w:tbl>
      <w:tblPr>
        <w:tblStyle w:val="TableGrid"/>
        <w:tblW w:type="auto" w:w="0"/>
        <w:jc w:val="center"/>
        <w:tblLook w:firstColumn="1" w:firstRow="1" w:lastColumn="0" w:lastRow="0" w:noHBand="0" w:noVBand="1" w:val="04A0"/>
      </w:tblPr>
      <w:tblGrid>
        <w:gridCol w:w="2948"/>
        <w:gridCol w:w="2948"/>
        <w:gridCol w:w="2948"/>
      </w:tblGrid>
      <w:tr>
        <w:trPr>
          <w:cantSplit/>
          <w:tblHeader/>
        </w:trPr>
        <w:tc>
          <w:tcPr>
            <w:tcW w:type="dxa" w:w="2835"/>
            <w:shd w:val="clear" w:fill="EFEFEF"/>
          </w:tcPr>
          <w:p>
            <w:pPr>
              <w:keepNext/>
              <w:spacing w:line="240" w:lineRule="auto" w:after="40"/>
              <w:ind w:firstLine="0"/>
              <w:jc w:val="center"/>
            </w:pPr>
            <w:r/>
            <w:r>
              <w:rPr>
                <w:rFonts w:ascii="宋体" w:hAnsi="宋体" w:eastAsia="宋体" w:cs="宋体"/>
                <w:b/>
                <w:i w:val="0"/>
                <w:sz w:val="19"/>
              </w:rPr>
              <w:t>假设项</w:t>
            </w:r>
          </w:p>
        </w:tc>
        <w:tc>
          <w:tcPr>
            <w:tcW w:type="dxa" w:w="1928"/>
            <w:shd w:val="clear" w:fill="EFEFEF"/>
          </w:tcPr>
          <w:p>
            <w:pPr>
              <w:keepNext/>
              <w:spacing w:line="240" w:lineRule="auto" w:after="40"/>
              <w:ind w:firstLine="0"/>
              <w:jc w:val="center"/>
            </w:pPr>
            <w:r/>
            <w:r>
              <w:rPr>
                <w:rFonts w:ascii="宋体" w:hAnsi="宋体" w:eastAsia="宋体" w:cs="宋体"/>
                <w:b/>
                <w:i w:val="0"/>
                <w:sz w:val="19"/>
              </w:rPr>
              <w:t>取值</w:t>
            </w:r>
          </w:p>
        </w:tc>
        <w:tc>
          <w:tcPr>
            <w:tcW w:type="dxa" w:w="3855"/>
            <w:shd w:val="clear" w:fill="EFEFEF"/>
          </w:tcPr>
          <w:p>
            <w:pPr>
              <w:keepNext/>
              <w:spacing w:line="240" w:lineRule="auto" w:after="40"/>
              <w:ind w:firstLine="0"/>
              <w:jc w:val="center"/>
            </w:pPr>
            <w:r/>
            <w:r>
              <w:rPr>
                <w:rFonts w:ascii="宋体" w:hAnsi="宋体" w:eastAsia="宋体" w:cs="宋体"/>
                <w:b/>
                <w:i w:val="0"/>
                <w:sz w:val="19"/>
              </w:rPr>
              <w:t>性质</w:t>
            </w:r>
          </w:p>
        </w:tc>
      </w:tr>
      <w:tr>
        <w:trPr>
          <w:cantSplit/>
        </w:trPr>
        <w:tc>
          <w:tcPr>
            <w:tcW w:type="dxa" w:w="2835"/>
          </w:tcPr>
          <w:p>
            <w:pPr>
              <w:keepNext/>
              <w:spacing w:line="240" w:lineRule="auto" w:after="40"/>
              <w:ind w:firstLine="0"/>
            </w:pPr>
            <w:r/>
            <w:r>
              <w:rPr>
                <w:rFonts w:ascii="宋体" w:hAnsi="宋体" w:eastAsia="宋体" w:cs="宋体"/>
                <w:b w:val="0"/>
                <w:i w:val="0"/>
                <w:sz w:val="19"/>
              </w:rPr>
              <w:t>年度客单价（元 / 节点 · 年）</w:t>
            </w:r>
          </w:p>
        </w:tc>
        <w:tc>
          <w:tcPr>
            <w:tcW w:type="dxa" w:w="1928"/>
          </w:tcPr>
          <w:p>
            <w:pPr>
              <w:keepNext/>
              <w:spacing w:line="240" w:lineRule="auto" w:after="40"/>
              <w:ind w:firstLine="0"/>
            </w:pPr>
            <w:r/>
            <w:r>
              <w:rPr>
                <w:rFonts w:ascii="宋体" w:hAnsi="宋体" w:eastAsia="宋体" w:cs="宋体"/>
                <w:b w:val="0"/>
                <w:i w:val="0"/>
                <w:sz w:val="19"/>
              </w:rPr>
              <w:t>【待测算】</w:t>
            </w:r>
          </w:p>
        </w:tc>
        <w:tc>
          <w:tcPr>
            <w:tcW w:type="dxa" w:w="3855"/>
          </w:tcPr>
          <w:p>
            <w:pPr>
              <w:keepNext/>
              <w:spacing w:line="240" w:lineRule="auto" w:after="40"/>
              <w:ind w:firstLine="0"/>
            </w:pPr>
            <w:r/>
            <w:r>
              <w:rPr>
                <w:rFonts w:ascii="宋体" w:hAnsi="宋体" w:eastAsia="宋体" w:cs="宋体"/>
                <w:b w:val="0"/>
                <w:i w:val="0"/>
                <w:sz w:val="19"/>
              </w:rPr>
              <w:t>待实测 / 测算</w:t>
            </w:r>
          </w:p>
        </w:tc>
      </w:tr>
      <w:tr>
        <w:trPr>
          <w:cantSplit/>
        </w:trPr>
        <w:tc>
          <w:tcPr>
            <w:tcW w:type="dxa" w:w="2835"/>
          </w:tcPr>
          <w:p>
            <w:pPr>
              <w:keepNext/>
              <w:spacing w:line="240" w:lineRule="auto" w:after="40"/>
              <w:ind w:firstLine="0"/>
            </w:pPr>
            <w:r/>
            <w:r>
              <w:rPr>
                <w:rFonts w:ascii="宋体" w:hAnsi="宋体" w:eastAsia="宋体" w:cs="宋体"/>
                <w:b w:val="0"/>
                <w:i w:val="0"/>
                <w:sz w:val="19"/>
              </w:rPr>
              <w:t>单节点硬件成本（小批量）</w:t>
            </w:r>
          </w:p>
        </w:tc>
        <w:tc>
          <w:tcPr>
            <w:tcW w:type="dxa" w:w="1928"/>
          </w:tcPr>
          <w:p>
            <w:pPr>
              <w:keepNext/>
              <w:spacing w:line="240" w:lineRule="auto" w:after="40"/>
              <w:ind w:firstLine="0"/>
            </w:pPr>
            <w:r/>
            <w:r>
              <w:rPr>
                <w:rFonts w:ascii="宋体" w:hAnsi="宋体" w:eastAsia="宋体" w:cs="宋体"/>
                <w:b w:val="0"/>
                <w:i w:val="0"/>
                <w:sz w:val="19"/>
              </w:rPr>
              <w:t>【待测算】</w:t>
            </w:r>
          </w:p>
        </w:tc>
        <w:tc>
          <w:tcPr>
            <w:tcW w:type="dxa" w:w="3855"/>
          </w:tcPr>
          <w:p>
            <w:pPr>
              <w:keepNext/>
              <w:spacing w:line="240" w:lineRule="auto" w:after="40"/>
              <w:ind w:firstLine="0"/>
            </w:pPr>
            <w:r/>
            <w:r>
              <w:rPr>
                <w:rFonts w:ascii="宋体" w:hAnsi="宋体" w:eastAsia="宋体" w:cs="宋体"/>
                <w:b w:val="0"/>
                <w:i w:val="0"/>
                <w:sz w:val="19"/>
              </w:rPr>
              <w:t>待询价</w:t>
            </w:r>
          </w:p>
        </w:tc>
      </w:tr>
      <w:tr>
        <w:trPr>
          <w:cantSplit/>
        </w:trPr>
        <w:tc>
          <w:tcPr>
            <w:tcW w:type="dxa" w:w="2835"/>
          </w:tcPr>
          <w:p>
            <w:pPr>
              <w:keepNext/>
              <w:spacing w:line="240" w:lineRule="auto" w:after="40"/>
              <w:ind w:firstLine="0"/>
            </w:pPr>
            <w:r/>
            <w:r>
              <w:rPr>
                <w:rFonts w:ascii="宋体" w:hAnsi="宋体" w:eastAsia="宋体" w:cs="宋体"/>
                <w:b w:val="0"/>
                <w:i w:val="0"/>
                <w:sz w:val="19"/>
              </w:rPr>
              <w:t>单节点硬件成本（量产）</w:t>
            </w:r>
          </w:p>
        </w:tc>
        <w:tc>
          <w:tcPr>
            <w:tcW w:type="dxa" w:w="1928"/>
          </w:tcPr>
          <w:p>
            <w:pPr>
              <w:keepNext/>
              <w:spacing w:line="240" w:lineRule="auto" w:after="40"/>
              <w:ind w:firstLine="0"/>
            </w:pPr>
            <w:r/>
            <w:r>
              <w:rPr>
                <w:rFonts w:ascii="宋体" w:hAnsi="宋体" w:eastAsia="宋体" w:cs="宋体"/>
                <w:b w:val="0"/>
                <w:i w:val="0"/>
                <w:sz w:val="19"/>
              </w:rPr>
              <w:t>【待测算】</w:t>
            </w:r>
          </w:p>
        </w:tc>
        <w:tc>
          <w:tcPr>
            <w:tcW w:type="dxa" w:w="3855"/>
          </w:tcPr>
          <w:p>
            <w:pPr>
              <w:keepNext/>
              <w:spacing w:line="240" w:lineRule="auto" w:after="40"/>
              <w:ind w:firstLine="0"/>
            </w:pPr>
            <w:r/>
            <w:r>
              <w:rPr>
                <w:rFonts w:ascii="宋体" w:hAnsi="宋体" w:eastAsia="宋体" w:cs="宋体"/>
                <w:b w:val="0"/>
                <w:i w:val="0"/>
                <w:sz w:val="19"/>
              </w:rPr>
              <w:t>待测算</w:t>
            </w:r>
          </w:p>
        </w:tc>
      </w:tr>
      <w:tr>
        <w:trPr>
          <w:cantSplit/>
        </w:trPr>
        <w:tc>
          <w:tcPr>
            <w:tcW w:type="dxa" w:w="2835"/>
          </w:tcPr>
          <w:p>
            <w:pPr>
              <w:keepNext/>
              <w:spacing w:line="240" w:lineRule="auto" w:after="40"/>
              <w:ind w:firstLine="0"/>
            </w:pPr>
            <w:r/>
            <w:r>
              <w:rPr>
                <w:rFonts w:ascii="宋体" w:hAnsi="宋体" w:eastAsia="宋体" w:cs="宋体"/>
                <w:b w:val="0"/>
                <w:i w:val="0"/>
                <w:sz w:val="19"/>
              </w:rPr>
              <w:t>毛利率</w:t>
            </w:r>
          </w:p>
        </w:tc>
        <w:tc>
          <w:tcPr>
            <w:tcW w:type="dxa" w:w="1928"/>
          </w:tcPr>
          <w:p>
            <w:pPr>
              <w:keepNext/>
              <w:spacing w:line="240" w:lineRule="auto" w:after="40"/>
              <w:ind w:firstLine="0"/>
            </w:pPr>
            <w:r/>
            <w:r>
              <w:rPr>
                <w:rFonts w:ascii="宋体" w:hAnsi="宋体" w:eastAsia="宋体" w:cs="宋体"/>
                <w:b w:val="0"/>
                <w:i w:val="0"/>
                <w:sz w:val="19"/>
              </w:rPr>
              <w:t>【待测算】%</w:t>
            </w:r>
          </w:p>
        </w:tc>
        <w:tc>
          <w:tcPr>
            <w:tcW w:type="dxa" w:w="3855"/>
          </w:tcPr>
          <w:p>
            <w:pPr>
              <w:keepNext/>
              <w:spacing w:line="240" w:lineRule="auto" w:after="40"/>
              <w:ind w:firstLine="0"/>
            </w:pPr>
            <w:r/>
            <w:r>
              <w:rPr>
                <w:rFonts w:ascii="宋体" w:hAnsi="宋体" w:eastAsia="宋体" w:cs="宋体"/>
                <w:b w:val="0"/>
                <w:i w:val="0"/>
                <w:sz w:val="19"/>
              </w:rPr>
              <w:t>需扣除硬件与云服务成本后测算</w:t>
            </w:r>
          </w:p>
        </w:tc>
      </w:tr>
      <w:tr>
        <w:trPr>
          <w:cantSplit/>
        </w:trPr>
        <w:tc>
          <w:tcPr>
            <w:tcW w:type="dxa" w:w="2835"/>
          </w:tcPr>
          <w:p>
            <w:pPr>
              <w:keepNext/>
              <w:spacing w:line="240" w:lineRule="auto" w:after="40"/>
              <w:ind w:firstLine="0"/>
            </w:pPr>
            <w:r/>
            <w:r>
              <w:rPr>
                <w:rFonts w:ascii="宋体" w:hAnsi="宋体" w:eastAsia="宋体" w:cs="宋体"/>
                <w:b w:val="0"/>
                <w:i w:val="0"/>
                <w:sz w:val="19"/>
              </w:rPr>
              <w:t>获客成本</w:t>
            </w:r>
          </w:p>
        </w:tc>
        <w:tc>
          <w:tcPr>
            <w:tcW w:type="dxa" w:w="1928"/>
          </w:tcPr>
          <w:p>
            <w:pPr>
              <w:keepNext/>
              <w:spacing w:line="240" w:lineRule="auto" w:after="40"/>
              <w:ind w:firstLine="0"/>
            </w:pPr>
            <w:r/>
            <w:r>
              <w:rPr>
                <w:rFonts w:ascii="宋体" w:hAnsi="宋体" w:eastAsia="宋体" w:cs="宋体"/>
                <w:b w:val="0"/>
                <w:i w:val="0"/>
                <w:sz w:val="19"/>
              </w:rPr>
              <w:t>【待测算】元</w:t>
            </w:r>
          </w:p>
        </w:tc>
        <w:tc>
          <w:tcPr>
            <w:tcW w:type="dxa" w:w="3855"/>
          </w:tcPr>
          <w:p>
            <w:pPr>
              <w:keepNext/>
              <w:spacing w:line="240" w:lineRule="auto" w:after="40"/>
              <w:ind w:firstLine="0"/>
            </w:pPr>
            <w:r/>
            <w:r>
              <w:rPr>
                <w:rFonts w:ascii="宋体" w:hAnsi="宋体" w:eastAsia="宋体" w:cs="宋体"/>
                <w:b w:val="0"/>
                <w:i w:val="0"/>
                <w:sz w:val="19"/>
              </w:rPr>
              <w:t>以示范带动与农技推广为主，需给出测算依据</w:t>
            </w:r>
          </w:p>
        </w:tc>
      </w:tr>
      <w:tr>
        <w:trPr>
          <w:cantSplit/>
        </w:trPr>
        <w:tc>
          <w:tcPr>
            <w:tcW w:type="dxa" w:w="2835"/>
          </w:tcPr>
          <w:p>
            <w:pPr>
              <w:spacing w:line="240" w:lineRule="auto" w:after="40"/>
              <w:ind w:firstLine="0"/>
            </w:pPr>
            <w:r/>
            <w:r>
              <w:rPr>
                <w:rFonts w:ascii="宋体" w:hAnsi="宋体" w:eastAsia="宋体" w:cs="宋体"/>
                <w:b w:val="0"/>
                <w:i w:val="0"/>
                <w:sz w:val="19"/>
              </w:rPr>
              <w:t>客户续费率</w:t>
            </w:r>
          </w:p>
        </w:tc>
        <w:tc>
          <w:tcPr>
            <w:tcW w:type="dxa" w:w="1928"/>
          </w:tcPr>
          <w:p>
            <w:pPr>
              <w:spacing w:line="240" w:lineRule="auto" w:after="40"/>
              <w:ind w:firstLine="0"/>
            </w:pPr>
            <w:r/>
            <w:r>
              <w:rPr>
                <w:rFonts w:ascii="宋体" w:hAnsi="宋体" w:eastAsia="宋体" w:cs="宋体"/>
                <w:b w:val="0"/>
                <w:i w:val="0"/>
                <w:sz w:val="19"/>
              </w:rPr>
              <w:t>【待测算】%</w:t>
            </w:r>
          </w:p>
        </w:tc>
        <w:tc>
          <w:tcPr>
            <w:tcW w:type="dxa" w:w="3855"/>
          </w:tcPr>
          <w:p>
            <w:pPr>
              <w:spacing w:line="240" w:lineRule="auto" w:after="40"/>
              <w:ind w:firstLine="0"/>
            </w:pPr>
            <w:r/>
            <w:r>
              <w:rPr>
                <w:rFonts w:ascii="宋体" w:hAnsi="宋体" w:eastAsia="宋体" w:cs="宋体"/>
                <w:b w:val="0"/>
                <w:i w:val="0"/>
                <w:sz w:val="19"/>
              </w:rPr>
              <w:t>订阅制，需给出假设依据</w:t>
            </w:r>
          </w:p>
        </w:tc>
      </w:tr>
    </w:tbl>
    <w:p>
      <w:pPr>
        <w:keepNext w:val="0"/>
        <w:spacing w:line="312" w:lineRule="auto" w:before="120" w:after="80"/>
      </w:pPr>
      <w:r>
        <w:rPr>
          <w:rFonts w:ascii="宋体" w:hAnsi="宋体" w:eastAsia="宋体" w:cs="宋体"/>
          <w:b w:val="0"/>
          <w:i w:val="0"/>
          <w:sz w:val="24"/>
        </w:rPr>
        <w:t>【示例口径，仅用于展示表格结构，提交前必须替换为本团队实测值】下表用一组示例数字说明单位经济模型应该长什么样。</w:t>
      </w:r>
    </w:p>
    <w:tbl>
      <w:tblPr>
        <w:tblStyle w:val="TableGrid"/>
        <w:tblW w:type="auto" w:w="0"/>
        <w:jc w:val="center"/>
        <w:tblLook w:firstColumn="1" w:firstRow="1" w:lastColumn="0" w:lastRow="0" w:noHBand="0" w:noVBand="1" w:val="04A0"/>
      </w:tblPr>
      <w:tblGrid>
        <w:gridCol w:w="2948"/>
        <w:gridCol w:w="2948"/>
        <w:gridCol w:w="2948"/>
      </w:tblGrid>
      <w:tr>
        <w:trPr>
          <w:cantSplit/>
          <w:tblHeader/>
        </w:trPr>
        <w:tc>
          <w:tcPr>
            <w:tcW w:type="dxa" w:w="2494"/>
            <w:shd w:val="clear" w:fill="EFEFEF"/>
          </w:tcPr>
          <w:p>
            <w:pPr>
              <w:keepNext/>
              <w:spacing w:line="240" w:lineRule="auto" w:after="40"/>
              <w:ind w:firstLine="0"/>
              <w:jc w:val="center"/>
            </w:pPr>
            <w:r/>
            <w:r>
              <w:rPr>
                <w:rFonts w:ascii="宋体" w:hAnsi="宋体" w:eastAsia="宋体" w:cs="宋体"/>
                <w:b/>
                <w:i w:val="0"/>
                <w:sz w:val="19"/>
              </w:rPr>
              <w:t>指标（示例）</w:t>
            </w:r>
          </w:p>
        </w:tc>
        <w:tc>
          <w:tcPr>
            <w:tcW w:type="dxa" w:w="1814"/>
            <w:shd w:val="clear" w:fill="EFEFEF"/>
          </w:tcPr>
          <w:p>
            <w:pPr>
              <w:keepNext/>
              <w:spacing w:line="240" w:lineRule="auto" w:after="40"/>
              <w:ind w:firstLine="0"/>
              <w:jc w:val="center"/>
            </w:pPr>
            <w:r/>
            <w:r>
              <w:rPr>
                <w:rFonts w:ascii="宋体" w:hAnsi="宋体" w:eastAsia="宋体" w:cs="宋体"/>
                <w:b/>
                <w:i w:val="0"/>
                <w:sz w:val="19"/>
              </w:rPr>
              <w:t>数值</w:t>
            </w:r>
          </w:p>
        </w:tc>
        <w:tc>
          <w:tcPr>
            <w:tcW w:type="dxa" w:w="4309"/>
            <w:shd w:val="clear" w:fill="EFEFEF"/>
          </w:tcPr>
          <w:p>
            <w:pPr>
              <w:keepNext/>
              <w:spacing w:line="240" w:lineRule="auto" w:after="40"/>
              <w:ind w:firstLine="0"/>
              <w:jc w:val="center"/>
            </w:pPr>
            <w:r/>
            <w:r>
              <w:rPr>
                <w:rFonts w:ascii="宋体" w:hAnsi="宋体" w:eastAsia="宋体" w:cs="宋体"/>
                <w:b/>
                <w:i w:val="0"/>
                <w:sz w:val="19"/>
              </w:rPr>
              <w:t>计算口径</w:t>
            </w:r>
          </w:p>
        </w:tc>
      </w:tr>
      <w:tr>
        <w:trPr>
          <w:cantSplit/>
        </w:trPr>
        <w:tc>
          <w:tcPr>
            <w:tcW w:type="dxa" w:w="2494"/>
          </w:tcPr>
          <w:p>
            <w:pPr>
              <w:keepNext/>
              <w:spacing w:line="240" w:lineRule="auto" w:after="40"/>
              <w:ind w:firstLine="0"/>
            </w:pPr>
            <w:r/>
            <w:r>
              <w:rPr>
                <w:rFonts w:ascii="宋体" w:hAnsi="宋体" w:eastAsia="宋体" w:cs="宋体"/>
                <w:b w:val="0"/>
                <w:i w:val="0"/>
                <w:sz w:val="19"/>
              </w:rPr>
              <w:t>单节点年度收入</w:t>
            </w:r>
          </w:p>
        </w:tc>
        <w:tc>
          <w:tcPr>
            <w:tcW w:type="dxa" w:w="1814"/>
          </w:tcPr>
          <w:p>
            <w:pPr>
              <w:keepNext/>
              <w:spacing w:line="240" w:lineRule="auto" w:after="40"/>
              <w:ind w:firstLine="0"/>
            </w:pPr>
            <w:r/>
            <w:r>
              <w:rPr>
                <w:rFonts w:ascii="宋体" w:hAnsi="宋体" w:eastAsia="宋体" w:cs="宋体"/>
                <w:b w:val="0"/>
                <w:i w:val="0"/>
                <w:sz w:val="19"/>
              </w:rPr>
              <w:t>示例 1,800 元</w:t>
            </w:r>
          </w:p>
        </w:tc>
        <w:tc>
          <w:tcPr>
            <w:tcW w:type="dxa" w:w="4309"/>
          </w:tcPr>
          <w:p>
            <w:pPr>
              <w:keepNext/>
              <w:spacing w:line="240" w:lineRule="auto" w:after="40"/>
              <w:ind w:firstLine="0"/>
            </w:pPr>
            <w:r/>
            <w:r>
              <w:rPr>
                <w:rFonts w:ascii="宋体" w:hAnsi="宋体" w:eastAsia="宋体" w:cs="宋体"/>
                <w:b w:val="0"/>
                <w:i w:val="0"/>
                <w:sz w:val="19"/>
              </w:rPr>
              <w:t>硬件摊销 600 + 平台订阅 900 + 服务分摊 300</w:t>
            </w:r>
          </w:p>
        </w:tc>
      </w:tr>
      <w:tr>
        <w:trPr>
          <w:cantSplit/>
        </w:trPr>
        <w:tc>
          <w:tcPr>
            <w:tcW w:type="dxa" w:w="2494"/>
          </w:tcPr>
          <w:p>
            <w:pPr>
              <w:keepNext/>
              <w:spacing w:line="240" w:lineRule="auto" w:after="40"/>
              <w:ind w:firstLine="0"/>
            </w:pPr>
            <w:r/>
            <w:r>
              <w:rPr>
                <w:rFonts w:ascii="宋体" w:hAnsi="宋体" w:eastAsia="宋体" w:cs="宋体"/>
                <w:b w:val="0"/>
                <w:i w:val="0"/>
                <w:sz w:val="19"/>
              </w:rPr>
              <w:t>单节点年度成本</w:t>
            </w:r>
          </w:p>
        </w:tc>
        <w:tc>
          <w:tcPr>
            <w:tcW w:type="dxa" w:w="1814"/>
          </w:tcPr>
          <w:p>
            <w:pPr>
              <w:keepNext/>
              <w:spacing w:line="240" w:lineRule="auto" w:after="40"/>
              <w:ind w:firstLine="0"/>
            </w:pPr>
            <w:r/>
            <w:r>
              <w:rPr>
                <w:rFonts w:ascii="宋体" w:hAnsi="宋体" w:eastAsia="宋体" w:cs="宋体"/>
                <w:b w:val="0"/>
                <w:i w:val="0"/>
                <w:sz w:val="19"/>
              </w:rPr>
              <w:t>示例 700 元</w:t>
            </w:r>
          </w:p>
        </w:tc>
        <w:tc>
          <w:tcPr>
            <w:tcW w:type="dxa" w:w="4309"/>
          </w:tcPr>
          <w:p>
            <w:pPr>
              <w:keepNext/>
              <w:spacing w:line="240" w:lineRule="auto" w:after="40"/>
              <w:ind w:firstLine="0"/>
            </w:pPr>
            <w:r/>
            <w:r>
              <w:rPr>
                <w:rFonts w:ascii="宋体" w:hAnsi="宋体" w:eastAsia="宋体" w:cs="宋体"/>
                <w:b w:val="0"/>
                <w:i w:val="0"/>
                <w:sz w:val="19"/>
              </w:rPr>
              <w:t>硬件成本摊销 400 + 云与运维 300</w:t>
            </w:r>
          </w:p>
        </w:tc>
      </w:tr>
      <w:tr>
        <w:trPr>
          <w:cantSplit/>
        </w:trPr>
        <w:tc>
          <w:tcPr>
            <w:tcW w:type="dxa" w:w="2494"/>
          </w:tcPr>
          <w:p>
            <w:pPr>
              <w:keepNext/>
              <w:spacing w:line="240" w:lineRule="auto" w:after="40"/>
              <w:ind w:firstLine="0"/>
            </w:pPr>
            <w:r/>
            <w:r>
              <w:rPr>
                <w:rFonts w:ascii="宋体" w:hAnsi="宋体" w:eastAsia="宋体" w:cs="宋体"/>
                <w:b w:val="0"/>
                <w:i w:val="0"/>
                <w:sz w:val="19"/>
              </w:rPr>
              <w:t>单节点年度毛利</w:t>
            </w:r>
          </w:p>
        </w:tc>
        <w:tc>
          <w:tcPr>
            <w:tcW w:type="dxa" w:w="1814"/>
          </w:tcPr>
          <w:p>
            <w:pPr>
              <w:keepNext/>
              <w:spacing w:line="240" w:lineRule="auto" w:after="40"/>
              <w:ind w:firstLine="0"/>
            </w:pPr>
            <w:r/>
            <w:r>
              <w:rPr>
                <w:rFonts w:ascii="宋体" w:hAnsi="宋体" w:eastAsia="宋体" w:cs="宋体"/>
                <w:b w:val="0"/>
                <w:i w:val="0"/>
                <w:sz w:val="19"/>
              </w:rPr>
              <w:t>示例 1,100 元</w:t>
            </w:r>
          </w:p>
        </w:tc>
        <w:tc>
          <w:tcPr>
            <w:tcW w:type="dxa" w:w="4309"/>
          </w:tcPr>
          <w:p>
            <w:pPr>
              <w:keepNext/>
              <w:spacing w:line="240" w:lineRule="auto" w:after="40"/>
              <w:ind w:firstLine="0"/>
            </w:pPr>
            <w:r/>
            <w:r>
              <w:rPr>
                <w:rFonts w:ascii="宋体" w:hAnsi="宋体" w:eastAsia="宋体" w:cs="宋体"/>
                <w:b w:val="0"/>
                <w:i w:val="0"/>
                <w:sz w:val="19"/>
              </w:rPr>
              <w:t>收入 − 成本</w:t>
            </w:r>
          </w:p>
        </w:tc>
      </w:tr>
      <w:tr>
        <w:trPr>
          <w:cantSplit/>
        </w:trPr>
        <w:tc>
          <w:tcPr>
            <w:tcW w:type="dxa" w:w="2494"/>
          </w:tcPr>
          <w:p>
            <w:pPr>
              <w:keepNext/>
              <w:spacing w:line="240" w:lineRule="auto" w:after="40"/>
              <w:ind w:firstLine="0"/>
            </w:pPr>
            <w:r/>
            <w:r>
              <w:rPr>
                <w:rFonts w:ascii="宋体" w:hAnsi="宋体" w:eastAsia="宋体" w:cs="宋体"/>
                <w:b w:val="0"/>
                <w:i w:val="0"/>
                <w:sz w:val="19"/>
              </w:rPr>
              <w:t>毛利率</w:t>
            </w:r>
          </w:p>
        </w:tc>
        <w:tc>
          <w:tcPr>
            <w:tcW w:type="dxa" w:w="1814"/>
          </w:tcPr>
          <w:p>
            <w:pPr>
              <w:keepNext/>
              <w:spacing w:line="240" w:lineRule="auto" w:after="40"/>
              <w:ind w:firstLine="0"/>
            </w:pPr>
            <w:r/>
            <w:r>
              <w:rPr>
                <w:rFonts w:ascii="宋体" w:hAnsi="宋体" w:eastAsia="宋体" w:cs="宋体"/>
                <w:b w:val="0"/>
                <w:i w:val="0"/>
                <w:sz w:val="19"/>
              </w:rPr>
              <w:t>示例 61%</w:t>
            </w:r>
          </w:p>
        </w:tc>
        <w:tc>
          <w:tcPr>
            <w:tcW w:type="dxa" w:w="4309"/>
          </w:tcPr>
          <w:p>
            <w:pPr>
              <w:keepNext/>
              <w:spacing w:line="240" w:lineRule="auto" w:after="40"/>
              <w:ind w:firstLine="0"/>
            </w:pPr>
            <w:r/>
            <w:r>
              <w:rPr>
                <w:rFonts w:ascii="宋体" w:hAnsi="宋体" w:eastAsia="宋体" w:cs="宋体"/>
                <w:b w:val="0"/>
                <w:i w:val="0"/>
                <w:sz w:val="19"/>
              </w:rPr>
              <w:t>毛利 ÷ 收入</w:t>
            </w:r>
          </w:p>
        </w:tc>
      </w:tr>
      <w:tr>
        <w:trPr>
          <w:cantSplit/>
        </w:trPr>
        <w:tc>
          <w:tcPr>
            <w:tcW w:type="dxa" w:w="2494"/>
          </w:tcPr>
          <w:p>
            <w:pPr>
              <w:keepNext/>
              <w:spacing w:line="240" w:lineRule="auto" w:after="40"/>
              <w:ind w:firstLine="0"/>
            </w:pPr>
            <w:r/>
            <w:r>
              <w:rPr>
                <w:rFonts w:ascii="宋体" w:hAnsi="宋体" w:eastAsia="宋体" w:cs="宋体"/>
                <w:b w:val="0"/>
                <w:i w:val="0"/>
                <w:sz w:val="19"/>
              </w:rPr>
              <w:t>盈亏平衡节点数</w:t>
            </w:r>
          </w:p>
        </w:tc>
        <w:tc>
          <w:tcPr>
            <w:tcW w:type="dxa" w:w="1814"/>
          </w:tcPr>
          <w:p>
            <w:pPr>
              <w:keepNext/>
              <w:spacing w:line="240" w:lineRule="auto" w:after="40"/>
              <w:ind w:firstLine="0"/>
            </w:pPr>
            <w:r/>
            <w:r>
              <w:rPr>
                <w:rFonts w:ascii="宋体" w:hAnsi="宋体" w:eastAsia="宋体" w:cs="宋体"/>
                <w:b w:val="0"/>
                <w:i w:val="0"/>
                <w:sz w:val="19"/>
              </w:rPr>
              <w:t>示例 110 个节点</w:t>
            </w:r>
          </w:p>
        </w:tc>
        <w:tc>
          <w:tcPr>
            <w:tcW w:type="dxa" w:w="4309"/>
          </w:tcPr>
          <w:p>
            <w:pPr>
              <w:keepNext/>
              <w:spacing w:line="240" w:lineRule="auto" w:after="40"/>
              <w:ind w:firstLine="0"/>
            </w:pPr>
            <w:r/>
            <w:r>
              <w:rPr>
                <w:rFonts w:ascii="宋体" w:hAnsi="宋体" w:eastAsia="宋体" w:cs="宋体"/>
                <w:b w:val="0"/>
                <w:i w:val="0"/>
                <w:sz w:val="19"/>
              </w:rPr>
              <w:t>固定成本 ÷ 单节点年度毛利</w:t>
            </w:r>
          </w:p>
        </w:tc>
      </w:tr>
      <w:tr>
        <w:trPr>
          <w:cantSplit/>
        </w:trPr>
        <w:tc>
          <w:tcPr>
            <w:tcW w:type="dxa" w:w="2494"/>
          </w:tcPr>
          <w:p>
            <w:pPr>
              <w:spacing w:line="240" w:lineRule="auto" w:after="40"/>
              <w:ind w:firstLine="0"/>
            </w:pPr>
            <w:r/>
            <w:r>
              <w:rPr>
                <w:rFonts w:ascii="宋体" w:hAnsi="宋体" w:eastAsia="宋体" w:cs="宋体"/>
                <w:b w:val="0"/>
                <w:i w:val="0"/>
                <w:sz w:val="19"/>
              </w:rPr>
              <w:t>回本周期</w:t>
            </w:r>
          </w:p>
        </w:tc>
        <w:tc>
          <w:tcPr>
            <w:tcW w:type="dxa" w:w="1814"/>
          </w:tcPr>
          <w:p>
            <w:pPr>
              <w:spacing w:line="240" w:lineRule="auto" w:after="40"/>
              <w:ind w:firstLine="0"/>
            </w:pPr>
            <w:r/>
            <w:r>
              <w:rPr>
                <w:rFonts w:ascii="宋体" w:hAnsi="宋体" w:eastAsia="宋体" w:cs="宋体"/>
                <w:b w:val="0"/>
                <w:i w:val="0"/>
                <w:sz w:val="19"/>
              </w:rPr>
              <w:t>示例 9 个月</w:t>
            </w:r>
          </w:p>
        </w:tc>
        <w:tc>
          <w:tcPr>
            <w:tcW w:type="dxa" w:w="4309"/>
          </w:tcPr>
          <w:p>
            <w:pPr>
              <w:spacing w:line="240" w:lineRule="auto" w:after="40"/>
              <w:ind w:firstLine="0"/>
            </w:pPr>
            <w:r/>
            <w:r>
              <w:rPr>
                <w:rFonts w:ascii="宋体" w:hAnsi="宋体" w:eastAsia="宋体" w:cs="宋体"/>
                <w:b w:val="0"/>
                <w:i w:val="0"/>
                <w:sz w:val="19"/>
              </w:rPr>
              <w:t>获客成本 ÷ 月均毛利</w:t>
            </w:r>
          </w:p>
        </w:tc>
      </w:tr>
    </w:tbl>
    <w:p>
      <w:pPr>
        <w:keepNext w:val="0"/>
        <w:spacing w:line="312" w:lineRule="auto" w:before="120" w:after="80"/>
        <w:ind w:firstLine="440"/>
      </w:pPr>
      <w:r>
        <w:rPr>
          <w:rFonts w:ascii="宋体" w:hAnsi="宋体" w:eastAsia="宋体" w:cs="宋体"/>
          <w:b w:val="0"/>
          <w:i w:val="0"/>
          <w:sz w:val="22"/>
        </w:rPr>
        <w:t>（上表数字均为示例，用于说明结构。正式版本必须替换为询价与实测结果，并在附录中给出测算明细。）</w:t>
      </w:r>
    </w:p>
    <w:p>
      <w:pPr>
        <w:pStyle w:val="Heading2"/>
        <w:keepNext/>
        <w:spacing w:line="312" w:lineRule="auto" w:before="200" w:after="120"/>
        <w:ind w:firstLine="0"/>
      </w:pPr>
      <w:r>
        <w:rPr>
          <w:rFonts w:ascii="宋体" w:hAnsi="宋体" w:eastAsia="宋体" w:cs="宋体"/>
          <w:b/>
          <w:i w:val="0"/>
          <w:color w:val="000000"/>
          <w:sz w:val="28"/>
        </w:rPr>
        <w:t>10.2 资金需求与用途</w:t>
      </w:r>
    </w:p>
    <w:tbl>
      <w:tblPr>
        <w:tblStyle w:val="TableGrid"/>
        <w:tblW w:type="auto" w:w="0"/>
        <w:jc w:val="center"/>
        <w:tblLook w:firstColumn="1" w:firstRow="1" w:lastColumn="0" w:lastRow="0" w:noHBand="0" w:noVBand="1" w:val="04A0"/>
      </w:tblPr>
      <w:tblGrid>
        <w:gridCol w:w="2948"/>
        <w:gridCol w:w="2948"/>
        <w:gridCol w:w="2948"/>
      </w:tblGrid>
      <w:tr>
        <w:trPr>
          <w:cantSplit/>
          <w:tblHeader/>
        </w:trPr>
        <w:tc>
          <w:tcPr>
            <w:tcW w:type="dxa" w:w="2041"/>
            <w:shd w:val="clear" w:fill="EFEFEF"/>
          </w:tcPr>
          <w:p>
            <w:pPr>
              <w:keepNext/>
              <w:spacing w:line="240" w:lineRule="auto" w:after="40"/>
              <w:ind w:firstLine="0"/>
              <w:jc w:val="center"/>
            </w:pPr>
            <w:r/>
            <w:r>
              <w:rPr>
                <w:rFonts w:ascii="宋体" w:hAnsi="宋体" w:eastAsia="宋体" w:cs="宋体"/>
                <w:b/>
                <w:i w:val="0"/>
                <w:sz w:val="19"/>
              </w:rPr>
              <w:t>用途</w:t>
            </w:r>
          </w:p>
        </w:tc>
        <w:tc>
          <w:tcPr>
            <w:tcW w:type="dxa" w:w="1701"/>
            <w:shd w:val="clear" w:fill="EFEFEF"/>
          </w:tcPr>
          <w:p>
            <w:pPr>
              <w:keepNext/>
              <w:spacing w:line="240" w:lineRule="auto" w:after="40"/>
              <w:ind w:firstLine="0"/>
              <w:jc w:val="center"/>
            </w:pPr>
            <w:r/>
            <w:r>
              <w:rPr>
                <w:rFonts w:ascii="宋体" w:hAnsi="宋体" w:eastAsia="宋体" w:cs="宋体"/>
                <w:b/>
                <w:i w:val="0"/>
                <w:sz w:val="19"/>
              </w:rPr>
              <w:t>占比（待定）</w:t>
            </w:r>
          </w:p>
        </w:tc>
        <w:tc>
          <w:tcPr>
            <w:tcW w:type="dxa" w:w="4876"/>
            <w:shd w:val="clear" w:fill="EFEFEF"/>
          </w:tcPr>
          <w:p>
            <w:pPr>
              <w:keepNext/>
              <w:spacing w:line="240" w:lineRule="auto" w:after="40"/>
              <w:ind w:firstLine="0"/>
              <w:jc w:val="center"/>
            </w:pPr>
            <w:r/>
            <w:r>
              <w:rPr>
                <w:rFonts w:ascii="宋体" w:hAnsi="宋体" w:eastAsia="宋体" w:cs="宋体"/>
                <w:b/>
                <w:i w:val="0"/>
                <w:sz w:val="19"/>
              </w:rPr>
              <w:t>说明</w:t>
            </w:r>
          </w:p>
        </w:tc>
      </w:tr>
      <w:tr>
        <w:trPr>
          <w:cantSplit/>
        </w:trPr>
        <w:tc>
          <w:tcPr>
            <w:tcW w:type="dxa" w:w="2041"/>
          </w:tcPr>
          <w:p>
            <w:pPr>
              <w:keepNext/>
              <w:spacing w:line="240" w:lineRule="auto" w:after="40"/>
              <w:ind w:firstLine="0"/>
            </w:pPr>
            <w:r/>
            <w:r>
              <w:rPr>
                <w:rFonts w:ascii="宋体" w:hAnsi="宋体" w:eastAsia="宋体" w:cs="宋体"/>
                <w:b w:val="0"/>
                <w:i w:val="0"/>
                <w:sz w:val="19"/>
              </w:rPr>
              <w:t>田间对照试验</w:t>
            </w:r>
          </w:p>
        </w:tc>
        <w:tc>
          <w:tcPr>
            <w:tcW w:type="dxa" w:w="1701"/>
          </w:tcPr>
          <w:p>
            <w:pPr>
              <w:keepNext/>
              <w:spacing w:line="240" w:lineRule="auto" w:after="40"/>
              <w:ind w:firstLine="0"/>
            </w:pPr>
            <w:r/>
            <w:r>
              <w:rPr>
                <w:rFonts w:ascii="宋体" w:hAnsi="宋体" w:eastAsia="宋体" w:cs="宋体"/>
                <w:b w:val="0"/>
                <w:i w:val="0"/>
                <w:sz w:val="19"/>
              </w:rPr>
              <w:t>【待填】%</w:t>
            </w:r>
          </w:p>
        </w:tc>
        <w:tc>
          <w:tcPr>
            <w:tcW w:type="dxa" w:w="4876"/>
          </w:tcPr>
          <w:p>
            <w:pPr>
              <w:keepNext/>
              <w:spacing w:line="240" w:lineRule="auto" w:after="40"/>
              <w:ind w:firstLine="0"/>
            </w:pPr>
            <w:r/>
            <w:r>
              <w:rPr>
                <w:rFonts w:ascii="宋体" w:hAnsi="宋体" w:eastAsia="宋体" w:cs="宋体"/>
                <w:b w:val="0"/>
                <w:i w:val="0"/>
                <w:sz w:val="19"/>
              </w:rPr>
              <w:t>示范区试验、人工观测对照、耗材与差旅——这是核心资产形成成本</w:t>
            </w:r>
          </w:p>
        </w:tc>
      </w:tr>
      <w:tr>
        <w:trPr>
          <w:cantSplit/>
        </w:trPr>
        <w:tc>
          <w:tcPr>
            <w:tcW w:type="dxa" w:w="2041"/>
          </w:tcPr>
          <w:p>
            <w:pPr>
              <w:keepNext/>
              <w:spacing w:line="240" w:lineRule="auto" w:after="40"/>
              <w:ind w:firstLine="0"/>
            </w:pPr>
            <w:r/>
            <w:r>
              <w:rPr>
                <w:rFonts w:ascii="宋体" w:hAnsi="宋体" w:eastAsia="宋体" w:cs="宋体"/>
                <w:b w:val="0"/>
                <w:i w:val="0"/>
                <w:sz w:val="19"/>
              </w:rPr>
              <w:t>监测节点小批量定做</w:t>
            </w:r>
          </w:p>
        </w:tc>
        <w:tc>
          <w:tcPr>
            <w:tcW w:type="dxa" w:w="1701"/>
          </w:tcPr>
          <w:p>
            <w:pPr>
              <w:keepNext/>
              <w:spacing w:line="240" w:lineRule="auto" w:after="40"/>
              <w:ind w:firstLine="0"/>
            </w:pPr>
            <w:r/>
            <w:r>
              <w:rPr>
                <w:rFonts w:ascii="宋体" w:hAnsi="宋体" w:eastAsia="宋体" w:cs="宋体"/>
                <w:b w:val="0"/>
                <w:i w:val="0"/>
                <w:sz w:val="19"/>
              </w:rPr>
              <w:t>【待填】%</w:t>
            </w:r>
          </w:p>
        </w:tc>
        <w:tc>
          <w:tcPr>
            <w:tcW w:type="dxa" w:w="4876"/>
          </w:tcPr>
          <w:p>
            <w:pPr>
              <w:keepNext/>
              <w:spacing w:line="240" w:lineRule="auto" w:after="40"/>
              <w:ind w:firstLine="0"/>
            </w:pPr>
            <w:r/>
            <w:r>
              <w:rPr>
                <w:rFonts w:ascii="宋体" w:hAnsi="宋体" w:eastAsia="宋体" w:cs="宋体"/>
                <w:b w:val="0"/>
                <w:i w:val="0"/>
                <w:sz w:val="19"/>
              </w:rPr>
              <w:t>硬件物料与加工，用于示范点部署</w:t>
            </w:r>
          </w:p>
        </w:tc>
      </w:tr>
      <w:tr>
        <w:trPr>
          <w:cantSplit/>
        </w:trPr>
        <w:tc>
          <w:tcPr>
            <w:tcW w:type="dxa" w:w="2041"/>
          </w:tcPr>
          <w:p>
            <w:pPr>
              <w:keepNext/>
              <w:spacing w:line="240" w:lineRule="auto" w:after="40"/>
              <w:ind w:firstLine="0"/>
            </w:pPr>
            <w:r/>
            <w:r>
              <w:rPr>
                <w:rFonts w:ascii="宋体" w:hAnsi="宋体" w:eastAsia="宋体" w:cs="宋体"/>
                <w:b w:val="0"/>
                <w:i w:val="0"/>
                <w:sz w:val="19"/>
              </w:rPr>
              <w:t>算力与云服务</w:t>
            </w:r>
          </w:p>
        </w:tc>
        <w:tc>
          <w:tcPr>
            <w:tcW w:type="dxa" w:w="1701"/>
          </w:tcPr>
          <w:p>
            <w:pPr>
              <w:keepNext/>
              <w:spacing w:line="240" w:lineRule="auto" w:after="40"/>
              <w:ind w:firstLine="0"/>
            </w:pPr>
            <w:r/>
            <w:r>
              <w:rPr>
                <w:rFonts w:ascii="宋体" w:hAnsi="宋体" w:eastAsia="宋体" w:cs="宋体"/>
                <w:b w:val="0"/>
                <w:i w:val="0"/>
                <w:sz w:val="19"/>
              </w:rPr>
              <w:t>【待填】%</w:t>
            </w:r>
          </w:p>
        </w:tc>
        <w:tc>
          <w:tcPr>
            <w:tcW w:type="dxa" w:w="4876"/>
          </w:tcPr>
          <w:p>
            <w:pPr>
              <w:keepNext/>
              <w:spacing w:line="240" w:lineRule="auto" w:after="40"/>
              <w:ind w:firstLine="0"/>
            </w:pPr>
            <w:r/>
            <w:r>
              <w:rPr>
                <w:rFonts w:ascii="宋体" w:hAnsi="宋体" w:eastAsia="宋体" w:cs="宋体"/>
                <w:b w:val="0"/>
                <w:i w:val="0"/>
                <w:sz w:val="19"/>
              </w:rPr>
              <w:t>模型训练与平台运营</w:t>
            </w:r>
          </w:p>
        </w:tc>
      </w:tr>
      <w:tr>
        <w:trPr>
          <w:cantSplit/>
        </w:trPr>
        <w:tc>
          <w:tcPr>
            <w:tcW w:type="dxa" w:w="2041"/>
          </w:tcPr>
          <w:p>
            <w:pPr>
              <w:keepNext/>
              <w:spacing w:line="240" w:lineRule="auto" w:after="40"/>
              <w:ind w:firstLine="0"/>
            </w:pPr>
            <w:r/>
            <w:r>
              <w:rPr>
                <w:rFonts w:ascii="宋体" w:hAnsi="宋体" w:eastAsia="宋体" w:cs="宋体"/>
                <w:b w:val="0"/>
                <w:i w:val="0"/>
                <w:sz w:val="19"/>
              </w:rPr>
              <w:t>知识产权与合规</w:t>
            </w:r>
          </w:p>
        </w:tc>
        <w:tc>
          <w:tcPr>
            <w:tcW w:type="dxa" w:w="1701"/>
          </w:tcPr>
          <w:p>
            <w:pPr>
              <w:keepNext/>
              <w:spacing w:line="240" w:lineRule="auto" w:after="40"/>
              <w:ind w:firstLine="0"/>
            </w:pPr>
            <w:r/>
            <w:r>
              <w:rPr>
                <w:rFonts w:ascii="宋体" w:hAnsi="宋体" w:eastAsia="宋体" w:cs="宋体"/>
                <w:b w:val="0"/>
                <w:i w:val="0"/>
                <w:sz w:val="19"/>
              </w:rPr>
              <w:t>【待填】%</w:t>
            </w:r>
          </w:p>
        </w:tc>
        <w:tc>
          <w:tcPr>
            <w:tcW w:type="dxa" w:w="4876"/>
          </w:tcPr>
          <w:p>
            <w:pPr>
              <w:keepNext/>
              <w:spacing w:line="240" w:lineRule="auto" w:after="40"/>
              <w:ind w:firstLine="0"/>
            </w:pPr>
            <w:r/>
            <w:r>
              <w:rPr>
                <w:rFonts w:ascii="宋体" w:hAnsi="宋体" w:eastAsia="宋体" w:cs="宋体"/>
                <w:b w:val="0"/>
                <w:i w:val="0"/>
                <w:sz w:val="19"/>
              </w:rPr>
              <w:t>专利、软著、查新报告</w:t>
            </w:r>
          </w:p>
        </w:tc>
      </w:tr>
      <w:tr>
        <w:trPr>
          <w:cantSplit/>
        </w:trPr>
        <w:tc>
          <w:tcPr>
            <w:tcW w:type="dxa" w:w="2041"/>
          </w:tcPr>
          <w:p>
            <w:pPr>
              <w:keepNext/>
              <w:spacing w:line="240" w:lineRule="auto" w:after="40"/>
              <w:ind w:firstLine="0"/>
            </w:pPr>
            <w:r/>
            <w:r>
              <w:rPr>
                <w:rFonts w:ascii="宋体" w:hAnsi="宋体" w:eastAsia="宋体" w:cs="宋体"/>
                <w:b w:val="0"/>
                <w:i w:val="0"/>
                <w:sz w:val="19"/>
              </w:rPr>
              <w:t>市场与示范推广</w:t>
            </w:r>
          </w:p>
        </w:tc>
        <w:tc>
          <w:tcPr>
            <w:tcW w:type="dxa" w:w="1701"/>
          </w:tcPr>
          <w:p>
            <w:pPr>
              <w:keepNext/>
              <w:spacing w:line="240" w:lineRule="auto" w:after="40"/>
              <w:ind w:firstLine="0"/>
            </w:pPr>
            <w:r/>
            <w:r>
              <w:rPr>
                <w:rFonts w:ascii="宋体" w:hAnsi="宋体" w:eastAsia="宋体" w:cs="宋体"/>
                <w:b w:val="0"/>
                <w:i w:val="0"/>
                <w:sz w:val="19"/>
              </w:rPr>
              <w:t>【待填】%</w:t>
            </w:r>
          </w:p>
        </w:tc>
        <w:tc>
          <w:tcPr>
            <w:tcW w:type="dxa" w:w="4876"/>
          </w:tcPr>
          <w:p>
            <w:pPr>
              <w:keepNext/>
              <w:spacing w:line="240" w:lineRule="auto" w:after="40"/>
              <w:ind w:firstLine="0"/>
            </w:pPr>
            <w:r/>
            <w:r>
              <w:rPr>
                <w:rFonts w:ascii="宋体" w:hAnsi="宋体" w:eastAsia="宋体" w:cs="宋体"/>
                <w:b w:val="0"/>
                <w:i w:val="0"/>
                <w:sz w:val="19"/>
              </w:rPr>
              <w:t>示范点建设、展会、内容制作</w:t>
            </w:r>
          </w:p>
        </w:tc>
      </w:tr>
      <w:tr>
        <w:trPr>
          <w:cantSplit/>
        </w:trPr>
        <w:tc>
          <w:tcPr>
            <w:tcW w:type="dxa" w:w="2041"/>
          </w:tcPr>
          <w:p>
            <w:pPr>
              <w:spacing w:line="240" w:lineRule="auto" w:after="40"/>
              <w:ind w:firstLine="0"/>
            </w:pPr>
            <w:r/>
            <w:r>
              <w:rPr>
                <w:rFonts w:ascii="宋体" w:hAnsi="宋体" w:eastAsia="宋体" w:cs="宋体"/>
                <w:b w:val="0"/>
                <w:i w:val="0"/>
                <w:sz w:val="19"/>
              </w:rPr>
              <w:t>备用金</w:t>
            </w:r>
          </w:p>
        </w:tc>
        <w:tc>
          <w:tcPr>
            <w:tcW w:type="dxa" w:w="1701"/>
          </w:tcPr>
          <w:p>
            <w:pPr>
              <w:spacing w:line="240" w:lineRule="auto" w:after="40"/>
              <w:ind w:firstLine="0"/>
            </w:pPr>
            <w:r/>
            <w:r>
              <w:rPr>
                <w:rFonts w:ascii="宋体" w:hAnsi="宋体" w:eastAsia="宋体" w:cs="宋体"/>
                <w:b w:val="0"/>
                <w:i w:val="0"/>
                <w:sz w:val="19"/>
              </w:rPr>
              <w:t>【待填】%</w:t>
            </w:r>
          </w:p>
        </w:tc>
        <w:tc>
          <w:tcPr>
            <w:tcW w:type="dxa" w:w="4876"/>
          </w:tcPr>
          <w:p>
            <w:pPr>
              <w:spacing w:line="240" w:lineRule="auto" w:after="40"/>
              <w:ind w:firstLine="0"/>
            </w:pPr>
            <w:r/>
            <w:r>
              <w:rPr>
                <w:rFonts w:ascii="宋体" w:hAnsi="宋体" w:eastAsia="宋体" w:cs="宋体"/>
                <w:b w:val="0"/>
                <w:i w:val="0"/>
                <w:sz w:val="19"/>
              </w:rPr>
              <w:t>应对试验周期波动</w:t>
            </w:r>
          </w:p>
        </w:tc>
      </w:tr>
    </w:tbl>
    <w:p>
      <w:pPr>
        <w:keepNext w:val="0"/>
        <w:spacing w:line="312" w:lineRule="auto" w:before="120" w:after="80"/>
      </w:pPr>
      <w:r>
        <w:rPr>
          <w:rFonts w:ascii="宋体" w:hAnsi="宋体" w:eastAsia="宋体" w:cs="宋体"/>
          <w:b w:val="0"/>
          <w:i w:val="0"/>
          <w:sz w:val="24"/>
        </w:rPr>
        <w:t>本轮资金需求：【待填】万元，预计支撑【待填】个月，达成里程碑为【待填：例如完成 3 个示范点与首轮响应曲线标定】。</w:t>
      </w:r>
    </w:p>
    <w:p>
      <w:pPr>
        <w:pStyle w:val="Heading1"/>
        <w:keepNext/>
        <w:pageBreakBefore/>
        <w:spacing w:line="312" w:lineRule="auto" w:before="280" w:after="120"/>
        <w:ind w:firstLine="0"/>
      </w:pPr>
      <w:r>
        <w:rPr>
          <w:rFonts w:ascii="宋体" w:hAnsi="宋体" w:eastAsia="宋体" w:cs="宋体"/>
          <w:b/>
          <w:i w:val="0"/>
          <w:color w:val="000000"/>
          <w:sz w:val="32"/>
        </w:rPr>
        <w:t>第十一章  风险与应对</w:t>
      </w:r>
    </w:p>
    <w:tbl>
      <w:tblPr>
        <w:tblStyle w:val="TableGrid"/>
        <w:tblW w:type="auto" w:w="0"/>
        <w:jc w:val="center"/>
        <w:tblLook w:firstColumn="1" w:firstRow="1" w:lastColumn="0" w:lastRow="0" w:noHBand="0" w:noVBand="1" w:val="04A0"/>
      </w:tblPr>
      <w:tblGrid>
        <w:gridCol w:w="2948"/>
        <w:gridCol w:w="2948"/>
        <w:gridCol w:w="2948"/>
      </w:tblGrid>
      <w:tr>
        <w:trPr>
          <w:cantSplit/>
          <w:tblHeader/>
        </w:trPr>
        <w:tc>
          <w:tcPr>
            <w:tcW w:type="dxa" w:w="1134"/>
            <w:shd w:val="clear" w:fill="EFEFEF"/>
          </w:tcPr>
          <w:p>
            <w:pPr>
              <w:keepNext/>
              <w:spacing w:line="240" w:lineRule="auto" w:after="40"/>
              <w:ind w:firstLine="0"/>
              <w:jc w:val="center"/>
            </w:pPr>
            <w:r/>
            <w:r>
              <w:rPr>
                <w:rFonts w:ascii="宋体" w:hAnsi="宋体" w:eastAsia="宋体" w:cs="宋体"/>
                <w:b/>
                <w:i w:val="0"/>
                <w:sz w:val="18"/>
              </w:rPr>
              <w:t>风险类别</w:t>
            </w:r>
          </w:p>
        </w:tc>
        <w:tc>
          <w:tcPr>
            <w:tcW w:type="dxa" w:w="3061"/>
            <w:shd w:val="clear" w:fill="EFEFEF"/>
          </w:tcPr>
          <w:p>
            <w:pPr>
              <w:keepNext/>
              <w:spacing w:line="240" w:lineRule="auto" w:after="40"/>
              <w:ind w:firstLine="0"/>
              <w:jc w:val="center"/>
            </w:pPr>
            <w:r/>
            <w:r>
              <w:rPr>
                <w:rFonts w:ascii="宋体" w:hAnsi="宋体" w:eastAsia="宋体" w:cs="宋体"/>
                <w:b/>
                <w:i w:val="0"/>
                <w:sz w:val="18"/>
              </w:rPr>
              <w:t>风险与触发条件</w:t>
            </w:r>
          </w:p>
        </w:tc>
        <w:tc>
          <w:tcPr>
            <w:tcW w:type="dxa" w:w="4422"/>
            <w:shd w:val="clear" w:fill="EFEFEF"/>
          </w:tcPr>
          <w:p>
            <w:pPr>
              <w:keepNext/>
              <w:spacing w:line="240" w:lineRule="auto" w:after="40"/>
              <w:ind w:firstLine="0"/>
              <w:jc w:val="center"/>
            </w:pPr>
            <w:r/>
            <w:r>
              <w:rPr>
                <w:rFonts w:ascii="宋体" w:hAnsi="宋体" w:eastAsia="宋体" w:cs="宋体"/>
                <w:b/>
                <w:i w:val="0"/>
                <w:sz w:val="18"/>
              </w:rPr>
              <w:t>应对与兜底</w:t>
            </w:r>
          </w:p>
        </w:tc>
      </w:tr>
      <w:tr>
        <w:trPr>
          <w:cantSplit/>
        </w:trPr>
        <w:tc>
          <w:tcPr>
            <w:tcW w:type="dxa" w:w="1134"/>
          </w:tcPr>
          <w:p>
            <w:pPr>
              <w:spacing w:line="240" w:lineRule="auto" w:after="40"/>
              <w:ind w:firstLine="0"/>
            </w:pPr>
            <w:r/>
            <w:r>
              <w:rPr>
                <w:rFonts w:ascii="宋体" w:hAnsi="宋体" w:eastAsia="宋体" w:cs="宋体"/>
                <w:b w:val="0"/>
                <w:i w:val="0"/>
                <w:sz w:val="18"/>
              </w:rPr>
              <w:t>技术风险</w:t>
            </w:r>
          </w:p>
        </w:tc>
        <w:tc>
          <w:tcPr>
            <w:tcW w:type="dxa" w:w="3061"/>
          </w:tcPr>
          <w:p>
            <w:pPr>
              <w:spacing w:line="240" w:lineRule="auto" w:after="40"/>
              <w:ind w:firstLine="0"/>
            </w:pPr>
            <w:r/>
            <w:r>
              <w:rPr>
                <w:rFonts w:ascii="宋体" w:hAnsi="宋体" w:eastAsia="宋体" w:cs="宋体"/>
                <w:b w:val="0"/>
                <w:i w:val="0"/>
                <w:sz w:val="18"/>
              </w:rPr>
              <w:t>功能群级识别在复杂自然场景下精度不达预期；节点续航达不到田间要求</w:t>
            </w:r>
          </w:p>
        </w:tc>
        <w:tc>
          <w:tcPr>
            <w:tcW w:type="dxa" w:w="4422"/>
          </w:tcPr>
          <w:p>
            <w:pPr>
              <w:spacing w:line="240" w:lineRule="auto" w:after="40"/>
              <w:ind w:firstLine="0"/>
            </w:pPr>
            <w:r/>
            <w:r>
              <w:rPr>
                <w:rFonts w:ascii="宋体" w:hAnsi="宋体" w:eastAsia="宋体" w:cs="宋体"/>
                <w:b w:val="0"/>
                <w:i w:val="0"/>
                <w:sz w:val="18"/>
              </w:rPr>
              <w:t>先聚焦授粉服务单一场景做深；用跨模态一致性压低误报；如实报告置信区间；P1 阶段即在真实田间做长时续航测试，尽早暴露问题</w:t>
            </w:r>
          </w:p>
        </w:tc>
      </w:tr>
      <w:tr>
        <w:trPr>
          <w:cantSplit/>
        </w:trPr>
        <w:tc>
          <w:tcPr>
            <w:tcW w:type="dxa" w:w="1134"/>
          </w:tcPr>
          <w:p>
            <w:pPr>
              <w:spacing w:line="240" w:lineRule="auto" w:after="40"/>
              <w:ind w:firstLine="0"/>
            </w:pPr>
            <w:r/>
            <w:r>
              <w:rPr>
                <w:rFonts w:ascii="宋体" w:hAnsi="宋体" w:eastAsia="宋体" w:cs="宋体"/>
                <w:b w:val="0"/>
                <w:i w:val="0"/>
                <w:sz w:val="18"/>
              </w:rPr>
              <w:t>标定风险</w:t>
            </w:r>
          </w:p>
        </w:tc>
        <w:tc>
          <w:tcPr>
            <w:tcW w:type="dxa" w:w="3061"/>
          </w:tcPr>
          <w:p>
            <w:pPr>
              <w:spacing w:line="240" w:lineRule="auto" w:after="40"/>
              <w:ind w:firstLine="0"/>
            </w:pPr>
            <w:r/>
            <w:r>
              <w:rPr>
                <w:rFonts w:ascii="宋体" w:hAnsi="宋体" w:eastAsia="宋体" w:cs="宋体"/>
                <w:b w:val="0"/>
                <w:i w:val="0"/>
                <w:sz w:val="18"/>
              </w:rPr>
              <w:t>生态服务响应曲线依赖田间试验，周期长且受气候影响</w:t>
            </w:r>
          </w:p>
        </w:tc>
        <w:tc>
          <w:tcPr>
            <w:tcW w:type="dxa" w:w="4422"/>
          </w:tcPr>
          <w:p>
            <w:pPr>
              <w:spacing w:line="240" w:lineRule="auto" w:after="40"/>
              <w:ind w:firstLine="0"/>
            </w:pPr>
            <w:r/>
            <w:r>
              <w:rPr>
                <w:rFonts w:ascii="宋体" w:hAnsi="宋体" w:eastAsia="宋体" w:cs="宋体"/>
                <w:b w:val="0"/>
                <w:i w:val="0"/>
                <w:sz w:val="18"/>
              </w:rPr>
              <w:t>★ 这是核心创新点的前置条件，必须最早启动；先以文献区间作为默认参数并明确标注，随试验数据逐步替换</w:t>
            </w:r>
          </w:p>
        </w:tc>
      </w:tr>
      <w:tr>
        <w:trPr>
          <w:cantSplit/>
        </w:trPr>
        <w:tc>
          <w:tcPr>
            <w:tcW w:type="dxa" w:w="1134"/>
          </w:tcPr>
          <w:p>
            <w:pPr>
              <w:spacing w:line="240" w:lineRule="auto" w:after="40"/>
              <w:ind w:firstLine="0"/>
            </w:pPr>
            <w:r/>
            <w:r>
              <w:rPr>
                <w:rFonts w:ascii="宋体" w:hAnsi="宋体" w:eastAsia="宋体" w:cs="宋体"/>
                <w:b w:val="0"/>
                <w:i w:val="0"/>
                <w:sz w:val="18"/>
              </w:rPr>
              <w:t>合规风险</w:t>
            </w:r>
          </w:p>
        </w:tc>
        <w:tc>
          <w:tcPr>
            <w:tcW w:type="dxa" w:w="3061"/>
          </w:tcPr>
          <w:p>
            <w:pPr>
              <w:spacing w:line="240" w:lineRule="auto" w:after="40"/>
              <w:ind w:firstLine="0"/>
            </w:pPr>
            <w:r/>
            <w:r>
              <w:rPr>
                <w:rFonts w:ascii="宋体" w:hAnsi="宋体" w:eastAsia="宋体" w:cs="宋体"/>
                <w:b w:val="0"/>
                <w:i w:val="0"/>
                <w:sz w:val="18"/>
              </w:rPr>
              <w:t>农户与园区的数据涉及地理与经营信息</w:t>
            </w:r>
          </w:p>
        </w:tc>
        <w:tc>
          <w:tcPr>
            <w:tcW w:type="dxa" w:w="4422"/>
          </w:tcPr>
          <w:p>
            <w:pPr>
              <w:spacing w:line="240" w:lineRule="auto" w:after="40"/>
              <w:ind w:firstLine="0"/>
            </w:pPr>
            <w:r/>
            <w:r>
              <w:rPr>
                <w:rFonts w:ascii="宋体" w:hAnsi="宋体" w:eastAsia="宋体" w:cs="宋体"/>
                <w:b w:val="0"/>
                <w:i w:val="0"/>
                <w:sz w:val="18"/>
              </w:rPr>
              <w:t>仅采集非人目标与环境数据；地理坐标脱敏；数据授权、用途限定、可删除；提供完全离线的本地模式</w:t>
            </w:r>
          </w:p>
        </w:tc>
      </w:tr>
      <w:tr>
        <w:trPr>
          <w:cantSplit/>
        </w:trPr>
        <w:tc>
          <w:tcPr>
            <w:tcW w:type="dxa" w:w="1134"/>
          </w:tcPr>
          <w:p>
            <w:pPr>
              <w:spacing w:line="240" w:lineRule="auto" w:after="40"/>
              <w:ind w:firstLine="0"/>
            </w:pPr>
            <w:r/>
            <w:r>
              <w:rPr>
                <w:rFonts w:ascii="宋体" w:hAnsi="宋体" w:eastAsia="宋体" w:cs="宋体"/>
                <w:b w:val="0"/>
                <w:i w:val="0"/>
                <w:sz w:val="18"/>
              </w:rPr>
              <w:t>市场风险</w:t>
            </w:r>
          </w:p>
        </w:tc>
        <w:tc>
          <w:tcPr>
            <w:tcW w:type="dxa" w:w="3061"/>
          </w:tcPr>
          <w:p>
            <w:pPr>
              <w:spacing w:line="240" w:lineRule="auto" w:after="40"/>
              <w:ind w:firstLine="0"/>
            </w:pPr>
            <w:r/>
            <w:r>
              <w:rPr>
                <w:rFonts w:ascii="宋体" w:hAnsi="宋体" w:eastAsia="宋体" w:cs="宋体"/>
                <w:b w:val="0"/>
                <w:i w:val="0"/>
                <w:sz w:val="18"/>
              </w:rPr>
              <w:t>头部农业物联网公司进入该方向；种植主体认为"生态服务是公益"而不愿付费</w:t>
            </w:r>
          </w:p>
        </w:tc>
        <w:tc>
          <w:tcPr>
            <w:tcW w:type="dxa" w:w="4422"/>
          </w:tcPr>
          <w:p>
            <w:pPr>
              <w:spacing w:line="240" w:lineRule="auto" w:after="40"/>
              <w:ind w:firstLine="0"/>
            </w:pPr>
            <w:r/>
            <w:r>
              <w:rPr>
                <w:rFonts w:ascii="宋体" w:hAnsi="宋体" w:eastAsia="宋体" w:cs="宋体"/>
                <w:b w:val="0"/>
                <w:i w:val="0"/>
                <w:sz w:val="18"/>
              </w:rPr>
              <w:t>以数据、算法、生态、垂直四层壁垒应对，并在 12–18 个月内绑定品牌认知与标杆客户；把价值主张从"保护生态"转换为"减少减产风险 + 减少无效施药花费"</w:t>
            </w:r>
          </w:p>
        </w:tc>
      </w:tr>
      <w:tr>
        <w:trPr>
          <w:cantSplit/>
        </w:trPr>
        <w:tc>
          <w:tcPr>
            <w:tcW w:type="dxa" w:w="1134"/>
          </w:tcPr>
          <w:p>
            <w:pPr>
              <w:spacing w:line="240" w:lineRule="auto" w:after="40"/>
              <w:ind w:firstLine="0"/>
            </w:pPr>
            <w:r/>
            <w:r>
              <w:rPr>
                <w:rFonts w:ascii="宋体" w:hAnsi="宋体" w:eastAsia="宋体" w:cs="宋体"/>
                <w:b w:val="0"/>
                <w:i w:val="0"/>
                <w:sz w:val="18"/>
              </w:rPr>
              <w:t>团队风险</w:t>
            </w:r>
          </w:p>
        </w:tc>
        <w:tc>
          <w:tcPr>
            <w:tcW w:type="dxa" w:w="3061"/>
          </w:tcPr>
          <w:p>
            <w:pPr>
              <w:spacing w:line="240" w:lineRule="auto" w:after="40"/>
              <w:ind w:firstLine="0"/>
            </w:pPr>
            <w:r/>
            <w:r>
              <w:rPr>
                <w:rFonts w:ascii="宋体" w:hAnsi="宋体" w:eastAsia="宋体" w:cs="宋体"/>
                <w:b w:val="0"/>
                <w:i w:val="0"/>
                <w:sz w:val="18"/>
              </w:rPr>
              <w:t>仅 6–8 人，跨领域能力要求高，核心成员退出影响进度</w:t>
            </w:r>
          </w:p>
        </w:tc>
        <w:tc>
          <w:tcPr>
            <w:tcW w:type="dxa" w:w="4422"/>
          </w:tcPr>
          <w:p>
            <w:pPr>
              <w:spacing w:line="240" w:lineRule="auto" w:after="40"/>
              <w:ind w:firstLine="0"/>
            </w:pPr>
            <w:r/>
            <w:r>
              <w:rPr>
                <w:rFonts w:ascii="宋体" w:hAnsi="宋体" w:eastAsia="宋体" w:cs="宋体"/>
                <w:b w:val="0"/>
                <w:i w:val="0"/>
                <w:sz w:val="18"/>
              </w:rPr>
              <w:t>生态与农林组配置研究生 + 两位指导教师把关；以"通用能力用库、创新集中于服务核算"压缩工程量；关键模块文档化与脚本化，避免能力集中于单点</w:t>
            </w:r>
          </w:p>
        </w:tc>
      </w:tr>
      <w:tr>
        <w:trPr>
          <w:cantSplit/>
        </w:trPr>
        <w:tc>
          <w:tcPr>
            <w:tcW w:type="dxa" w:w="1134"/>
          </w:tcPr>
          <w:p>
            <w:pPr>
              <w:spacing w:line="240" w:lineRule="auto" w:after="40"/>
              <w:ind w:firstLine="0"/>
            </w:pPr>
            <w:r/>
            <w:r>
              <w:rPr>
                <w:rFonts w:ascii="宋体" w:hAnsi="宋体" w:eastAsia="宋体" w:cs="宋体"/>
                <w:b w:val="0"/>
                <w:i w:val="0"/>
                <w:sz w:val="18"/>
              </w:rPr>
              <w:t>财务风险</w:t>
            </w:r>
          </w:p>
        </w:tc>
        <w:tc>
          <w:tcPr>
            <w:tcW w:type="dxa" w:w="3061"/>
          </w:tcPr>
          <w:p>
            <w:pPr>
              <w:spacing w:line="240" w:lineRule="auto" w:after="40"/>
              <w:ind w:firstLine="0"/>
            </w:pPr>
            <w:r/>
            <w:r>
              <w:rPr>
                <w:rFonts w:ascii="宋体" w:hAnsi="宋体" w:eastAsia="宋体" w:cs="宋体"/>
                <w:b w:val="0"/>
                <w:i w:val="0"/>
                <w:sz w:val="18"/>
              </w:rPr>
              <w:t>硬件备料占用现金流；试验周期跨年导致回款延迟</w:t>
            </w:r>
          </w:p>
        </w:tc>
        <w:tc>
          <w:tcPr>
            <w:tcW w:type="dxa" w:w="4422"/>
          </w:tcPr>
          <w:p>
            <w:pPr>
              <w:spacing w:line="240" w:lineRule="auto" w:after="40"/>
              <w:ind w:firstLine="0"/>
            </w:pPr>
            <w:r/>
            <w:r>
              <w:rPr>
                <w:rFonts w:ascii="宋体" w:hAnsi="宋体" w:eastAsia="宋体" w:cs="宋体"/>
                <w:b w:val="0"/>
                <w:i w:val="0"/>
                <w:sz w:val="18"/>
              </w:rPr>
              <w:t>第一年以示范项目为主，硬件按订单定做而非备库存；优先争取政府项目与纵向经费覆盖试验成本；保留至少 6 个月固定支出作为备用金</w:t>
            </w:r>
          </w:p>
        </w:tc>
      </w:tr>
    </w:tbl>
    <w:p>
      <w:pPr>
        <w:pStyle w:val="Heading1"/>
        <w:keepNext/>
        <w:pageBreakBefore/>
        <w:spacing w:line="312" w:lineRule="auto" w:before="280" w:after="120"/>
        <w:ind w:firstLine="0"/>
      </w:pPr>
      <w:r>
        <w:rPr>
          <w:rFonts w:ascii="宋体" w:hAnsi="宋体" w:eastAsia="宋体" w:cs="宋体"/>
          <w:b/>
          <w:i w:val="0"/>
          <w:color w:val="000000"/>
          <w:sz w:val="32"/>
        </w:rPr>
        <w:t>第十二章  发展规划与融资需求</w:t>
      </w:r>
    </w:p>
    <w:p>
      <w:pPr>
        <w:pStyle w:val="Heading2"/>
        <w:keepNext/>
        <w:spacing w:line="312" w:lineRule="auto" w:before="200" w:after="120"/>
        <w:ind w:firstLine="0"/>
      </w:pPr>
      <w:r>
        <w:rPr>
          <w:rFonts w:ascii="宋体" w:hAnsi="宋体" w:eastAsia="宋体" w:cs="宋体"/>
          <w:b/>
          <w:i w:val="0"/>
          <w:color w:val="000000"/>
          <w:sz w:val="28"/>
        </w:rPr>
        <w:t>12.1 三阶段发展路径</w:t>
      </w:r>
    </w:p>
    <w:tbl>
      <w:tblPr>
        <w:tblStyle w:val="TableGrid"/>
        <w:tblW w:type="auto" w:w="0"/>
        <w:jc w:val="center"/>
        <w:tblLook w:firstColumn="1" w:firstRow="1" w:lastColumn="0" w:lastRow="0" w:noHBand="0" w:noVBand="1" w:val="04A0"/>
      </w:tblPr>
      <w:tblGrid>
        <w:gridCol w:w="2211"/>
        <w:gridCol w:w="2211"/>
        <w:gridCol w:w="2211"/>
        <w:gridCol w:w="2211"/>
      </w:tblGrid>
      <w:tr>
        <w:trPr>
          <w:cantSplit/>
          <w:tblHeader/>
        </w:trPr>
        <w:tc>
          <w:tcPr>
            <w:tcW w:type="dxa" w:w="1587"/>
            <w:shd w:val="clear" w:fill="EFEFEF"/>
          </w:tcPr>
          <w:p>
            <w:pPr>
              <w:keepNext/>
              <w:spacing w:line="240" w:lineRule="auto" w:after="40"/>
              <w:ind w:firstLine="0"/>
              <w:jc w:val="center"/>
            </w:pPr>
            <w:r/>
            <w:r>
              <w:rPr>
                <w:rFonts w:ascii="宋体" w:hAnsi="宋体" w:eastAsia="宋体" w:cs="宋体"/>
                <w:b/>
                <w:i w:val="0"/>
                <w:sz w:val="18"/>
              </w:rPr>
              <w:t>阶段</w:t>
            </w:r>
          </w:p>
        </w:tc>
        <w:tc>
          <w:tcPr>
            <w:tcW w:type="dxa" w:w="907"/>
            <w:shd w:val="clear" w:fill="EFEFEF"/>
          </w:tcPr>
          <w:p>
            <w:pPr>
              <w:keepNext/>
              <w:spacing w:line="240" w:lineRule="auto" w:after="40"/>
              <w:ind w:firstLine="0"/>
              <w:jc w:val="center"/>
            </w:pPr>
            <w:r/>
            <w:r>
              <w:rPr>
                <w:rFonts w:ascii="宋体" w:hAnsi="宋体" w:eastAsia="宋体" w:cs="宋体"/>
                <w:b/>
                <w:i w:val="0"/>
                <w:sz w:val="18"/>
              </w:rPr>
              <w:t>时间</w:t>
            </w:r>
          </w:p>
        </w:tc>
        <w:tc>
          <w:tcPr>
            <w:tcW w:type="dxa" w:w="3288"/>
            <w:shd w:val="clear" w:fill="EFEFEF"/>
          </w:tcPr>
          <w:p>
            <w:pPr>
              <w:keepNext/>
              <w:spacing w:line="240" w:lineRule="auto" w:after="40"/>
              <w:ind w:firstLine="0"/>
              <w:jc w:val="center"/>
            </w:pPr>
            <w:r/>
            <w:r>
              <w:rPr>
                <w:rFonts w:ascii="宋体" w:hAnsi="宋体" w:eastAsia="宋体" w:cs="宋体"/>
                <w:b/>
                <w:i w:val="0"/>
                <w:sz w:val="18"/>
              </w:rPr>
              <w:t>关键动作</w:t>
            </w:r>
          </w:p>
        </w:tc>
        <w:tc>
          <w:tcPr>
            <w:tcW w:type="dxa" w:w="2835"/>
            <w:shd w:val="clear" w:fill="EFEFEF"/>
          </w:tcPr>
          <w:p>
            <w:pPr>
              <w:keepNext/>
              <w:spacing w:line="240" w:lineRule="auto" w:after="40"/>
              <w:ind w:firstLine="0"/>
              <w:jc w:val="center"/>
            </w:pPr>
            <w:r/>
            <w:r>
              <w:rPr>
                <w:rFonts w:ascii="宋体" w:hAnsi="宋体" w:eastAsia="宋体" w:cs="宋体"/>
                <w:b/>
                <w:i w:val="0"/>
                <w:sz w:val="18"/>
              </w:rPr>
              <w:t>可检验的目标</w:t>
            </w:r>
          </w:p>
        </w:tc>
      </w:tr>
      <w:tr>
        <w:trPr>
          <w:cantSplit/>
        </w:trPr>
        <w:tc>
          <w:tcPr>
            <w:tcW w:type="dxa" w:w="1587"/>
          </w:tcPr>
          <w:p>
            <w:pPr>
              <w:keepNext/>
              <w:spacing w:line="240" w:lineRule="auto" w:after="40"/>
              <w:ind w:firstLine="0"/>
            </w:pPr>
            <w:r/>
            <w:r>
              <w:rPr>
                <w:rFonts w:ascii="宋体" w:hAnsi="宋体" w:eastAsia="宋体" w:cs="宋体"/>
                <w:b w:val="0"/>
                <w:i w:val="0"/>
                <w:sz w:val="18"/>
              </w:rPr>
              <w:t>技术验证与滩头突破</w:t>
            </w:r>
          </w:p>
        </w:tc>
        <w:tc>
          <w:tcPr>
            <w:tcW w:type="dxa" w:w="907"/>
          </w:tcPr>
          <w:p>
            <w:pPr>
              <w:keepNext/>
              <w:spacing w:line="240" w:lineRule="auto" w:after="40"/>
              <w:ind w:firstLine="0"/>
            </w:pPr>
            <w:r/>
            <w:r>
              <w:rPr>
                <w:rFonts w:ascii="宋体" w:hAnsi="宋体" w:eastAsia="宋体" w:cs="宋体"/>
                <w:b w:val="0"/>
                <w:i w:val="0"/>
                <w:sz w:val="18"/>
              </w:rPr>
              <w:t>第 1 年</w:t>
            </w:r>
          </w:p>
        </w:tc>
        <w:tc>
          <w:tcPr>
            <w:tcW w:type="dxa" w:w="3288"/>
          </w:tcPr>
          <w:p>
            <w:pPr>
              <w:keepNext/>
              <w:spacing w:line="240" w:lineRule="auto" w:after="40"/>
              <w:ind w:firstLine="0"/>
            </w:pPr>
            <w:r/>
            <w:r>
              <w:rPr>
                <w:rFonts w:ascii="宋体" w:hAnsi="宋体" w:eastAsia="宋体" w:cs="宋体"/>
                <w:b w:val="0"/>
                <w:i w:val="0"/>
                <w:sz w:val="18"/>
              </w:rPr>
              <w:t>完成多模态节点原型；拿下 2–3 个示范点；完成首轮授粉服务响应曲线标定；申请专利与软著</w:t>
            </w:r>
          </w:p>
        </w:tc>
        <w:tc>
          <w:tcPr>
            <w:tcW w:type="dxa" w:w="2835"/>
          </w:tcPr>
          <w:p>
            <w:pPr>
              <w:keepNext/>
              <w:spacing w:line="240" w:lineRule="auto" w:after="40"/>
              <w:ind w:firstLine="0"/>
            </w:pPr>
            <w:r/>
            <w:r>
              <w:rPr>
                <w:rFonts w:ascii="宋体" w:hAnsi="宋体" w:eastAsia="宋体" w:cs="宋体"/>
                <w:b w:val="0"/>
                <w:i w:val="0"/>
                <w:sz w:val="18"/>
              </w:rPr>
              <w:t>示范点增产对比数据、首批付费客户数</w:t>
            </w:r>
          </w:p>
        </w:tc>
      </w:tr>
      <w:tr>
        <w:trPr>
          <w:cantSplit/>
        </w:trPr>
        <w:tc>
          <w:tcPr>
            <w:tcW w:type="dxa" w:w="1587"/>
          </w:tcPr>
          <w:p>
            <w:pPr>
              <w:keepNext/>
              <w:spacing w:line="240" w:lineRule="auto" w:after="40"/>
              <w:ind w:firstLine="0"/>
            </w:pPr>
            <w:r/>
            <w:r>
              <w:rPr>
                <w:rFonts w:ascii="宋体" w:hAnsi="宋体" w:eastAsia="宋体" w:cs="宋体"/>
                <w:b w:val="0"/>
                <w:i w:val="0"/>
                <w:sz w:val="18"/>
              </w:rPr>
              <w:t>规模复制与产品化</w:t>
            </w:r>
          </w:p>
        </w:tc>
        <w:tc>
          <w:tcPr>
            <w:tcW w:type="dxa" w:w="907"/>
          </w:tcPr>
          <w:p>
            <w:pPr>
              <w:keepNext/>
              <w:spacing w:line="240" w:lineRule="auto" w:after="40"/>
              <w:ind w:firstLine="0"/>
            </w:pPr>
            <w:r/>
            <w:r>
              <w:rPr>
                <w:rFonts w:ascii="宋体" w:hAnsi="宋体" w:eastAsia="宋体" w:cs="宋体"/>
                <w:b w:val="0"/>
                <w:i w:val="0"/>
                <w:sz w:val="18"/>
              </w:rPr>
              <w:t>第 2 年</w:t>
            </w:r>
          </w:p>
        </w:tc>
        <w:tc>
          <w:tcPr>
            <w:tcW w:type="dxa" w:w="3288"/>
          </w:tcPr>
          <w:p>
            <w:pPr>
              <w:keepNext/>
              <w:spacing w:line="240" w:lineRule="auto" w:after="40"/>
              <w:ind w:firstLine="0"/>
            </w:pPr>
            <w:r/>
            <w:r>
              <w:rPr>
                <w:rFonts w:ascii="宋体" w:hAnsi="宋体" w:eastAsia="宋体" w:cs="宋体"/>
                <w:b w:val="0"/>
                <w:i w:val="0"/>
                <w:sz w:val="18"/>
              </w:rPr>
              <w:t>节点小批量量产与成本优化；平台 SaaS 上线；拓展粮食主产区与林业场景；与认证或保险机构试点</w:t>
            </w:r>
          </w:p>
        </w:tc>
        <w:tc>
          <w:tcPr>
            <w:tcW w:type="dxa" w:w="2835"/>
          </w:tcPr>
          <w:p>
            <w:pPr>
              <w:keepNext/>
              <w:spacing w:line="240" w:lineRule="auto" w:after="40"/>
              <w:ind w:firstLine="0"/>
            </w:pPr>
            <w:r/>
            <w:r>
              <w:rPr>
                <w:rFonts w:ascii="宋体" w:hAnsi="宋体" w:eastAsia="宋体" w:cs="宋体"/>
                <w:b w:val="0"/>
                <w:i w:val="0"/>
                <w:sz w:val="18"/>
              </w:rPr>
              <w:t>节点部署数量、复购与续费率</w:t>
            </w:r>
          </w:p>
        </w:tc>
      </w:tr>
      <w:tr>
        <w:trPr>
          <w:cantSplit/>
        </w:trPr>
        <w:tc>
          <w:tcPr>
            <w:tcW w:type="dxa" w:w="1587"/>
          </w:tcPr>
          <w:p>
            <w:pPr>
              <w:spacing w:line="240" w:lineRule="auto" w:after="40"/>
              <w:ind w:firstLine="0"/>
            </w:pPr>
            <w:r/>
            <w:r>
              <w:rPr>
                <w:rFonts w:ascii="宋体" w:hAnsi="宋体" w:eastAsia="宋体" w:cs="宋体"/>
                <w:b w:val="0"/>
                <w:i w:val="0"/>
                <w:sz w:val="18"/>
              </w:rPr>
              <w:t>标准建立与横向扩张</w:t>
            </w:r>
          </w:p>
        </w:tc>
        <w:tc>
          <w:tcPr>
            <w:tcW w:type="dxa" w:w="907"/>
          </w:tcPr>
          <w:p>
            <w:pPr>
              <w:spacing w:line="240" w:lineRule="auto" w:after="40"/>
              <w:ind w:firstLine="0"/>
            </w:pPr>
            <w:r/>
            <w:r>
              <w:rPr>
                <w:rFonts w:ascii="宋体" w:hAnsi="宋体" w:eastAsia="宋体" w:cs="宋体"/>
                <w:b w:val="0"/>
                <w:i w:val="0"/>
                <w:sz w:val="18"/>
              </w:rPr>
              <w:t>第 3 年</w:t>
            </w:r>
          </w:p>
        </w:tc>
        <w:tc>
          <w:tcPr>
            <w:tcW w:type="dxa" w:w="3288"/>
          </w:tcPr>
          <w:p>
            <w:pPr>
              <w:spacing w:line="240" w:lineRule="auto" w:after="40"/>
              <w:ind w:firstLine="0"/>
            </w:pPr>
            <w:r/>
            <w:r>
              <w:rPr>
                <w:rFonts w:ascii="宋体" w:hAnsi="宋体" w:eastAsia="宋体" w:cs="宋体"/>
                <w:b w:val="0"/>
                <w:i w:val="0"/>
                <w:sz w:val="18"/>
              </w:rPr>
              <w:t>推动有益生物监测与生态服务核算成为地方标准或行业参考；拓展生态补偿与生物多样性金融场景</w:t>
            </w:r>
          </w:p>
        </w:tc>
        <w:tc>
          <w:tcPr>
            <w:tcW w:type="dxa" w:w="2835"/>
          </w:tcPr>
          <w:p>
            <w:pPr>
              <w:spacing w:line="240" w:lineRule="auto" w:after="40"/>
              <w:ind w:firstLine="0"/>
            </w:pPr>
            <w:r/>
            <w:r>
              <w:rPr>
                <w:rFonts w:ascii="宋体" w:hAnsi="宋体" w:eastAsia="宋体" w:cs="宋体"/>
                <w:b w:val="0"/>
                <w:i w:val="0"/>
                <w:sz w:val="18"/>
              </w:rPr>
              <w:t>参与标准制定、政府项目合同</w:t>
            </w:r>
          </w:p>
        </w:tc>
      </w:tr>
    </w:tbl>
    <w:p>
      <w:pPr>
        <w:pStyle w:val="Heading2"/>
        <w:keepNext/>
        <w:spacing w:line="312" w:lineRule="auto" w:before="200" w:after="120"/>
        <w:ind w:firstLine="0"/>
      </w:pPr>
      <w:r>
        <w:rPr>
          <w:rFonts w:ascii="宋体" w:hAnsi="宋体" w:eastAsia="宋体" w:cs="宋体"/>
          <w:b/>
          <w:i w:val="0"/>
          <w:color w:val="000000"/>
          <w:sz w:val="28"/>
        </w:rPr>
        <w:t>12.2 里程碑与时间约束</w:t>
      </w:r>
    </w:p>
    <w:p>
      <w:pPr>
        <w:keepNext w:val="0"/>
        <w:spacing w:line="312" w:lineRule="auto" w:before="120" w:after="80"/>
        <w:ind w:firstLine="480"/>
      </w:pPr>
      <w:r>
        <w:rPr>
          <w:rFonts w:ascii="宋体" w:hAnsi="宋体" w:eastAsia="宋体" w:cs="宋体"/>
          <w:b w:val="0"/>
          <w:i w:val="0"/>
          <w:sz w:val="24"/>
        </w:rPr>
        <w:t>安排节奏时必须考虑两条行业约束：一是</w:t>
      </w:r>
      <w:r>
        <w:rPr>
          <w:rFonts w:ascii="宋体" w:hAnsi="宋体" w:eastAsia="宋体" w:cs="宋体"/>
          <w:b/>
          <w:i w:val="0"/>
          <w:sz w:val="24"/>
        </w:rPr>
        <w:t>农业试验必须落在作物生长季内</w:t>
      </w:r>
      <w:r>
        <w:rPr>
          <w:rFonts w:ascii="宋体" w:hAnsi="宋体" w:eastAsia="宋体" w:cs="宋体"/>
          <w:b w:val="0"/>
          <w:i w:val="0"/>
          <w:sz w:val="24"/>
        </w:rPr>
        <w:t>，错过一季就要再等一年，这是本项目最强的时间约束；二是</w:t>
      </w:r>
      <w:r>
        <w:rPr>
          <w:rFonts w:ascii="宋体" w:hAnsi="宋体" w:eastAsia="宋体" w:cs="宋体"/>
          <w:b/>
          <w:i w:val="0"/>
          <w:sz w:val="24"/>
        </w:rPr>
        <w:t>政府项目的预算与采购有年度周期</w:t>
      </w:r>
      <w:r>
        <w:rPr>
          <w:rFonts w:ascii="宋体" w:hAnsi="宋体" w:eastAsia="宋体" w:cs="宋体"/>
          <w:b w:val="0"/>
          <w:i w:val="0"/>
          <w:sz w:val="24"/>
        </w:rPr>
        <w:t>，对接要提前一个季度启动。</w:t>
      </w:r>
    </w:p>
    <w:tbl>
      <w:tblPr>
        <w:tblStyle w:val="TableGrid"/>
        <w:tblW w:type="auto" w:w="0"/>
        <w:jc w:val="center"/>
        <w:tblLook w:firstColumn="1" w:firstRow="1" w:lastColumn="0" w:lastRow="0" w:noHBand="0" w:noVBand="1" w:val="04A0"/>
      </w:tblPr>
      <w:tblGrid>
        <w:gridCol w:w="2948"/>
        <w:gridCol w:w="2948"/>
        <w:gridCol w:w="2948"/>
      </w:tblGrid>
      <w:tr>
        <w:trPr>
          <w:cantSplit/>
          <w:tblHeader/>
        </w:trPr>
        <w:tc>
          <w:tcPr>
            <w:tcW w:type="dxa" w:w="1701"/>
            <w:shd w:val="clear" w:fill="EFEFEF"/>
          </w:tcPr>
          <w:p>
            <w:pPr>
              <w:keepNext/>
              <w:spacing w:line="240" w:lineRule="auto" w:after="40"/>
              <w:ind w:firstLine="0"/>
              <w:jc w:val="center"/>
            </w:pPr>
            <w:r/>
            <w:r>
              <w:rPr>
                <w:rFonts w:ascii="宋体" w:hAnsi="宋体" w:eastAsia="宋体" w:cs="宋体"/>
                <w:b/>
                <w:i w:val="0"/>
                <w:sz w:val="18"/>
              </w:rPr>
              <w:t>时间</w:t>
            </w:r>
          </w:p>
        </w:tc>
        <w:tc>
          <w:tcPr>
            <w:tcW w:type="dxa" w:w="1814"/>
            <w:shd w:val="clear" w:fill="EFEFEF"/>
          </w:tcPr>
          <w:p>
            <w:pPr>
              <w:keepNext/>
              <w:spacing w:line="240" w:lineRule="auto" w:after="40"/>
              <w:ind w:firstLine="0"/>
              <w:jc w:val="center"/>
            </w:pPr>
            <w:r/>
            <w:r>
              <w:rPr>
                <w:rFonts w:ascii="宋体" w:hAnsi="宋体" w:eastAsia="宋体" w:cs="宋体"/>
                <w:b/>
                <w:i w:val="0"/>
                <w:sz w:val="18"/>
              </w:rPr>
              <w:t>阶段</w:t>
            </w:r>
          </w:p>
        </w:tc>
        <w:tc>
          <w:tcPr>
            <w:tcW w:type="dxa" w:w="5102"/>
            <w:shd w:val="clear" w:fill="EFEFEF"/>
          </w:tcPr>
          <w:p>
            <w:pPr>
              <w:keepNext/>
              <w:spacing w:line="240" w:lineRule="auto" w:after="40"/>
              <w:ind w:firstLine="0"/>
              <w:jc w:val="center"/>
            </w:pPr>
            <w:r/>
            <w:r>
              <w:rPr>
                <w:rFonts w:ascii="宋体" w:hAnsi="宋体" w:eastAsia="宋体" w:cs="宋体"/>
                <w:b/>
                <w:i w:val="0"/>
                <w:sz w:val="18"/>
              </w:rPr>
              <w:t>必须完成的事</w:t>
            </w:r>
          </w:p>
        </w:tc>
      </w:tr>
      <w:tr>
        <w:trPr>
          <w:cantSplit/>
        </w:trPr>
        <w:tc>
          <w:tcPr>
            <w:tcW w:type="dxa" w:w="1701"/>
          </w:tcPr>
          <w:p>
            <w:pPr>
              <w:keepNext/>
              <w:spacing w:line="240" w:lineRule="auto" w:after="40"/>
              <w:ind w:firstLine="0"/>
            </w:pPr>
            <w:r/>
            <w:r>
              <w:rPr>
                <w:rFonts w:ascii="宋体" w:hAnsi="宋体" w:eastAsia="宋体" w:cs="宋体"/>
                <w:b w:val="0"/>
                <w:i w:val="0"/>
                <w:sz w:val="18"/>
              </w:rPr>
              <w:t>立项后第 1–2 月</w:t>
            </w:r>
          </w:p>
        </w:tc>
        <w:tc>
          <w:tcPr>
            <w:tcW w:type="dxa" w:w="1814"/>
          </w:tcPr>
          <w:p>
            <w:pPr>
              <w:keepNext/>
              <w:spacing w:line="240" w:lineRule="auto" w:after="40"/>
              <w:ind w:firstLine="0"/>
            </w:pPr>
            <w:r/>
            <w:r>
              <w:rPr>
                <w:rFonts w:ascii="宋体" w:hAnsi="宋体" w:eastAsia="宋体" w:cs="宋体"/>
                <w:b w:val="0"/>
                <w:i w:val="0"/>
                <w:sz w:val="18"/>
              </w:rPr>
              <w:t>调研与取证</w:t>
            </w:r>
          </w:p>
        </w:tc>
        <w:tc>
          <w:tcPr>
            <w:tcW w:type="dxa" w:w="5102"/>
          </w:tcPr>
          <w:p>
            <w:pPr>
              <w:keepNext/>
              <w:spacing w:line="240" w:lineRule="auto" w:after="40"/>
              <w:ind w:firstLine="0"/>
            </w:pPr>
            <w:r/>
            <w:r>
              <w:rPr>
                <w:rFonts w:ascii="宋体" w:hAnsi="宋体" w:eastAsia="宋体" w:cs="宋体"/>
                <w:b w:val="0"/>
                <w:i w:val="0"/>
                <w:sz w:val="18"/>
              </w:rPr>
              <w:t>诱集物分类照片、用户访谈、政策文件整理、查新检索、示范点对接</w:t>
            </w:r>
          </w:p>
        </w:tc>
      </w:tr>
      <w:tr>
        <w:trPr>
          <w:cantSplit/>
        </w:trPr>
        <w:tc>
          <w:tcPr>
            <w:tcW w:type="dxa" w:w="1701"/>
          </w:tcPr>
          <w:p>
            <w:pPr>
              <w:keepNext/>
              <w:spacing w:line="240" w:lineRule="auto" w:after="40"/>
              <w:ind w:firstLine="0"/>
            </w:pPr>
            <w:r/>
            <w:r>
              <w:rPr>
                <w:rFonts w:ascii="宋体" w:hAnsi="宋体" w:eastAsia="宋体" w:cs="宋体"/>
                <w:b w:val="0"/>
                <w:i w:val="0"/>
                <w:sz w:val="18"/>
              </w:rPr>
              <w:t>第 3–5 月</w:t>
            </w:r>
          </w:p>
        </w:tc>
        <w:tc>
          <w:tcPr>
            <w:tcW w:type="dxa" w:w="1814"/>
          </w:tcPr>
          <w:p>
            <w:pPr>
              <w:keepNext/>
              <w:spacing w:line="240" w:lineRule="auto" w:after="40"/>
              <w:ind w:firstLine="0"/>
            </w:pPr>
            <w:r/>
            <w:r>
              <w:rPr>
                <w:rFonts w:ascii="宋体" w:hAnsi="宋体" w:eastAsia="宋体" w:cs="宋体"/>
                <w:b w:val="0"/>
                <w:i w:val="0"/>
                <w:sz w:val="18"/>
              </w:rPr>
              <w:t>原型开发</w:t>
            </w:r>
          </w:p>
        </w:tc>
        <w:tc>
          <w:tcPr>
            <w:tcW w:type="dxa" w:w="5102"/>
          </w:tcPr>
          <w:p>
            <w:pPr>
              <w:keepNext/>
              <w:spacing w:line="240" w:lineRule="auto" w:after="40"/>
              <w:ind w:firstLine="0"/>
            </w:pPr>
            <w:r/>
            <w:r>
              <w:rPr>
                <w:rFonts w:ascii="宋体" w:hAnsi="宋体" w:eastAsia="宋体" w:cs="宋体"/>
                <w:b w:val="0"/>
                <w:i w:val="0"/>
                <w:sz w:val="18"/>
              </w:rPr>
              <w:t>可现场演示的多模态节点（含至少一个功能群的识别效果）</w:t>
            </w:r>
          </w:p>
        </w:tc>
      </w:tr>
      <w:tr>
        <w:trPr>
          <w:cantSplit/>
        </w:trPr>
        <w:tc>
          <w:tcPr>
            <w:tcW w:type="dxa" w:w="1701"/>
          </w:tcPr>
          <w:p>
            <w:pPr>
              <w:keepNext/>
              <w:spacing w:line="240" w:lineRule="auto" w:after="40"/>
              <w:ind w:firstLine="0"/>
            </w:pPr>
            <w:r/>
            <w:r>
              <w:rPr>
                <w:rFonts w:ascii="宋体" w:hAnsi="宋体" w:eastAsia="宋体" w:cs="宋体"/>
                <w:b w:val="0"/>
                <w:i w:val="0"/>
                <w:sz w:val="18"/>
              </w:rPr>
              <w:t>★ 校赛前 1 个月</w:t>
            </w:r>
          </w:p>
        </w:tc>
        <w:tc>
          <w:tcPr>
            <w:tcW w:type="dxa" w:w="1814"/>
          </w:tcPr>
          <w:p>
            <w:pPr>
              <w:keepNext/>
              <w:spacing w:line="240" w:lineRule="auto" w:after="40"/>
              <w:ind w:firstLine="0"/>
            </w:pPr>
            <w:r/>
            <w:r>
              <w:rPr>
                <w:rFonts w:ascii="宋体" w:hAnsi="宋体" w:eastAsia="宋体" w:cs="宋体"/>
                <w:b w:val="0"/>
                <w:i w:val="0"/>
                <w:sz w:val="18"/>
              </w:rPr>
              <w:t>材料初稿</w:t>
            </w:r>
          </w:p>
        </w:tc>
        <w:tc>
          <w:tcPr>
            <w:tcW w:type="dxa" w:w="5102"/>
          </w:tcPr>
          <w:p>
            <w:pPr>
              <w:keepNext/>
              <w:spacing w:line="240" w:lineRule="auto" w:after="40"/>
              <w:ind w:firstLine="0"/>
            </w:pPr>
            <w:r/>
            <w:r>
              <w:rPr>
                <w:rFonts w:ascii="宋体" w:hAnsi="宋体" w:eastAsia="宋体" w:cs="宋体"/>
                <w:b w:val="0"/>
                <w:i w:val="0"/>
                <w:sz w:val="18"/>
              </w:rPr>
              <w:t>商业计划书初稿、演示视频、可离线运行的软件与节点</w:t>
            </w:r>
          </w:p>
        </w:tc>
      </w:tr>
      <w:tr>
        <w:trPr>
          <w:cantSplit/>
        </w:trPr>
        <w:tc>
          <w:tcPr>
            <w:tcW w:type="dxa" w:w="1701"/>
          </w:tcPr>
          <w:p>
            <w:pPr>
              <w:keepNext/>
              <w:spacing w:line="240" w:lineRule="auto" w:after="40"/>
              <w:ind w:firstLine="0"/>
            </w:pPr>
            <w:r/>
            <w:r>
              <w:rPr>
                <w:rFonts w:ascii="宋体" w:hAnsi="宋体" w:eastAsia="宋体" w:cs="宋体"/>
                <w:b w:val="0"/>
                <w:i w:val="0"/>
                <w:sz w:val="18"/>
              </w:rPr>
              <w:t>校赛至省赛</w:t>
            </w:r>
          </w:p>
        </w:tc>
        <w:tc>
          <w:tcPr>
            <w:tcW w:type="dxa" w:w="1814"/>
          </w:tcPr>
          <w:p>
            <w:pPr>
              <w:keepNext/>
              <w:spacing w:line="240" w:lineRule="auto" w:after="40"/>
              <w:ind w:firstLine="0"/>
            </w:pPr>
            <w:r/>
            <w:r>
              <w:rPr>
                <w:rFonts w:ascii="宋体" w:hAnsi="宋体" w:eastAsia="宋体" w:cs="宋体"/>
                <w:b w:val="0"/>
                <w:i w:val="0"/>
                <w:sz w:val="18"/>
              </w:rPr>
              <w:t>试验与知识产权</w:t>
            </w:r>
          </w:p>
        </w:tc>
        <w:tc>
          <w:tcPr>
            <w:tcW w:type="dxa" w:w="5102"/>
          </w:tcPr>
          <w:p>
            <w:pPr>
              <w:keepNext/>
              <w:spacing w:line="240" w:lineRule="auto" w:after="40"/>
              <w:ind w:firstLine="0"/>
            </w:pPr>
            <w:r/>
            <w:r>
              <w:rPr>
                <w:rFonts w:ascii="宋体" w:hAnsi="宋体" w:eastAsia="宋体" w:cs="宋体"/>
                <w:b w:val="0"/>
                <w:i w:val="0"/>
                <w:sz w:val="18"/>
              </w:rPr>
              <w:t>田间对比试验数据、软著、专利受理、第三方测试</w:t>
            </w:r>
          </w:p>
        </w:tc>
      </w:tr>
      <w:tr>
        <w:trPr>
          <w:cantSplit/>
        </w:trPr>
        <w:tc>
          <w:tcPr>
            <w:tcW w:type="dxa" w:w="1701"/>
          </w:tcPr>
          <w:p>
            <w:pPr>
              <w:spacing w:line="240" w:lineRule="auto" w:after="40"/>
              <w:ind w:firstLine="0"/>
            </w:pPr>
            <w:r/>
            <w:r>
              <w:rPr>
                <w:rFonts w:ascii="宋体" w:hAnsi="宋体" w:eastAsia="宋体" w:cs="宋体"/>
                <w:b w:val="0"/>
                <w:i w:val="0"/>
                <w:sz w:val="18"/>
              </w:rPr>
              <w:t>省赛至国赛</w:t>
            </w:r>
          </w:p>
        </w:tc>
        <w:tc>
          <w:tcPr>
            <w:tcW w:type="dxa" w:w="1814"/>
          </w:tcPr>
          <w:p>
            <w:pPr>
              <w:spacing w:line="240" w:lineRule="auto" w:after="40"/>
              <w:ind w:firstLine="0"/>
            </w:pPr>
            <w:r/>
            <w:r>
              <w:rPr>
                <w:rFonts w:ascii="宋体" w:hAnsi="宋体" w:eastAsia="宋体" w:cs="宋体"/>
                <w:b w:val="0"/>
                <w:i w:val="0"/>
                <w:sz w:val="18"/>
              </w:rPr>
              <w:t>产品化与拓展</w:t>
            </w:r>
          </w:p>
        </w:tc>
        <w:tc>
          <w:tcPr>
            <w:tcW w:type="dxa" w:w="5102"/>
          </w:tcPr>
          <w:p>
            <w:pPr>
              <w:spacing w:line="240" w:lineRule="auto" w:after="40"/>
              <w:ind w:firstLine="0"/>
            </w:pPr>
            <w:r/>
            <w:r>
              <w:rPr>
                <w:rFonts w:ascii="宋体" w:hAnsi="宋体" w:eastAsia="宋体" w:cs="宋体"/>
                <w:b w:val="0"/>
                <w:i w:val="0"/>
                <w:sz w:val="18"/>
              </w:rPr>
              <w:t>示范点合作协议、用户使用证明、完整产品</w:t>
            </w:r>
          </w:p>
        </w:tc>
      </w:tr>
    </w:tbl>
    <w:p>
      <w:pPr>
        <w:pStyle w:val="Heading2"/>
        <w:keepNext/>
        <w:spacing w:line="312" w:lineRule="auto" w:before="200" w:after="120"/>
        <w:ind w:firstLine="0"/>
      </w:pPr>
      <w:r>
        <w:rPr>
          <w:rFonts w:ascii="宋体" w:hAnsi="宋体" w:eastAsia="宋体" w:cs="宋体"/>
          <w:b/>
          <w:i w:val="0"/>
          <w:color w:val="000000"/>
          <w:sz w:val="28"/>
        </w:rPr>
        <w:t>12.3 本轮资金需求</w:t>
      </w:r>
    </w:p>
    <w:p>
      <w:pPr>
        <w:keepNext w:val="0"/>
        <w:spacing w:line="312" w:lineRule="auto" w:before="120" w:after="80"/>
      </w:pPr>
      <w:r>
        <w:rPr>
          <w:rFonts w:ascii="宋体" w:hAnsi="宋体" w:eastAsia="宋体" w:cs="宋体"/>
          <w:b w:val="0"/>
          <w:i w:val="0"/>
          <w:sz w:val="24"/>
        </w:rPr>
        <w:t>本轮拟【待填：融资 / 申请经费】万元，用于田间对照试验、监测节点小批量定做、示范点建设与知识产权布局，预计支撑【待填】个月，达成里程碑为【待填】。</w:t>
      </w:r>
    </w:p>
    <w:p>
      <w:pPr>
        <w:keepNext w:val="0"/>
        <w:spacing w:line="312" w:lineRule="auto" w:before="0" w:after="80"/>
        <w:ind w:firstLine="480"/>
      </w:pPr>
      <w:r>
        <w:rPr>
          <w:rFonts w:ascii="宋体" w:hAnsi="宋体" w:eastAsia="宋体" w:cs="宋体"/>
          <w:b w:val="0"/>
          <w:i w:val="0"/>
          <w:sz w:val="24"/>
        </w:rPr>
        <w:t>下一轮的进入条件（不承诺具体估值）：完成首批付费客户的续费验证，并至少有一份核算报告被政府部门或认证机构实际采用。</w:t>
      </w:r>
    </w:p>
    <w:p>
      <w:pPr>
        <w:pStyle w:val="Heading1"/>
        <w:keepNext/>
        <w:spacing w:line="312" w:lineRule="auto" w:before="280" w:after="120"/>
        <w:ind w:firstLine="0"/>
      </w:pPr>
      <w:r>
        <w:rPr>
          <w:rFonts w:ascii="宋体" w:hAnsi="宋体" w:eastAsia="宋体" w:cs="宋体"/>
          <w:b/>
          <w:i w:val="0"/>
          <w:color w:val="000000"/>
          <w:sz w:val="32"/>
        </w:rPr>
        <w:t>附录清单</w:t>
      </w:r>
    </w:p>
    <w:p>
      <w:pPr>
        <w:keepNext w:val="0"/>
        <w:spacing w:line="312" w:lineRule="auto" w:before="0" w:after="80"/>
      </w:pPr>
      <w:r>
        <w:rPr>
          <w:rFonts w:ascii="宋体" w:hAnsi="宋体" w:eastAsia="宋体" w:cs="宋体"/>
          <w:b w:val="0"/>
          <w:i w:val="0"/>
          <w:sz w:val="24"/>
        </w:rPr>
        <w:t>正式提交时，本部分按以下清单组织（每一项都应与正文引用一一对应）：</w:t>
      </w:r>
    </w:p>
    <w:p>
      <w:pPr>
        <w:pStyle w:val="ListBullet"/>
        <w:spacing w:line="312" w:lineRule="auto" w:before="0" w:after="60"/>
        <w:ind w:left="480" w:firstLine="0"/>
      </w:pPr>
      <w:r>
        <w:rPr>
          <w:rFonts w:ascii="宋体" w:hAnsi="宋体" w:eastAsia="宋体" w:cs="宋体"/>
          <w:b w:val="0"/>
          <w:i w:val="0"/>
          <w:sz w:val="24"/>
        </w:rPr>
        <w:t>附录 A：团队成员简历与分工表</w:t>
      </w:r>
    </w:p>
    <w:p>
      <w:pPr>
        <w:pStyle w:val="ListBullet"/>
        <w:spacing w:line="312" w:lineRule="auto" w:before="0" w:after="60"/>
        <w:ind w:left="480" w:firstLine="0"/>
      </w:pPr>
      <w:r>
        <w:rPr>
          <w:rFonts w:ascii="宋体" w:hAnsi="宋体" w:eastAsia="宋体" w:cs="宋体"/>
          <w:b w:val="0"/>
          <w:i w:val="0"/>
          <w:sz w:val="24"/>
        </w:rPr>
        <w:t>附录 B：用户访谈记录（3–5 家，含录音与记录表）</w:t>
      </w:r>
    </w:p>
    <w:p>
      <w:pPr>
        <w:pStyle w:val="ListBullet"/>
        <w:spacing w:line="312" w:lineRule="auto" w:before="0" w:after="60"/>
        <w:ind w:left="480" w:firstLine="0"/>
      </w:pPr>
      <w:r>
        <w:rPr>
          <w:rFonts w:ascii="宋体" w:hAnsi="宋体" w:eastAsia="宋体" w:cs="宋体"/>
          <w:b w:val="0"/>
          <w:i w:val="0"/>
          <w:sz w:val="24"/>
        </w:rPr>
        <w:t>附录 C：田间对比试验原始数据与照片</w:t>
      </w:r>
    </w:p>
    <w:p>
      <w:pPr>
        <w:pStyle w:val="ListBullet"/>
        <w:spacing w:line="312" w:lineRule="auto" w:before="0" w:after="60"/>
        <w:ind w:left="480" w:firstLine="0"/>
      </w:pPr>
      <w:r>
        <w:rPr>
          <w:rFonts w:ascii="宋体" w:hAnsi="宋体" w:eastAsia="宋体" w:cs="宋体"/>
          <w:b w:val="0"/>
          <w:i w:val="0"/>
          <w:sz w:val="24"/>
        </w:rPr>
        <w:t>附录 D：知识产权清单与证书（专利受理、软著、论文）</w:t>
      </w:r>
    </w:p>
    <w:p>
      <w:pPr>
        <w:pStyle w:val="ListBullet"/>
        <w:spacing w:line="312" w:lineRule="auto" w:before="0" w:after="60"/>
        <w:ind w:left="480" w:firstLine="0"/>
      </w:pPr>
      <w:r>
        <w:rPr>
          <w:rFonts w:ascii="宋体" w:hAnsi="宋体" w:eastAsia="宋体" w:cs="宋体"/>
          <w:b w:val="0"/>
          <w:i w:val="0"/>
          <w:sz w:val="24"/>
        </w:rPr>
        <w:t>附录 E：财务测算明细表与假设说明</w:t>
      </w:r>
    </w:p>
    <w:p>
      <w:pPr>
        <w:pStyle w:val="ListBullet"/>
        <w:spacing w:line="312" w:lineRule="auto" w:before="0" w:after="60"/>
        <w:ind w:left="480" w:firstLine="0"/>
      </w:pPr>
      <w:r>
        <w:rPr>
          <w:rFonts w:ascii="宋体" w:hAnsi="宋体" w:eastAsia="宋体" w:cs="宋体"/>
          <w:b w:val="0"/>
          <w:i w:val="0"/>
          <w:sz w:val="24"/>
        </w:rPr>
        <w:t>附录 F：竞品与现状实测对照记录</w:t>
      </w:r>
    </w:p>
    <w:p>
      <w:pPr>
        <w:pStyle w:val="ListBullet"/>
        <w:spacing w:line="312" w:lineRule="auto" w:before="0" w:after="60"/>
        <w:ind w:left="480" w:firstLine="0"/>
      </w:pPr>
      <w:r>
        <w:rPr>
          <w:rFonts w:ascii="宋体" w:hAnsi="宋体" w:eastAsia="宋体" w:cs="宋体"/>
          <w:b w:val="0"/>
          <w:i w:val="0"/>
          <w:sz w:val="24"/>
        </w:rPr>
        <w:t>附录 G：答辩论据索引（问答与本材料的页码对应表）</w:t>
      </w:r>
    </w:p>
    <w:p>
      <w:pPr>
        <w:spacing w:before="40" w:after="160"/>
        <w:ind w:firstLine="0"/>
        <w:pBdr>
          <w:bottom w:val="single" w:sz="8" w:color="888888"/>
        </w:pBdr>
      </w:pPr>
    </w:p>
    <w:p>
      <w:pPr>
        <w:keepNext w:val="0"/>
        <w:spacing w:line="312" w:lineRule="auto" w:before="200" w:after="80"/>
        <w:jc w:val="center"/>
      </w:pPr>
      <w:r>
        <w:rPr>
          <w:rFonts w:ascii="宋体" w:hAnsi="宋体" w:eastAsia="宋体" w:cs="宋体"/>
          <w:b w:val="0"/>
          <w:i w:val="0"/>
          <w:sz w:val="22"/>
        </w:rPr>
        <w:t>（文档结束）</w:t>
      </w:r>
    </w:p>
    <w:sectPr w:rsidR="00FC693F" w:rsidRPr="0006063C" w:rsidSect="00034616">
      <w:footerReference w:type="default" r:id="rId9"/>
      <w:pgSz w:w="11906" w:h="16838"/>
      <w:pgMar w:top="1440" w:right="1474" w:bottom="1440" w:left="1587"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宋体" w:hAnsi="宋体" w:eastAsia="宋体" w:cs="宋体"/>
        <w:b w:val="0"/>
        <w:i w:val="0"/>
        <w:sz w:val="21"/>
      </w:rPr>
      <w:fldChar w:fldCharType="begin"/>
      <w:instrText xml:space="preserve">PAGE \* arabic \* MERGEFORMAT</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cs="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s="宋体"/>
    </w:rPr>
  </w:style>
  <w:style w:type="character" w:customStyle="1" w:styleId="HeaderChar">
    <w:name w:val="Header Char"/>
    <w:basedOn w:val="DefaultParagraphFont"/>
    <w:link w:val="Header"/>
    <w:uiPriority w:val="99"/>
    <w:rsid w:val="00E618BF"/>
    <w:rPr>
      <w:rFonts w:ascii="宋体" w:hAnsi="宋体" w:eastAsia="宋体" w:cs="宋体"/>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s="宋体"/>
    </w:rPr>
  </w:style>
  <w:style w:type="character" w:customStyle="1" w:styleId="FooterChar">
    <w:name w:val="Footer Char"/>
    <w:basedOn w:val="DefaultParagraphFont"/>
    <w:link w:val="Footer"/>
    <w:uiPriority w:val="99"/>
    <w:rsid w:val="00E618BF"/>
    <w:rPr>
      <w:rFonts w:ascii="宋体" w:hAnsi="宋体" w:eastAsia="宋体" w:cs="宋体"/>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cs="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cs="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cs="宋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宋体" w:hAnsi="宋体" w:eastAsia="宋体" w:cs="宋体"/>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宋体" w:hAnsi="宋体" w:eastAsia="宋体" w:cs="宋体"/>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宋体" w:hAnsi="宋体" w:eastAsia="宋体" w:cs="宋体"/>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宋体" w:hAnsi="宋体" w:eastAsia="宋体" w:cs="宋体"/>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宋体" w:hAnsi="宋体" w:eastAsia="宋体" w:cs="宋体"/>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宋体" w:hAnsi="宋体" w:eastAsia="宋体" w:cs="宋体"/>
      <w:i/>
      <w:iCs/>
      <w:color w:val="404040" w:themeColor="text1" w:themeTint="BF"/>
      <w:sz w:val="20"/>
      <w:szCs w:val="20"/>
    </w:rPr>
  </w:style>
  <w:style w:type="character" w:default="1" w:styleId="DefaultParagraphFont">
    <w:name w:val="Default Paragraph Font"/>
    <w:uiPriority w:val="1"/>
    <w:semiHidden/>
    <w:unhideWhenUsed/>
    <w:rPr>
      <w:rFonts w:ascii="宋体" w:hAnsi="宋体" w:eastAsia="宋体" w:cs="宋体"/>
    </w:rPr>
  </w:style>
  <w:style w:type="table" w:default="1" w:styleId="TableNormal">
    <w:name w:val="Normal Table"/>
    <w:uiPriority w:val="99"/>
    <w:semiHidden/>
    <w:unhideWhenUsed/>
    <w:rPr>
      <w:rFonts w:ascii="宋体" w:hAnsi="宋体" w:eastAsia="宋体" w:cs="宋体"/>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宋体" w:hAnsi="宋体" w:eastAsia="宋体" w:cs="宋体"/>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宋体" w:hAnsi="宋体" w:eastAsia="宋体" w:cs="宋体"/>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宋体" w:hAnsi="宋体" w:eastAsia="宋体" w:cs="宋体"/>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宋体" w:hAnsi="宋体" w:eastAsia="宋体" w:cs="宋体"/>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宋体" w:hAnsi="宋体" w:eastAsia="宋体" w:cs="宋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宋体" w:hAnsi="宋体" w:eastAsia="宋体" w:cs="宋体"/>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宋体" w:hAnsi="宋体" w:eastAsia="宋体" w:cs="宋体"/>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宋体" w:hAnsi="宋体" w:eastAsia="宋体" w:cs="宋体"/>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宋体" w:hAnsi="宋体" w:eastAsia="宋体" w:cs="宋体"/>
    </w:rPr>
  </w:style>
  <w:style w:type="paragraph" w:styleId="BodyText">
    <w:name w:val="Body Text"/>
    <w:basedOn w:val="Normal"/>
    <w:link w:val="BodyTextChar"/>
    <w:uiPriority w:val="99"/>
    <w:unhideWhenUsed/>
    <w:rsid w:val="00AA1D8D"/>
    <w:pPr>
      <w:spacing w:after="120"/>
    </w:pPr>
    <w:rPr>
      <w:rFonts w:ascii="宋体" w:hAnsi="宋体" w:eastAsia="宋体" w:cs="宋体"/>
    </w:rPr>
  </w:style>
  <w:style w:type="character" w:customStyle="1" w:styleId="BodyTextChar">
    <w:name w:val="Body Text Char"/>
    <w:basedOn w:val="DefaultParagraphFont"/>
    <w:link w:val="BodyText"/>
    <w:uiPriority w:val="99"/>
    <w:rsid w:val="00AA1D8D"/>
    <w:rPr>
      <w:rFonts w:ascii="宋体" w:hAnsi="宋体" w:eastAsia="宋体" w:cs="宋体"/>
    </w:rPr>
  </w:style>
  <w:style w:type="paragraph" w:styleId="BodyText2">
    <w:name w:val="Body Text 2"/>
    <w:basedOn w:val="Normal"/>
    <w:link w:val="BodyText2Char"/>
    <w:uiPriority w:val="99"/>
    <w:unhideWhenUsed/>
    <w:rsid w:val="00AA1D8D"/>
    <w:pPr>
      <w:spacing w:after="120" w:line="480" w:lineRule="auto"/>
    </w:pPr>
    <w:rPr>
      <w:rFonts w:ascii="宋体" w:hAnsi="宋体" w:eastAsia="宋体" w:cs="宋体"/>
    </w:rPr>
  </w:style>
  <w:style w:type="character" w:customStyle="1" w:styleId="BodyText2Char">
    <w:name w:val="Body Text 2 Char"/>
    <w:basedOn w:val="DefaultParagraphFont"/>
    <w:link w:val="BodyText2"/>
    <w:uiPriority w:val="99"/>
    <w:rsid w:val="00AA1D8D"/>
    <w:rPr>
      <w:rFonts w:ascii="宋体" w:hAnsi="宋体" w:eastAsia="宋体" w:cs="宋体"/>
    </w:rPr>
  </w:style>
  <w:style w:type="paragraph" w:styleId="BodyText3">
    <w:name w:val="Body Text 3"/>
    <w:basedOn w:val="Normal"/>
    <w:link w:val="BodyText3Char"/>
    <w:uiPriority w:val="99"/>
    <w:unhideWhenUsed/>
    <w:rsid w:val="00AA1D8D"/>
    <w:pPr>
      <w:spacing w:after="120"/>
    </w:pPr>
    <w:rPr>
      <w:rFonts w:ascii="宋体" w:hAnsi="宋体" w:eastAsia="宋体" w:cs="宋体"/>
      <w:sz w:val="16"/>
      <w:szCs w:val="16"/>
    </w:rPr>
  </w:style>
  <w:style w:type="character" w:customStyle="1" w:styleId="BodyText3Char">
    <w:name w:val="Body Text 3 Char"/>
    <w:basedOn w:val="DefaultParagraphFont"/>
    <w:link w:val="BodyText3"/>
    <w:uiPriority w:val="99"/>
    <w:rsid w:val="00AA1D8D"/>
    <w:rPr>
      <w:rFonts w:ascii="宋体" w:hAnsi="宋体" w:eastAsia="宋体" w:cs="宋体"/>
      <w:sz w:val="16"/>
      <w:szCs w:val="16"/>
    </w:rPr>
  </w:style>
  <w:style w:type="paragraph" w:styleId="List">
    <w:name w:val="List"/>
    <w:basedOn w:val="Normal"/>
    <w:uiPriority w:val="99"/>
    <w:unhideWhenUsed/>
    <w:rsid w:val="00AA1D8D"/>
    <w:pPr>
      <w:ind w:left="360" w:hanging="360"/>
      <w:contextualSpacing/>
    </w:pPr>
    <w:rPr>
      <w:rFonts w:ascii="宋体" w:hAnsi="宋体" w:eastAsia="宋体" w:cs="宋体"/>
    </w:rPr>
  </w:style>
  <w:style w:type="paragraph" w:styleId="List2">
    <w:name w:val="List 2"/>
    <w:basedOn w:val="Normal"/>
    <w:uiPriority w:val="99"/>
    <w:unhideWhenUsed/>
    <w:rsid w:val="00326F90"/>
    <w:pPr>
      <w:ind w:left="720" w:hanging="360"/>
      <w:contextualSpacing/>
    </w:pPr>
    <w:rPr>
      <w:rFonts w:ascii="宋体" w:hAnsi="宋体" w:eastAsia="宋体" w:cs="宋体"/>
    </w:rPr>
  </w:style>
  <w:style w:type="paragraph" w:styleId="List3">
    <w:name w:val="List 3"/>
    <w:basedOn w:val="Normal"/>
    <w:uiPriority w:val="99"/>
    <w:unhideWhenUsed/>
    <w:rsid w:val="00326F90"/>
    <w:pPr>
      <w:ind w:left="1080" w:hanging="360"/>
      <w:contextualSpacing/>
    </w:pPr>
    <w:rPr>
      <w:rFonts w:ascii="宋体" w:hAnsi="宋体" w:eastAsia="宋体" w:cs="宋体"/>
    </w:rPr>
  </w:style>
  <w:style w:type="paragraph" w:styleId="ListBullet">
    <w:name w:val="List Bullet"/>
    <w:basedOn w:val="Normal"/>
    <w:uiPriority w:val="99"/>
    <w:unhideWhenUsed/>
    <w:rsid w:val="00326F90"/>
    <w:pPr>
      <w:numPr>
        <w:numId w:val="1"/>
      </w:numPr>
      <w:contextualSpacing/>
    </w:pPr>
    <w:rPr>
      <w:rFonts w:ascii="宋体" w:hAnsi="宋体" w:eastAsia="宋体" w:cs="宋体"/>
    </w:rPr>
  </w:style>
  <w:style w:type="paragraph" w:styleId="ListBullet2">
    <w:name w:val="List Bullet 2"/>
    <w:basedOn w:val="Normal"/>
    <w:uiPriority w:val="99"/>
    <w:unhideWhenUsed/>
    <w:rsid w:val="00326F90"/>
    <w:pPr>
      <w:numPr>
        <w:numId w:val="2"/>
      </w:numPr>
      <w:contextualSpacing/>
    </w:pPr>
    <w:rPr>
      <w:rFonts w:ascii="宋体" w:hAnsi="宋体" w:eastAsia="宋体" w:cs="宋体"/>
    </w:rPr>
  </w:style>
  <w:style w:type="paragraph" w:styleId="ListBullet3">
    <w:name w:val="List Bullet 3"/>
    <w:basedOn w:val="Normal"/>
    <w:uiPriority w:val="99"/>
    <w:unhideWhenUsed/>
    <w:rsid w:val="00326F90"/>
    <w:pPr>
      <w:numPr>
        <w:numId w:val="3"/>
      </w:numPr>
      <w:contextualSpacing/>
    </w:pPr>
    <w:rPr>
      <w:rFonts w:ascii="宋体" w:hAnsi="宋体" w:eastAsia="宋体" w:cs="宋体"/>
    </w:rPr>
  </w:style>
  <w:style w:type="paragraph" w:styleId="ListNumber">
    <w:name w:val="List Number"/>
    <w:basedOn w:val="Normal"/>
    <w:uiPriority w:val="99"/>
    <w:unhideWhenUsed/>
    <w:rsid w:val="00326F90"/>
    <w:pPr>
      <w:numPr>
        <w:numId w:val="5"/>
      </w:numPr>
      <w:contextualSpacing/>
    </w:pPr>
    <w:rPr>
      <w:rFonts w:ascii="宋体" w:hAnsi="宋体" w:eastAsia="宋体" w:cs="宋体"/>
    </w:rPr>
  </w:style>
  <w:style w:type="paragraph" w:styleId="ListNumber2">
    <w:name w:val="List Number 2"/>
    <w:basedOn w:val="Normal"/>
    <w:uiPriority w:val="99"/>
    <w:unhideWhenUsed/>
    <w:rsid w:val="0029639D"/>
    <w:pPr>
      <w:numPr>
        <w:numId w:val="6"/>
      </w:numPr>
      <w:contextualSpacing/>
    </w:pPr>
    <w:rPr>
      <w:rFonts w:ascii="宋体" w:hAnsi="宋体" w:eastAsia="宋体" w:cs="宋体"/>
    </w:rPr>
  </w:style>
  <w:style w:type="paragraph" w:styleId="ListNumber3">
    <w:name w:val="List Number 3"/>
    <w:basedOn w:val="Normal"/>
    <w:uiPriority w:val="99"/>
    <w:unhideWhenUsed/>
    <w:rsid w:val="0029639D"/>
    <w:pPr>
      <w:numPr>
        <w:numId w:val="7"/>
      </w:numPr>
      <w:contextualSpacing/>
    </w:pPr>
    <w:rPr>
      <w:rFonts w:ascii="宋体" w:hAnsi="宋体" w:eastAsia="宋体" w:cs="宋体"/>
    </w:rPr>
  </w:style>
  <w:style w:type="paragraph" w:styleId="ListContinue">
    <w:name w:val="List Continue"/>
    <w:basedOn w:val="Normal"/>
    <w:uiPriority w:val="99"/>
    <w:unhideWhenUsed/>
    <w:rsid w:val="0029639D"/>
    <w:pPr>
      <w:spacing w:after="120"/>
      <w:ind w:left="360"/>
      <w:contextualSpacing/>
    </w:pPr>
    <w:rPr>
      <w:rFonts w:ascii="宋体" w:hAnsi="宋体" w:eastAsia="宋体" w:cs="宋体"/>
    </w:rPr>
  </w:style>
  <w:style w:type="paragraph" w:styleId="ListContinue2">
    <w:name w:val="List Continue 2"/>
    <w:basedOn w:val="Normal"/>
    <w:uiPriority w:val="99"/>
    <w:unhideWhenUsed/>
    <w:rsid w:val="0029639D"/>
    <w:pPr>
      <w:spacing w:after="120"/>
      <w:ind w:left="720"/>
      <w:contextualSpacing/>
    </w:pPr>
    <w:rPr>
      <w:rFonts w:ascii="宋体" w:hAnsi="宋体" w:eastAsia="宋体" w:cs="宋体"/>
    </w:rPr>
  </w:style>
  <w:style w:type="paragraph" w:styleId="ListContinue3">
    <w:name w:val="List Continue 3"/>
    <w:basedOn w:val="Normal"/>
    <w:uiPriority w:val="99"/>
    <w:unhideWhenUsed/>
    <w:rsid w:val="0029639D"/>
    <w:pPr>
      <w:spacing w:after="120"/>
      <w:ind w:left="1080"/>
      <w:contextualSpacing/>
    </w:pPr>
    <w:rPr>
      <w:rFonts w:ascii="宋体" w:hAnsi="宋体" w:eastAsia="宋体" w:cs="宋体"/>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宋体" w:hAnsi="宋体" w:eastAsia="宋体" w:cs="宋体"/>
      <w:sz w:val="20"/>
      <w:szCs w:val="20"/>
    </w:rPr>
  </w:style>
  <w:style w:type="character" w:customStyle="1" w:styleId="MacroTextChar">
    <w:name w:val="Macro Text Char"/>
    <w:basedOn w:val="DefaultParagraphFont"/>
    <w:link w:val="MacroText"/>
    <w:uiPriority w:val="99"/>
    <w:rsid w:val="0029639D"/>
    <w:rPr>
      <w:rFonts w:ascii="宋体" w:hAnsi="宋体" w:eastAsia="宋体" w:cs="宋体"/>
      <w:sz w:val="20"/>
      <w:szCs w:val="20"/>
    </w:rPr>
  </w:style>
  <w:style w:type="paragraph" w:styleId="Quote">
    <w:name w:val="Quote"/>
    <w:basedOn w:val="Normal"/>
    <w:next w:val="Normal"/>
    <w:link w:val="QuoteChar"/>
    <w:uiPriority w:val="29"/>
    <w:qFormat/>
    <w:rsid w:val="00FC693F"/>
    <w:rPr>
      <w:rFonts w:ascii="宋体" w:hAnsi="宋体" w:eastAsia="宋体" w:cs="宋体"/>
      <w:i/>
      <w:iCs/>
      <w:color w:val="000000" w:themeColor="text1"/>
    </w:rPr>
  </w:style>
  <w:style w:type="character" w:customStyle="1" w:styleId="QuoteChar">
    <w:name w:val="Quote Char"/>
    <w:basedOn w:val="DefaultParagraphFont"/>
    <w:link w:val="Quote"/>
    <w:uiPriority w:val="29"/>
    <w:rsid w:val="00FC693F"/>
    <w:rPr>
      <w:rFonts w:ascii="宋体" w:hAnsi="宋体" w:eastAsia="宋体" w:cs="宋体"/>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宋体" w:hAnsi="宋体" w:eastAsia="宋体" w:cs="宋体"/>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宋体" w:hAnsi="宋体" w:eastAsia="宋体" w:cs="宋体"/>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宋体" w:hAnsi="宋体" w:eastAsia="宋体" w:cs="宋体"/>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宋体" w:hAnsi="宋体" w:eastAsia="宋体" w:cs="宋体"/>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宋体" w:hAnsi="宋体" w:eastAsia="宋体" w:cs="宋体"/>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宋体" w:hAnsi="宋体" w:eastAsia="宋体" w:cs="宋体"/>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宋体" w:hAnsi="宋体" w:eastAsia="宋体" w:cs="宋体"/>
      <w:b/>
      <w:bCs/>
      <w:color w:val="4F81BD" w:themeColor="accent1"/>
      <w:sz w:val="18"/>
      <w:szCs w:val="18"/>
    </w:rPr>
  </w:style>
  <w:style w:type="character" w:styleId="Strong">
    <w:name w:val="Strong"/>
    <w:basedOn w:val="DefaultParagraphFont"/>
    <w:uiPriority w:val="22"/>
    <w:qFormat/>
    <w:rsid w:val="00FC693F"/>
    <w:rPr>
      <w:rFonts w:ascii="宋体" w:hAnsi="宋体" w:eastAsia="宋体" w:cs="宋体"/>
      <w:b/>
      <w:bCs/>
    </w:rPr>
  </w:style>
  <w:style w:type="character" w:styleId="Emphasis">
    <w:name w:val="Emphasis"/>
    <w:basedOn w:val="DefaultParagraphFont"/>
    <w:uiPriority w:val="20"/>
    <w:qFormat/>
    <w:rsid w:val="00FC693F"/>
    <w:rPr>
      <w:rFonts w:ascii="宋体" w:hAnsi="宋体" w:eastAsia="宋体" w:cs="宋体"/>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宋体" w:hAnsi="宋体" w:eastAsia="宋体" w:cs="宋体"/>
      <w:b/>
      <w:bCs/>
      <w:i/>
      <w:iCs/>
      <w:color w:val="4F81BD" w:themeColor="accent1"/>
    </w:rPr>
  </w:style>
  <w:style w:type="character" w:customStyle="1" w:styleId="IntenseQuoteChar">
    <w:name w:val="Intense Quote Char"/>
    <w:basedOn w:val="DefaultParagraphFont"/>
    <w:link w:val="IntenseQuote"/>
    <w:uiPriority w:val="30"/>
    <w:rsid w:val="00FC693F"/>
    <w:rPr>
      <w:rFonts w:ascii="宋体" w:hAnsi="宋体" w:eastAsia="宋体" w:cs="宋体"/>
      <w:b/>
      <w:bCs/>
      <w:i/>
      <w:iCs/>
      <w:color w:val="4F81BD" w:themeColor="accent1"/>
    </w:rPr>
  </w:style>
  <w:style w:type="character" w:styleId="SubtleEmphasis">
    <w:name w:val="Subtle Emphasis"/>
    <w:basedOn w:val="DefaultParagraphFont"/>
    <w:uiPriority w:val="19"/>
    <w:qFormat/>
    <w:rsid w:val="00FC693F"/>
    <w:rPr>
      <w:rFonts w:ascii="宋体" w:hAnsi="宋体" w:eastAsia="宋体" w:cs="宋体"/>
      <w:i/>
      <w:iCs/>
      <w:color w:val="808080" w:themeColor="text1" w:themeTint="7F"/>
    </w:rPr>
  </w:style>
  <w:style w:type="character" w:styleId="IntenseEmphasis">
    <w:name w:val="Intense Emphasis"/>
    <w:basedOn w:val="DefaultParagraphFont"/>
    <w:uiPriority w:val="21"/>
    <w:qFormat/>
    <w:rsid w:val="00FC693F"/>
    <w:rPr>
      <w:rFonts w:ascii="宋体" w:hAnsi="宋体" w:eastAsia="宋体" w:cs="宋体"/>
      <w:b/>
      <w:bCs/>
      <w:i/>
      <w:iCs/>
      <w:color w:val="4F81BD" w:themeColor="accent1"/>
    </w:rPr>
  </w:style>
  <w:style w:type="character" w:styleId="SubtleReference">
    <w:name w:val="Subtle Reference"/>
    <w:basedOn w:val="DefaultParagraphFont"/>
    <w:uiPriority w:val="31"/>
    <w:qFormat/>
    <w:rsid w:val="00FC693F"/>
    <w:rPr>
      <w:rFonts w:ascii="宋体" w:hAnsi="宋体" w:eastAsia="宋体" w:cs="宋体"/>
      <w:smallCaps/>
      <w:color w:val="C0504D" w:themeColor="accent2"/>
      <w:u w:val="single"/>
    </w:rPr>
  </w:style>
  <w:style w:type="character" w:styleId="IntenseReference">
    <w:name w:val="Intense Reference"/>
    <w:basedOn w:val="DefaultParagraphFont"/>
    <w:uiPriority w:val="32"/>
    <w:qFormat/>
    <w:rsid w:val="00FC693F"/>
    <w:rPr>
      <w:rFonts w:ascii="宋体" w:hAnsi="宋体" w:eastAsia="宋体" w:cs="宋体"/>
      <w:b/>
      <w:bCs/>
      <w:smallCaps/>
      <w:color w:val="C0504D" w:themeColor="accent2"/>
      <w:spacing w:val="5"/>
      <w:u w:val="single"/>
    </w:rPr>
  </w:style>
  <w:style w:type="character" w:styleId="BookTitle">
    <w:name w:val="Book Title"/>
    <w:basedOn w:val="DefaultParagraphFont"/>
    <w:uiPriority w:val="33"/>
    <w:qFormat/>
    <w:rsid w:val="00FC693F"/>
    <w:rPr>
      <w:rFonts w:ascii="宋体" w:hAnsi="宋体" w:eastAsia="宋体" w:cs="宋体"/>
      <w:b/>
      <w:bCs/>
      <w:smallCaps/>
      <w:spacing w:val="5"/>
    </w:rPr>
  </w:style>
  <w:style w:type="paragraph" w:styleId="TOCHeading">
    <w:name w:val="TOC Heading"/>
    <w:basedOn w:val="Heading1"/>
    <w:next w:val="Normal"/>
    <w:uiPriority w:val="39"/>
    <w:semiHidden/>
    <w:unhideWhenUsed/>
    <w:qFormat/>
    <w:rsid w:val="00FC693F"/>
    <w:pPr>
      <w:outlineLvl w:val="9"/>
    </w:pPr>
    <w:rPr>
      <w:rFonts w:ascii="宋体" w:hAnsi="宋体" w:eastAsia="宋体" w:cs="宋体"/>
    </w:rPr>
  </w:style>
  <w:style w:type="table" w:styleId="TableGrid">
    <w:name w:val="Table Grid"/>
    <w:basedOn w:val="TableNormal"/>
    <w:uiPriority w:val="59"/>
    <w:rsid w:val="00FC693F"/>
    <w:pPr>
      <w:spacing w:after="0" w:line="240" w:lineRule="auto"/>
    </w:pPr>
    <w:rPr>
      <w:rFonts w:ascii="宋体" w:hAnsi="宋体" w:eastAsia="宋体" w:cs="宋体"/>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宋体" w:hAnsi="宋体" w:eastAsia="宋体" w:cs="宋体"/>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宋体" w:hAnsi="宋体" w:eastAsia="宋体" w:cs="宋体"/>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宋体" w:hAnsi="宋体" w:eastAsia="宋体" w:cs="宋体"/>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宋体" w:hAnsi="宋体" w:eastAsia="宋体" w:cs="宋体"/>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宋体" w:hAnsi="宋体" w:eastAsia="宋体" w:cs="宋体"/>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宋体" w:hAnsi="宋体" w:eastAsia="宋体" w:cs="宋体"/>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宋体" w:hAnsi="宋体" w:eastAsia="宋体" w:cs="宋体"/>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宋体" w:hAnsi="宋体" w:eastAsia="宋体" w:cs="宋体"/>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宋体" w:hAnsi="宋体" w:eastAsia="宋体" w:cs="宋体"/>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宋体" w:hAnsi="宋体" w:eastAsia="宋体" w:cs="宋体"/>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宋体" w:hAnsi="宋体" w:eastAsia="宋体" w:cs="宋体"/>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宋体" w:hAnsi="宋体" w:eastAsia="宋体" w:cs="宋体"/>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宋体" w:hAnsi="宋体" w:eastAsia="宋体" w:cs="宋体"/>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宋体" w:hAnsi="宋体" w:eastAsia="宋体" w:cs="宋体"/>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宋体" w:hAnsi="宋体" w:eastAsia="宋体" w:cs="宋体"/>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宋体" w:hAnsi="宋体" w:eastAsia="宋体" w:cs="宋体"/>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宋体" w:hAnsi="宋体" w:eastAsia="宋体" w:cs="宋体"/>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宋体" w:hAnsi="宋体" w:eastAsia="宋体" w:cs="宋体"/>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宋体" w:hAnsi="宋体" w:eastAsia="宋体" w:cs="宋体"/>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宋体" w:hAnsi="宋体" w:eastAsia="宋体" w:cs="宋体"/>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宋体" w:hAnsi="宋体" w:eastAsia="宋体" w:cs="宋体"/>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宋体" w:hAnsi="宋体" w:eastAsia="宋体" w:cs="宋体"/>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宋体" w:hAnsi="宋体" w:eastAsia="宋体" w:cs="宋体"/>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宋体" w:hAnsi="宋体" w:eastAsia="宋体" w:cs="宋体"/>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宋体" w:hAnsi="宋体" w:eastAsia="宋体" w:cs="宋体"/>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宋体" w:hAnsi="宋体" w:eastAsia="宋体" w:cs="宋体"/>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宋体" w:hAnsi="宋体" w:eastAsia="宋体" w:cs="宋体"/>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宋体" w:hAnsi="宋体" w:eastAsia="宋体" w:cs="宋体"/>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宋体" w:hAnsi="宋体" w:eastAsia="宋体" w:cs="宋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宋体" w:hAnsi="宋体" w:eastAsia="宋体" w:cs="宋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宋体" w:hAnsi="宋体" w:eastAsia="宋体" w:cs="宋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宋体" w:hAnsi="宋体" w:eastAsia="宋体" w:cs="宋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宋体" w:hAnsi="宋体" w:eastAsia="宋体" w:cs="宋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宋体" w:hAnsi="宋体" w:eastAsia="宋体" w:cs="宋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宋体" w:hAnsi="宋体" w:eastAsia="宋体" w:cs="宋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宋体" w:hAnsi="宋体" w:eastAsia="宋体" w:cs="宋体"/>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宋体" w:hAnsi="宋体" w:eastAsia="宋体" w:cs="宋体"/>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宋体" w:hAnsi="宋体" w:eastAsia="宋体" w:cs="宋体"/>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宋体" w:hAnsi="宋体" w:eastAsia="宋体" w:cs="宋体"/>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宋体" w:hAnsi="宋体" w:eastAsia="宋体" w:cs="宋体"/>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宋体" w:hAnsi="宋体" w:eastAsia="宋体" w:cs="宋体"/>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宋体" w:hAnsi="宋体" w:eastAsia="宋体" w:cs="宋体"/>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宋体" w:hAnsi="宋体" w:eastAsia="宋体" w:cs="宋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宋体" w:hAnsi="宋体" w:eastAsia="宋体" w:cs="宋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宋体" w:hAnsi="宋体" w:eastAsia="宋体" w:cs="宋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宋体" w:hAnsi="宋体" w:eastAsia="宋体" w:cs="宋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宋体" w:hAnsi="宋体" w:eastAsia="宋体" w:cs="宋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宋体" w:hAnsi="宋体" w:eastAsia="宋体" w:cs="宋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宋体" w:hAnsi="宋体" w:eastAsia="宋体" w:cs="宋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宋体" w:hAnsi="宋体" w:eastAsia="宋体" w:cs="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宋体" w:hAnsi="宋体" w:eastAsia="宋体" w:cs="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宋体" w:hAnsi="宋体" w:eastAsia="宋体" w:cs="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宋体" w:hAnsi="宋体" w:eastAsia="宋体" w:cs="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宋体" w:hAnsi="宋体" w:eastAsia="宋体" w:cs="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宋体" w:hAnsi="宋体" w:eastAsia="宋体" w:cs="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宋体" w:hAnsi="宋体" w:eastAsia="宋体" w:cs="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宋体" w:hAnsi="宋体" w:eastAsia="宋体" w:cs="宋体"/>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宋体" w:hAnsi="宋体" w:eastAsia="宋体" w:cs="宋体"/>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宋体" w:hAnsi="宋体" w:eastAsia="宋体" w:cs="宋体"/>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宋体" w:hAnsi="宋体" w:eastAsia="宋体" w:cs="宋体"/>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宋体" w:hAnsi="宋体" w:eastAsia="宋体" w:cs="宋体"/>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宋体" w:hAnsi="宋体" w:eastAsia="宋体" w:cs="宋体"/>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宋体" w:hAnsi="宋体" w:eastAsia="宋体" w:cs="宋体"/>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宋体" w:hAnsi="宋体" w:eastAsia="宋体" w:cs="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宋体" w:hAnsi="宋体" w:eastAsia="宋体" w:cs="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宋体" w:hAnsi="宋体" w:eastAsia="宋体" w:cs="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宋体" w:hAnsi="宋体" w:eastAsia="宋体" w:cs="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宋体" w:hAnsi="宋体" w:eastAsia="宋体" w:cs="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宋体" w:hAnsi="宋体" w:eastAsia="宋体" w:cs="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宋体" w:hAnsi="宋体" w:eastAsia="宋体" w:cs="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