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挑战杯·中国大学生创业计划竞赛</w:t>
      </w:r>
    </w:p>
    <w:p>
      <w:pPr>
        <w:spacing w:before="0" w:after="120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参 赛 材 料 编 制 系 列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商业计划书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（简 略 样 板）</w:t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0"/>
        </w:rPr>
      </w:r>
    </w:p>
    <w:p>
      <w:pPr>
        <w:spacing w:before="120" w:after="1000" w:line="312" w:lineRule="auto"/>
        <w:jc w:val="center"/>
      </w:pPr>
      <w:r>
        <w:rPr>
          <w:rFonts w:ascii="宋体" w:hAnsi="宋体" w:eastAsia="宋体" w:cs="宋体"/>
          <w:b w:val="0"/>
          <w:i w:val="0"/>
          <w:sz w:val="30"/>
        </w:rPr>
        <w:t>—— 县域医学影像质控与结构化报告系统 ——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项目名称：</w:t>
      </w:r>
      <w:r>
        <w:rPr>
          <w:rFonts w:ascii="宋体" w:hAnsi="宋体" w:eastAsia="宋体" w:cs="宋体"/>
          <w:b w:val="0"/>
          <w:i w:val="0"/>
          <w:sz w:val="26"/>
        </w:rPr>
        <w:t>县域医学影像质控与结构化报告系统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文档性质：</w:t>
      </w:r>
      <w:r>
        <w:rPr>
          <w:rFonts w:ascii="宋体" w:hAnsi="宋体" w:eastAsia="宋体" w:cs="宋体"/>
          <w:b w:val="0"/>
          <w:i w:val="0"/>
          <w:sz w:val="26"/>
        </w:rPr>
        <w:t>压缩样板，用于演示写法，不可直接提交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团队名称：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所在学校：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spacing w:after="320"/>
        <w:jc w:val="center"/>
      </w:pPr>
      <w:r>
        <w:rPr>
          <w:rFonts w:ascii="宋体" w:hAnsi="宋体" w:eastAsia="宋体" w:cs="宋体"/>
          <w:b/>
          <w:i w:val="0"/>
          <w:sz w:val="36"/>
        </w:rPr>
        <w:t>目    录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宋体" w:hAnsi="宋体" w:eastAsia="宋体" w:cs="宋体"/>
          <w:b/>
          <w:i w:val="0"/>
          <w:sz w:val="21"/>
        </w:rPr>
        <w:t>样板说明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执行摘要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第一章  项目概述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1.1  项目定位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1.2  项目缘起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1.3  当前进展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第二章  需求与痛点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2.1  政策背景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2.2  行业现状与痛点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2.3  四类用户与各自诉求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2.4  需求验证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第三章  产品与服务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3.1  总体方案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3.2  影像质控引擎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3.3  结构化报告引擎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3.4  典型应用场景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3.5  与现有系统的关系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第四章  技术与创新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4.1  技术架构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4.2  关键技术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4.3  创新点与壁垒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4.4  技术验证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第五章  市场分析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5.1  市场规模测算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5.2  目标客户与进入路径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5.3  竞争格局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第六章  商业模式与财务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6.1  收入结构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6.2  定价与依据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6.3  单位经济模型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6.4  三年财务预测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16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第七章  团队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7.1  团队分工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7.2  互补性论证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7.3  指导教师与顾问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18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第八章  风险与对策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19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8.1  合规边界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19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8.2  风险清单与应对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19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第九章  发展规划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9.1  三阶段规划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9.2  关键假设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附录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附录一  调研材料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附录二  合作意向与协议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附录三  知识产权证明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附录四  技术验证原始数据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附录五  系统界面与演示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附录六  财务测算明细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附录七  参考资料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样板说明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文是一份“压缩样板”，用于演示商业计划书写成什么样才算合格。它保留了完整商业计划书的全部章节骨架，但每一章都压缩到真实篇幅的三分之一左右，因此不能直接当作参赛作品提交——需要按《设计纲要》的篇幅预算扩写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阅读时请留意三件事：一是每一章的第一段都直接给出结论，后续才展开论证；二是每一个论断后面都跟着证据，或明确标注【待填】等待填入真实数据；三是全文没有出现“诊断”“准确率”这类会触发医疗器械注册问题的表述。这三点是评审最容易察觉、也最容易拉开差距的地方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【关于本文中的数字】</w:t>
      </w:r>
      <w:r>
        <w:rPr>
          <w:rFonts w:ascii="宋体" w:hAnsi="宋体" w:eastAsia="宋体" w:cs="宋体"/>
          <w:b w:val="0"/>
          <w:i w:val="0"/>
          <w:sz w:val="21"/>
        </w:rPr>
        <w:t>样板中的市场规模、价格、财务数字均为演示测算方法所用的示例值，不构成项目事实。团队必须以自己的调研数据与最新官方统计口径替换，并在标注处注明来源与年份。挑战杯评审对数据溯源的要求极为严格，一处无法说明出处的数字，会连带损害整份材料的可信度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【关于本文中的重复】</w:t>
      </w:r>
      <w:r>
        <w:rPr>
          <w:rFonts w:ascii="宋体" w:hAnsi="宋体" w:eastAsia="宋体" w:cs="宋体"/>
          <w:b w:val="0"/>
          <w:i w:val="0"/>
          <w:sz w:val="21"/>
        </w:rPr>
        <w:t>你会注意到样板中部分内容与《项目简介》文档重复。这是正常的：商业计划书与项目简介本就应当共用同一套口径和素材。真正的差异在于详略与证据密度——商业计划书需要更完整的论证链条与更多的原始材料支撑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执行摘要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面向县域医共体与县级医院，提供一套影像质控与结构化报告系统，解决基层影像检查“质量不稳定、报告不规范、结果不敢互认”的问题。目前已完成系统原型，并在【待填】家县级医院完成回顾性验证，报告要素完整率由【待填】% 提升至【待填】%。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问题的核心不在设备，而在人。全国县级医院承担着县域居民的主要影像检查量，但影像科普遍面临诊断医师紧缺、夜班单人值守的困境。与此同时，国家持续推进检查检验结果互认，而互认的前提是“质量可比、报告可信”——在缺乏客观质量数据的情况下，上级医院最理性的选择就是不认。质量无法被量化，互认就无从落地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的方案是一套旁路部署的轻量系统，包含两个引擎：影像质控引擎自动完成图像质量、报告质量与流程效率的全量检查；结构化报告引擎把自由文本报告转化为标准术语的结构化数据。同一套内核按三个层级组装——科室端工作站、医院端质控驾驶舱、县域端质控平台，因此可以从一家科室起步，逐步长成一个县的质控基础设施。整套系统不替换医院已有的 PACS/RIS，实施周期通常可控制在两周以内。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我们不做诊断，只做质量。这一产品定位有两层考虑：一是医疗责任边界清晰，系统提供的是质量提示，最终判读仍由医师负责；二是合规路径短，不涉及辅助诊断类医疗器械的注册，因此落地阻力远小于影像 AI 诊断产品。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商业模式以医院年度订阅为主，区域平台项目与增值服务为辅。以单家县级医院测算，年收入【待填】万元，客户回收期约【待填】个月。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团队共 7 人，按“一人一岗、职责到章”分工，覆盖医学、技术、算法、产品、市场、财务六类职能，并配备【待填】名临床顾问。我们计划在 24 个月内覆盖【待填】家医院，成为【待填】个县域医共体的影像质控标准工具。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第一章  项目概述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1.1  项目定位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本项目面向县域医共体与县级医院，提供影像质控与结构化报告系统，把县级医院影像科从“拍得出片”升级为“拍得准、写得规范、看得好、可统计”。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1-1  项目定位卡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tblHeader/>
          <w:cantSplit/>
        </w:trPr>
        <w:tc>
          <w:tcPr>
            <w:tcW w:type="dxa" w:w="1746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要素</w:t>
            </w:r>
          </w:p>
        </w:tc>
        <w:tc>
          <w:tcPr>
            <w:tcW w:type="dxa" w:w="698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目标客户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紧密型县域医共体及其牵头医院（首要）；二级及以上县级医院；卫健委区域影像平台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核心问题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县域影像科“人不够、质不稳、认不了、算不清、用不活”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解决方案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影像质控引擎 + 结构化报告引擎，两层能力、三层落地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产品定位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质量控制与报告规范化工具，不做辅助诊断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商业模式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医院年度订阅为主，区域平台项目与增值服务为辅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团队规模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 人，覆盖医学、技术、算法、产品、市场、财务六类职能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当前阶段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【待填：原型完成 / 已完成 X 家医院回顾性验证】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1.2  项目缘起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本项目的缘起是【待填：写一件具体的事】。建议写团队成员在一次医院走访中的真实见闻，例如：某县医院影像科夜间仅一名医师值守，需要同时处理急诊 CT 判读与报告书写；或调阅历史报告时发现同一征象在不同医师笔下有七种写法，导致科室无法统计阳性率。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【写作要点】</w:t>
      </w:r>
      <w:r>
        <w:rPr>
          <w:rFonts w:ascii="宋体" w:hAnsi="宋体" w:eastAsia="宋体" w:cs="宋体"/>
          <w:b w:val="0"/>
          <w:i w:val="0"/>
          <w:sz w:val="21"/>
        </w:rPr>
        <w:t>缘起段落用一件真事胜过一段行业分析。评审读到这里时，判断的是“这个团队是不是真的贴近过用户”。如果写“我们在课堂上了解到县域医疗资源不足”，会立刻失去可信度。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1.3  当前进展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已完成系统原型开发，实现影像接入、图像质量评估、报告要素校验、结构化输出四项核心功能。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已完成【待填】家县级医院的实地调研，访谈影像科医师【待填】人，回收有效问卷【待填】份。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已在【待填】家医院完成回顾性验证，形成可追溯的验证报告（详见附录）。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已获得【待填】份医院合作意向书；已申请软件著作权【待填】项。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【写作要点】</w:t>
      </w:r>
      <w:r>
        <w:rPr>
          <w:rFonts w:ascii="宋体" w:hAnsi="宋体" w:eastAsia="宋体" w:cs="宋体"/>
          <w:b w:val="0"/>
          <w:i w:val="0"/>
          <w:sz w:val="21"/>
        </w:rPr>
        <w:t>进展章节只写可验证的事实，不写主观评价。不写“技术达到领先水平”，而写“已在 X 家医院完成验证，样本量 Y 例”。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第二章  需求与痛点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2.1  政策背景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国家持续推进医疗机构检查检验结果互认，明确要求医联体内实现互认；同时全面推进紧密型县域医共体建设，牵头医院对成员单位负有质量同质化管理责任；DRG/DIP 支付方式改革则推动医院从“多做检查”转向“做准检查”。三条政策指向同一个前提：影像质量必须可量化、可考核。这为本项目提供了明确的政策窗口。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【写作要点】</w:t>
      </w:r>
      <w:r>
        <w:rPr>
          <w:rFonts w:ascii="宋体" w:hAnsi="宋体" w:eastAsia="宋体" w:cs="宋体"/>
          <w:b w:val="0"/>
          <w:i w:val="0"/>
          <w:sz w:val="21"/>
        </w:rPr>
        <w:t>政策部分控制在 400 字以内，写法是“一句政策 + 一句推论”，不要罗列文件清单。文件名称与发布时间请以官方最新公布为准。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2.2  行业现状与痛点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我们把县域影像科的困境归纳为五个卡点，每一点都有调研证据支撑。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人手卡点。县级医院影像科普遍呈现“技师相对充足、诊断医师紧缺”的结构，夜间与节假日往往由一人承担全部急诊判读。【待填：调研得到的具体数字，例如某院全科诊断医师 X 人、日均检查量 Y 例、夜班 1 人】。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质量卡点。图像方面存在摆位不规范、扫描范围不完整、运动伪影、层厚与协议不符等问题；报告方面存在要素缺失、术语不统一、描述与结论不一致等问题。传统质控依赖人工抽片，覆盖率极低。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互认卡点。上级医院对基层质量缺乏信心，在责任无法界定的情况下宁可不认。缺少客观质量数据，互认就难以推进。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数据卡点。报告以自由文本存储，无法统计、无法检索、无法用于科研，医院积累的数据资产无法转化为管理价值。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考核卡点。卫健委与医共体缺乏有效抓手，现场督查覆盖面小、频次低、结果滞后，无法形成持续改进闭环。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2.3  四类用户与各自诉求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2-1  用户诉求对照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170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角色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核心诉求</w:t>
            </w:r>
          </w:p>
        </w:tc>
        <w:tc>
          <w:tcPr>
            <w:tcW w:type="dxa" w:w="419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我们的价值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影像科诊断医师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少出错、快出报告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实时质控提示把问题挡在提交之前；结构化模板压缩书写时间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科主任 / 质控员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科室质量有据可查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全量自动质控，自动生成质控月报与整改清单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医院管理者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等级评审过关，质量安全不出事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质控驾驶舱提供常态化数据留痕，随时可导出迎检材料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卫健委 / 医共体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区域质量同质化，考核有依据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区域质控平台自动汇总、自动排名、自动生成考核报表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患者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结果管用，不用重复检查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质量提升推动互认落地，减少重复检查与辐射暴露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2.4  需求验证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为验证需求的真实性，我们在【待填】家县级医院开展了实地调研，访谈影像科医师【待填】人、科室负责人【待填】人、医院信息与医务管理人员【待填】人，并回收有效问卷【待填】份。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调研结论有三点：第一，【待填】% 的受访医师将“报告要素不完整”列为最主要的质控问题；第二，受访医院在影像信息化方面的年投入区间为【待填】万元；第三，【待填】% 的受访者表示，若系统能在报告提交前提示要素缺失，愿意在日常工作中使用。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调研中，一位受访医师的原话是：“【待填：直接引用一句受访者的原话，并标注其职务】。”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【取证要求】</w:t>
      </w:r>
      <w:r>
        <w:rPr>
          <w:rFonts w:ascii="宋体" w:hAnsi="宋体" w:eastAsia="宋体" w:cs="宋体"/>
          <w:b w:val="0"/>
          <w:i w:val="0"/>
          <w:sz w:val="21"/>
        </w:rPr>
        <w:t>本节所有数字都必须能追溯到问卷原始数据或访谈记录，这些材料应完整放入附录。答辩时评委会追问样本量与调研方式，必须当场答得出来。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第三章  产品与服务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3.1  总体方案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我们的方案是在医生现有工作流之外，架设一条并行的“质量流水线”。它由两个引擎驱动，按三个层级交付。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引擎一，影像质控引擎，负责判断“好不好”。从技术质控、诊断质控、管理质控三个维度给出量化评分与问题清单。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引擎二，结构化报告引擎，负责把“好固定下来”。提供三条输入路径，输出机器可读的结构化数据。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三层落地：科室端工作站解决单机效率，医院端驾驶舱解决科室管理，县域端平台解决区域治理。三者共用一套质控规则与数据模型，因此可以“从小往大长”。</w:t>
      </w:r>
    </w:p>
    <w:p>
      <w:pPr>
        <w:spacing w:before="120" w:after="200" w:line="288" w:lineRule="auto"/>
        <w:jc w:val="center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宋体" w:hAnsi="宋体" w:eastAsia="宋体" w:cs="宋体"/>
          <w:b w:val="0"/>
          <w:i w:val="0"/>
          <w:color w:val="7F7F7F"/>
          <w:sz w:val="21"/>
        </w:rPr>
        <w:t>【图示】此处插入“总体方案架构图”：底部为数据接入层，中间为两个引擎并排，上方为三层应用，右侧标注统一的质控规则知识库。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3.2  影像质控引擎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质控引擎把过去依赖专家抽片评审的工作，变成每天自动运行的全量检查。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技术质控关注图像本身是否达标，可自动判定体位与摆位、扫描范围完整性、层厚与重建算法、曝光指数、运动伪影等问题，输出量化评分卡与整改建议。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诊断质控关注报告写得规不规范，校验要素完整性（如肺结节是否报告位置、大小、密度、边缘特征、随访建议）、术语规范性（是否使用 BI-RADS、Lung-RADS 等标准分级术语）、描述与结论的逻辑一致性。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管理质控统计全流程效率，输出报告及时率、平均报告时长、危急值上报率、重复检查率等指标，直接对应已发布的影像质控指标口径。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【关键设计原则】</w:t>
      </w:r>
      <w:r>
        <w:rPr>
          <w:rFonts w:ascii="宋体" w:hAnsi="宋体" w:eastAsia="宋体" w:cs="宋体"/>
          <w:b w:val="0"/>
          <w:i w:val="0"/>
          <w:sz w:val="21"/>
        </w:rPr>
        <w:t>质控提示是“建议”而非“拦截”，最终提交与否由医师决定。这既符合医疗责任划分的规范，也是系统能被医生接受的前提。这一句务必写进产品章节。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3.3  结构化报告引擎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结构性改变医生书写习惯的产品必然失败。因此我们设计三条并存的输入路径，医生任选其一，系统负责输出统一的结构化结果。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路径一，结构化点选：按“检查部位 × 检查方法 × 常见病种”提供模板，适合规范化程度高的常规检查。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路径二，语音或自由文本输入：系统自动识别并抽取结构化字段，反向填充表单，适合习惯自由书写的医师。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路径三，历史报告逆向结构化：批量解析医院历史自由文本报告，一次性把存量数据变成结构化数据。这条路径对医院管理者尤其有吸引力。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输出层面，一次书写同时产生两种结果：给医生和患者的是人可读的规范报告；给系统的是机器可读的结构化数据。结构化之后，系统可自动识别需要随访的病例并生成随访队列，患者再次检查时自动调取历史结果生成对比意见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3.4  典型应用场景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夜间急诊头颅 CT。凌晨两点，值班医师一人需同时处理急症判读与报告书写。系统自动完成技术质控，并在医师书写时提示“外伤性颅内出血报告需包含中线结构是否移位、脑室系统是否受压”。医师据此补充描述，报告在规定时限内签发。这个场景展示的不是替代医生，而是在医生最疲惫时兜住底线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肺结节报告的规范化与随访。传统自由文本可能只写“右肺上叶小结节，建议复查”，缺少大小、密度与随访周期。系统在提交前提示要素缺失，医师补充为完整描述，系统自动将患者纳入随访队列。一次检查由此变成连续的健康管理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3.5  与现有系统的关系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县级医院已投入大量资金建设 PACS/RIS，任何暗示推倒重来的方案都会被拒绝。我们的集成原则是“做加法，不做替换”。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通过 DICOM 标准接口与影像设备、PACS 通信，通过 HL7 或数据库视图与 RIS/HIS 对接，不要求厂商改造现有系统。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旁路部署，质控引擎以旁路方式获取数据。即使本系统停机，医院原有工作流完全不受影响。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不改变工作流，医生依然在原有系统阅片与书写，我们的界面以辅助窗口或轻量插件形式存在。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支持院内本地化部署，满足医院对数据安全的严格要求。</w:t>
      </w:r>
    </w:p>
    <w:p>
      <w:pPr>
        <w:spacing w:before="120" w:after="200" w:line="288" w:lineRule="auto"/>
        <w:jc w:val="center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宋体" w:hAnsi="宋体" w:eastAsia="宋体" w:cs="宋体"/>
          <w:b w:val="0"/>
          <w:i w:val="0"/>
          <w:color w:val="7F7F7F"/>
          <w:sz w:val="21"/>
        </w:rPr>
        <w:t>【图示】此处插入“与现有系统集成拓扑图”，用于直观说明旁路接入、不替换主系统的关系。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第四章  技术与创新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4.1  技术架构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系统采用分层架构，自下而上分为四层：集成层负责与设备及院内系统对接；数据层完成影像与报告的存储、索引与标准化；算法层包含图像质量评估、病灶检出辅助、报告语义解析与质控规则引擎四类能力；应用层面向三类用户提供三种界面形态。</w:t>
      </w:r>
    </w:p>
    <w:p>
      <w:pPr>
        <w:spacing w:before="120" w:after="200" w:line="288" w:lineRule="auto"/>
        <w:jc w:val="center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宋体" w:hAnsi="宋体" w:eastAsia="宋体" w:cs="宋体"/>
          <w:b w:val="0"/>
          <w:i w:val="0"/>
          <w:color w:val="7F7F7F"/>
          <w:sz w:val="21"/>
        </w:rPr>
        <w:t>【图示】此处插入“技术架构分层图”，每层标注关键技术选型与对外接口，并在算法层旁单列“质控规则知识库”，注明与算法层的双向关系。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4.2  关键技术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以下三项是本项目技术上的关键，均按“难点—做法—验证”三段式说明。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sz w:val="24"/>
        </w:rPr>
        <w:t>4.2.1  医学影像接入与标准化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难点在于不同厂商的 PACS 在 DICOM 实现上存在差异，私有标签与传输语法各不相同，“标准”接口并不总是标准。我们的做法是建立设备与系统兼容性矩阵，先在实验环境完成主流厂商模拟适配，形成可复用的接口适配层。验证方式是在【待填】家医院完成真实环境对接，记录首次对接耗时与问题类型分布。这正是影像 AI 公司普遍不擅长、而县域落地又必须解决的一环。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sz w:val="24"/>
        </w:rPr>
        <w:t>4.2.2  图像质量自动评估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难点在于质量判定包含大量主观因素。我们把质量维度拆解为可量化的子任务：摆位规范性通过解剖标志点相对位置判定，扫描范围完整性通过解剖边界检测判定，运动伪影通过图像梯度与频域特征估计。多个子任务结果加权融合为总分。验证方式是由【待填】名放射科医师对同一批图像独立评分，计算系统评分与专家评分的一致性系数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sz w:val="24"/>
        </w:rPr>
        <w:t>4.2.3  报告结构化与语义解析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难点在于医学报告表述高度自由。我们以标准术语体系为锚点构建术语字典，结合规则匹配与语义模型抽取字段；对置信度低的内容保留原文并标记，交由医生确认，而不是强行填充。验证方式是构建【待填】份真实报告的测试集，人工标注结构化字段，计算抽取的准确率与召回率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【关于大模型】</w:t>
      </w:r>
      <w:r>
        <w:rPr>
          <w:rFonts w:ascii="宋体" w:hAnsi="宋体" w:eastAsia="宋体" w:cs="宋体"/>
          <w:b w:val="0"/>
          <w:i w:val="0"/>
          <w:sz w:val="21"/>
        </w:rPr>
        <w:t>医学场景对“幻觉”的容忍度极低。建议表述为“采用大模型辅助 + 规则库约束 + 医生终审的三重机制”，强调规则库对输出的硬约束作用。这既体现技术先进性，又体现对医疗安全的敬畏。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4.3  创新点与壁垒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本项目与现有方案的核心差异在于：不做诊断做质量，合规路径更短、落地更快；不替换 PACS 做旁路增强，医院改造成本极低；面向县域而非三甲，产品在低资源环境下也能运行，价格在县域预算可承受范围内。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4-1  壁垒构成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170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壁垒类型</w:t>
            </w:r>
          </w:p>
        </w:tc>
        <w:tc>
          <w:tcPr>
            <w:tcW w:type="dxa" w:w="36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具体内容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积累方式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知识壁垒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质控规则知识库、结构化报告模板库、术语字典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与临床专家共建，用真实数据持续迭代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数据壁垒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经标注的影像质控数据集、结构化报告语料库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随项目落地自然沉淀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工程壁垒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多厂商 PACS 适配经验、低资源部署方案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在真实项目中逐型号积累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知识产权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软件著作权【待填】项、发明专利【待填】项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围绕图像质量评估、字段抽取、规则动态配置三个方向布局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4.4  技术验证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所有验证数据均可追溯。目前已完成【待填】家医院的回顾性验证，主要结果如下。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4-2  技术验证结果【待填】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170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验证维度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评价指标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图像质量评估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与专家评分的一致性系数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【待填】例影像，双盲评分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报告要素完整率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改造前后的完整率变化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【待填】份报告对比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字段抽取效果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准确率 / 召回率 / F1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【待填】份标注测试集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质控问题召回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系统检出占专家认定的比例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专家标注问题清单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【重要提醒】</w:t>
      </w:r>
      <w:r>
        <w:rPr>
          <w:rFonts w:ascii="宋体" w:hAnsi="宋体" w:eastAsia="宋体" w:cs="宋体"/>
          <w:b w:val="0"/>
          <w:i w:val="0"/>
          <w:sz w:val="21"/>
        </w:rPr>
        <w:t>验证数据必须真实可追溯。答辩时评委很可能追问“这个数字怎么来的”“测试集多少例”“谁做的标注”，无法当场回答的数据，不如不写。宁可指标保守但证据链完整，也不要指标漂亮却经不起追问。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第五章  市场分析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5.1  市场规模测算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我们采用自上而下与自下而上结合的方式测算。所有数字均给出公式与假设，未采用行业报告的直接结论。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5-1  市场规模测算（示例值，须以调研数据替换）【待填】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tblHeader/>
          <w:cantSplit/>
        </w:trPr>
        <w:tc>
          <w:tcPr>
            <w:tcW w:type="dxa" w:w="1020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测算口径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数量假设</w:t>
            </w:r>
          </w:p>
        </w:tc>
        <w:tc>
          <w:tcPr>
            <w:tcW w:type="dxa" w:w="1587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单价假设</w:t>
            </w:r>
          </w:p>
        </w:tc>
        <w:tc>
          <w:tcPr>
            <w:tcW w:type="dxa" w:w="1587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规模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TAM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全国县级医院数量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约【待填】家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【待填】万元/年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约【待填】亿元/年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SAM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其中信息化达标且属医共体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按【待填】% 计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【待填】万元/年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约【待填】亿元/年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SOM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三年内可触达的机构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按【待填】家计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【待填】万元/年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约【待填】万元/年</w:t>
            </w:r>
          </w:p>
        </w:tc>
      </w:tr>
    </w:tbl>
    <w:p>
      <w:pPr>
        <w:spacing w:after="0" w:line="240" w:lineRule="auto"/>
      </w:pP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【口径说明】</w:t>
      </w:r>
      <w:r>
        <w:rPr>
          <w:rFonts w:ascii="宋体" w:hAnsi="宋体" w:eastAsia="宋体" w:cs="宋体"/>
          <w:b w:val="0"/>
          <w:i w:val="0"/>
          <w:sz w:val="21"/>
        </w:rPr>
        <w:t>“全国县级医院数量”存在多种统计口径（是否含县级市、中医医院、民营医院）。必须选定一个口径并注明来源与年份，例如引用《中国卫生健康统计年鉴》或国家卫健委年度统计公报。口径不清是本项目市场分析最致命的失分点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5.2  目标客户与进入路径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资源有限的团队不能同时覆盖所有客户。我们的优先级是：紧密型县域医共体牵头医院优先，其次是单体二级甲等县级医院，再次是卫健委区域平台与第三方影像中心。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第一步，灯塔客户（0—6 个月）：选取 1 至 2 家合作意愿强的县级医院，以联合课题或试用方式落地，目标是产出可公开的量化效果数据。这一步的关键不是收入，而是证据。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第二步，医共体复制（6—18 个月）：以灯塔医院为样板，向其所隶属医共体及成员单位推广。此时销售逻辑是“同质化管理”——牵头医院需要工具来完成对成员单位的质量管理。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第三步，区域突破（18—36 个月）：以已落地医共体为案例，参与地市级卫健委的区域影像质控平台项目。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5.3  竞争格局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医学影像信息化领域不缺参与者。我们按四类梳理，并明确与每一类的差异。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5-2  竞争格局与差异化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147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竞争类型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他们的优势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他们的短板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我们的差异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传统 PACS/RIS 厂商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客户基数大，已有系统入口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重心在流程与存储，质控与结构化能力薄弱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专注质控与结构化垂直环节，做得更深；不争夺主系统，可成为其能力补充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影像 AI 辅助诊断公司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算法强、融资多、品牌响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受器械注册与医院付费能力限制，对报告规范与质控流程关注少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定位为质控工具，合规路径短、落地阻力小，不与其正面竞争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通用医疗质控厂商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已有医院质量管理客户资源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缺乏影像专业能力，难以处理 DICOM 与影像报告专业规则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在影像专业深度上具备明确优势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医院自研原型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贴合本院流程，成本低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无法跨院复制，无持续维护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提供产品化、可配置、可复制的方案</w:t>
            </w:r>
          </w:p>
        </w:tc>
      </w:tr>
    </w:tbl>
    <w:p>
      <w:pPr>
        <w:spacing w:after="0" w:line="240" w:lineRule="auto"/>
      </w:pP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第六章  商业模式与财务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6.1  收入结构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采用“一主两辅”的收入结构。收入来源不宜过多，来源过多通常意味着主战场尚未想清楚。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6-1  收入结构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170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收入类型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对象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计费方式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定位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医院年度订阅（主）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县级医院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按院年费或按设备数阶梯计费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现金流主体，可预测性高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区域平台项目（辅）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卫健委 / 医共体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一次性建设费 + 年度运维费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单笔金额大，树立标杆，但回款慢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增值服务（辅）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医院 / 医共体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质控培训、远程协作、数据服务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提升客户黏性与单客户价值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6.2  定价与依据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定价依据来自三个角度：替客户省下的成本、对标同类产品的价格、客户预算区间内的可承受性。其中第三个角度最有说服力，因为它来自我们自己的调研。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6-2  定价方案【待填】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产品形态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目标客户</w:t>
            </w:r>
          </w:p>
        </w:tc>
        <w:tc>
          <w:tcPr>
            <w:tcW w:type="dxa" w:w="204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定价区间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定价依据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科室端工作站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单体县级医院</w:t>
            </w:r>
          </w:p>
        </w:tc>
        <w:tc>
          <w:tcPr>
            <w:tcW w:type="dxa" w:w="204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【待填】万元/年</w:t>
            </w:r>
          </w:p>
        </w:tc>
        <w:tc>
          <w:tcPr>
            <w:tcW w:type="dxa" w:w="29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对标科室可自主申请的信息化预算区间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医院端驾驶舱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二级及以上医院</w:t>
            </w:r>
          </w:p>
        </w:tc>
        <w:tc>
          <w:tcPr>
            <w:tcW w:type="dxa" w:w="204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【待填】万元/年</w:t>
            </w:r>
          </w:p>
        </w:tc>
        <w:tc>
          <w:tcPr>
            <w:tcW w:type="dxa" w:w="29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按设备数量或年检查量阶梯定价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区域质控平台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医共体 / 卫健委</w:t>
            </w:r>
          </w:p>
        </w:tc>
        <w:tc>
          <w:tcPr>
            <w:tcW w:type="dxa" w:w="204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【待填】万元/项目 + 运维</w:t>
            </w:r>
          </w:p>
        </w:tc>
        <w:tc>
          <w:tcPr>
            <w:tcW w:type="dxa" w:w="29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对标同类区域信息化项目预算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6.3  单位经济模型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以单家县级医院测算：年收入【待填】万元，其中订阅费【待填】万元、增值服务【待填】万元；年成本合计【待填】万元，其中实施与集成成本【待填】万元（首次投入按客户生命周期摊销）、运维与支持成本【待填】万元、客户获取成本【待填】万元。据此计算，单院年毛利【待填】万元，客户回收期约【待填】个月，按预期留存【待填】年计算，客户生命周期价值约【待填】万元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6.4  三年财务预测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三年预测以客户数量为唯一核心变量驱动全部结果，因此逻辑透明、便于复核。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6-3  三年财务预测框架【待填】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第一年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第二年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第三年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订阅客户数（家）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区域项目数（个）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营业收入（万元）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总成本（万元）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其中人力成本占比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净利润（万元）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累计现金流（万元）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关键假设三条：一是客户续费率保持【待填】% 以上；二是单客户获取成本随渠道成熟下降至【待填】万元；三是区域平台项目在第二年实现首个落地。现金流的缺口出现在第【待填】个月，需要【待填】万元资金支持，主要用于【待填】。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【常见失分点】</w:t>
      </w:r>
      <w:r>
        <w:rPr>
          <w:rFonts w:ascii="宋体" w:hAnsi="宋体" w:eastAsia="宋体" w:cs="宋体"/>
          <w:b w:val="0"/>
          <w:i w:val="0"/>
          <w:sz w:val="21"/>
        </w:rPr>
        <w:t>一是增长率高得离谱且无解释；二是成本列得太粗，看不到人力与实施成本；三是完全没有现金流概念。挑战杯评审中常有来自投资机构的评委，这三类问题他们一眼就能看出。宁可增长预期写保守一些，也要保证逻辑站得住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第七章  团队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7.1  团队分工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团队共 7 人，按“一人一岗、职责到章”分工，确保每一章材料都有明确负责人。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7-1  团队分工【待填】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角色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姓名 / 专业</w:t>
            </w:r>
          </w:p>
        </w:tc>
        <w:tc>
          <w:tcPr>
            <w:tcW w:type="dxa" w:w="4876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项目负责人（队长）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整体统筹与进度管理；对外沟通与资源协调；路演主讲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技术负责人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系统架构；PACS/DICOM 集成；部署与国产化适配；知识产权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算法负责人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图像质量评估算法；报告结构化与语义解析；技术验证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医学专业成员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质控规则与报告模板设计；临床需求把关；对接临床顾问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产品与设计成员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产品原型与界面设计；演示系统搭建；路演 PPT 视觉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市场调研成员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医院与卫健委调研；客户画像与需求验证；竞争分析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财务与文案成员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财务测算与单位经济模型；材料撰写与统稿；提交前自检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7.2  互补性论证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本项目需要四种能力：医学影像专业能力、软件工程能力、市场落地能力、医院渠道资源。我们 7 人的分工正是按这四项能力逐一对应设置的，前三项由团队内部成员承担，每人都有与之匹配的专业背景与实践经历。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第四项医院渠道资源，通过【待填：与 X 医院共建课题 / 聘请 X 担任顾问 / 依托学校附属医院】的方式补齐。同时我们清楚自己的短板在【待填：例如医疗器械合规经验】，已经通过【待填】方式应对。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7.3  指导教师与顾问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配备技术指导教师【待填】名、临床顾问【待填】名、产业顾问【待填】名。临床顾问来自【待填：医院与科室】，其具体参与方式是【待填：例如共同评审质控规则、指导数据标注标准、参与验证方案设计】，而非仅挂名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第八章  风险与对策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8.1  合规边界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医学影像项目有一条必须严守的红线：医疗器械注册。产品一旦被界定为“辅助诊断”，就可能被要求按医疗器械管理，注册周期与投入对学生团队难以承受。因此我们的产品定位与对外表述都严格自控。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8-1  合规表述纪律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事项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我们的表述（安全）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禁止的表述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产品定位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影像质量控制工具、报告规范化工具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AI 辅助诊断系统、智能诊断平台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算法输出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提示“该区域请重点复核”，由医生判断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自动给出诊断结论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效果宣称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提升图像质量合格率、报告要素完整率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诊断准确率达到百分之多少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责任划分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系统仅提供质量提示，最终由医师负责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系统可替代医师判读</w:t>
            </w:r>
          </w:p>
        </w:tc>
      </w:tr>
    </w:tbl>
    <w:p>
      <w:pPr>
        <w:spacing w:after="0" w:line="240" w:lineRule="auto"/>
      </w:pP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【执行纪律】</w:t>
      </w:r>
      <w:r>
        <w:rPr>
          <w:rFonts w:ascii="宋体" w:hAnsi="宋体" w:eastAsia="宋体" w:cs="宋体"/>
          <w:b w:val="0"/>
          <w:i w:val="0"/>
          <w:sz w:val="21"/>
        </w:rPr>
        <w:t>以上纪律不仅约束本文的写法，也约束路演口播、答辩回答、演示系统界面文案与所有对外宣传物料。建议指定一名成员专门负责口径审查。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8.2  风险清单与应对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8-2 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136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风险类别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具体表现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应对措施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判断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政策风险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互认推进节奏放缓，采购动力下降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不把商业模式绑死在单一政策上：质控与报告规范化本身具有独立价值，同时拓展医院自身质量管理需求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可承受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技术风险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算法在不同设备上泛化不足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规则引擎兜底，算法不达标时降级为规则校验；建立设备兼容性矩阵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可控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市场风险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县域医院预算紧张，付费能力低于预期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分层产品降低门槛；优先切入有医共体资金或专项经费的客户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需持续验证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集成风险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PACS 厂商不配合，接口开放受阻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旁路监听方案减少对厂商依赖；优先选择接口开放度高的客户试点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可控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数据合规风险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涉及患者影像与报告，隐私与安全要求高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支持院内本地化部署，数据不出院；落实加密、脱敏、权限最小化与操作审计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必须高度重视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团队风险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成员毕业、精力投入不足、分工失衡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明确分工与交接机制，文档化沉淀；引入稳定顾问；关键岗位设替补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真实存在，需预案</w:t>
            </w:r>
          </w:p>
        </w:tc>
      </w:tr>
    </w:tbl>
    <w:p>
      <w:pPr>
        <w:spacing w:after="0" w:line="240" w:lineRule="auto"/>
      </w:pP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第九章  发展规划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9.1  三阶段规划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9-1  三阶段发展规划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136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1247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核心目标</w:t>
            </w:r>
          </w:p>
        </w:tc>
        <w:tc>
          <w:tcPr>
            <w:tcW w:type="dxa" w:w="36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可验证成果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第一阶段 原型与验证</w:t>
            </w:r>
          </w:p>
        </w:tc>
        <w:tc>
          <w:tcPr>
            <w:tcW w:type="dxa" w:w="124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0—6 个月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把产品做出来，把效果证出来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可运行的系统原型；一份带真实数据的验证报告；软著受理通知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第二阶段 试点与产品化</w:t>
            </w:r>
          </w:p>
        </w:tc>
        <w:tc>
          <w:tcPr>
            <w:tcW w:type="dxa" w:w="124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6—18 个月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从能用变成好用，从项目变成产品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付费客户【待填】家；标准实施流程；可复制的实施方案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第三阶段 区域复制与规模化</w:t>
            </w:r>
          </w:p>
        </w:tc>
        <w:tc>
          <w:tcPr>
            <w:tcW w:type="dxa" w:w="124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18—36 个月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从单院走向区域，形成规模收入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区域项目落地；年收入【待填】万元；团队规模【待填】人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9.2  关键假设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规划的可信度取决于假设是否透明。我们明确列出三条关键假设，以及假设不成立时的调整方向。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假设一：县域医院对影像质控存在真实且可付费的需求。验证方式：完成【待填】家医院的付费意愿调研，取得【待填】份合作意向书。若不成立，转向以医共体为整体销售对象。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假设二：产品能在不替换现有系统的前提下完成集成。验证方式：完成【待填】种主流 PACS 的适配测试。若不成立，调整为首选接口开放度高的客户群。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假设三：质控效果能够被量化并被医院认可。验证方式：在合作医院产出前后对比数据。若不成立，重新设计评价指标体系或调整产品切入点。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附录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附录一  调研材料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收录调研问卷原文、各医院访谈记录、受访者名录（含职务）、问卷原始数据表。建议按医院分册装订。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附录二  合作意向与协议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收录【待填】份医院合作意向书或共建协议扫描件、顾问聘书。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附录三  知识产权证明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收录软件著作权登记证书或受理通知【待填】项、发明专利申请号【待填】项、已发表或投稿论文【待填】篇。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附录四  技术验证原始数据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收录验证方案原文、测试集构成说明、专家评分记录、评测结果原始数据表。这一部分直接支撑第四章的全部数字，务必完整。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附录五  系统界面与演示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收录系统各模块界面截图、演示录屏说明文档、部署环境要求说明。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附录六  财务测算明细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收录三年财务预测的完整测算表、成本构成明细、定价调研原始数据。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附录七  参考资料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收录引用的政策文件清单（含文件名称、发布机关、发布时间）、统计年鉴口径说明、参考文献。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440" w:right="1587" w:bottom="1440" w:left="1587" w:header="850" w:footer="85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 w:cs="宋体"/>
        <w:b w:val="0"/>
        <w:i w:val="0"/>
        <w:sz w:val="18"/>
      </w:rPr>
      <w:fldChar w:fldCharType="begin"/>
      <w:instrText xml:space="preserve">PAGE \* arabic \* MERGEFORMAT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6" w:space="6" w:color="BFBFBF"/>
      </w:pBdr>
    </w:pPr>
    <w:r>
      <w:rPr>
        <w:rFonts w:ascii="宋体" w:hAnsi="宋体" w:eastAsia="宋体" w:cs="宋体"/>
        <w:b w:val="0"/>
        <w:i w:val="0"/>
        <w:color w:val="595959"/>
        <w:sz w:val="18"/>
      </w:rPr>
      <w:t>商业计划书（简略样板）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40" w:line="336" w:lineRule="auto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 w:line="336" w:lineRule="auto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336" w:lineRule="auto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52" w:lineRule="auto" w:after="0"/>
      <w:outlineLvl w:val="9"/>
    </w:pPr>
    <w:rPr>
      <w:rFonts w:ascii="宋体" w:hAnsi="宋体" w:eastAsia="宋体" w:cs="宋体"/>
      <w:b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商业计划书（简略样板）</dc:title>
  <dc:subject>挑战杯中国大学生创业计划竞赛 参赛材料</dc:subject>
  <dc:creator>【待填：团队名称】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