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A7F66">
      <w:pPr>
        <w:spacing w:before="0" w:after="0" w:line="312" w:lineRule="auto"/>
      </w:pPr>
    </w:p>
    <w:p w14:paraId="49517651">
      <w:pPr>
        <w:spacing w:before="0" w:after="0" w:line="312" w:lineRule="auto"/>
      </w:pPr>
    </w:p>
    <w:p w14:paraId="37A54E39">
      <w:pPr>
        <w:spacing w:before="0" w:after="0" w:line="312" w:lineRule="auto"/>
      </w:pPr>
    </w:p>
    <w:p w14:paraId="0157F82A">
      <w:pPr>
        <w:spacing w:before="0" w:after="440" w:line="312" w:lineRule="auto"/>
        <w:jc w:val="center"/>
      </w:pPr>
      <w:r>
        <w:rPr>
          <w:rFonts w:ascii="宋体" w:hAnsi="宋体" w:eastAsia="宋体" w:cs="宋体"/>
          <w:b/>
          <w:i w:val="0"/>
          <w:sz w:val="28"/>
        </w:rPr>
        <w:t>挑 战 杯 参 赛 项 目 · 商 业 计 划 书</w:t>
      </w:r>
    </w:p>
    <w:p w14:paraId="421619D4">
      <w:pPr>
        <w:spacing w:before="0" w:after="200" w:line="312" w:lineRule="auto"/>
        <w:jc w:val="center"/>
      </w:pPr>
      <w:r>
        <w:rPr>
          <w:rFonts w:ascii="宋体" w:hAnsi="宋体" w:eastAsia="宋体" w:cs="宋体"/>
          <w:b/>
          <w:i w:val="0"/>
          <w:sz w:val="68"/>
        </w:rPr>
        <w:t>愈缝 SeamHeal</w:t>
      </w:r>
    </w:p>
    <w:p w14:paraId="59260181">
      <w:pPr>
        <w:spacing w:before="0" w:after="160" w:line="312" w:lineRule="auto"/>
        <w:jc w:val="center"/>
      </w:pPr>
      <w:r>
        <w:rPr>
          <w:rFonts w:ascii="宋体" w:hAnsi="宋体" w:eastAsia="宋体" w:cs="宋体"/>
          <w:b/>
          <w:i w:val="0"/>
          <w:sz w:val="36"/>
        </w:rPr>
        <w:t>商业计划书 · 设计纲要与简略样板</w:t>
      </w:r>
    </w:p>
    <w:p w14:paraId="4612D737">
      <w:pPr>
        <w:spacing w:before="0" w:after="32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—— 面向数字制造的 3D 模型智能修复与接缝优化引擎 ——</w:t>
      </w:r>
    </w:p>
    <w:p w14:paraId="1034330B">
      <w:pPr>
        <w:pBdr>
          <w:bottom w:val="single" w:color="888888" w:sz="8" w:space="0"/>
        </w:pBdr>
        <w:spacing w:before="40" w:after="160"/>
        <w:ind w:firstLine="0"/>
      </w:pPr>
    </w:p>
    <w:p w14:paraId="6E696FB3">
      <w:pPr>
        <w:spacing w:before="0" w:after="160" w:line="312" w:lineRule="auto"/>
        <w:jc w:val="center"/>
      </w:pPr>
      <w:r>
        <w:rPr>
          <w:rFonts w:ascii="宋体" w:hAnsi="宋体" w:eastAsia="宋体" w:cs="宋体"/>
          <w:b/>
          <w:i w:val="0"/>
          <w:sz w:val="24"/>
        </w:rPr>
        <w:t>本 文 档 的 两 个 部 分</w:t>
      </w:r>
    </w:p>
    <w:p w14:paraId="3955CC59">
      <w:pPr>
        <w:spacing w:before="0" w:after="520" w:line="360" w:lineRule="auto"/>
        <w:jc w:val="center"/>
      </w:pPr>
      <w:r>
        <w:rPr>
          <w:rFonts w:ascii="宋体" w:hAnsi="宋体" w:eastAsia="宋体" w:cs="宋体"/>
          <w:b w:val="0"/>
          <w:i w:val="0"/>
          <w:sz w:val="23"/>
        </w:rPr>
        <w:t>第一部分 · 设计纲要：商业计划书的章节骨架、篇幅配比、逐章设计意图、</w:t>
      </w:r>
      <w:r>
        <w:rPr>
          <w:rFonts w:ascii="宋体" w:hAnsi="宋体" w:eastAsia="宋体" w:cs="宋体"/>
          <w:b w:val="0"/>
          <w:i w:val="0"/>
          <w:sz w:val="23"/>
        </w:rPr>
        <w:br w:type="textWrapping"/>
      </w:r>
      <w:r>
        <w:rPr>
          <w:rFonts w:ascii="宋体" w:hAnsi="宋体" w:eastAsia="宋体" w:cs="宋体"/>
          <w:b w:val="0"/>
          <w:i w:val="0"/>
          <w:sz w:val="23"/>
        </w:rPr>
        <w:t>图表清单、写作顺序与常见失分点，回答“这份 BP 该怎么设计”。</w:t>
      </w:r>
      <w:r>
        <w:rPr>
          <w:rFonts w:ascii="宋体" w:hAnsi="宋体" w:eastAsia="宋体" w:cs="宋体"/>
          <w:b w:val="0"/>
          <w:i w:val="0"/>
          <w:sz w:val="23"/>
        </w:rPr>
        <w:br w:type="textWrapping"/>
      </w:r>
      <w:r>
        <w:rPr>
          <w:rFonts w:ascii="宋体" w:hAnsi="宋体" w:eastAsia="宋体" w:cs="宋体"/>
          <w:b w:val="0"/>
          <w:i w:val="0"/>
          <w:sz w:val="23"/>
        </w:rPr>
        <w:br w:type="textWrapping"/>
      </w:r>
      <w:r>
        <w:rPr>
          <w:rFonts w:ascii="宋体" w:hAnsi="宋体" w:eastAsia="宋体" w:cs="宋体"/>
          <w:b w:val="0"/>
          <w:i w:val="0"/>
          <w:sz w:val="23"/>
        </w:rPr>
        <w:t>第二部分 · 简略样板：按纲要写出的精简正文示例，已填入本项目内容，</w:t>
      </w:r>
      <w:r>
        <w:rPr>
          <w:rFonts w:ascii="宋体" w:hAnsi="宋体" w:eastAsia="宋体" w:cs="宋体"/>
          <w:b w:val="0"/>
          <w:i w:val="0"/>
          <w:sz w:val="23"/>
        </w:rPr>
        <w:br w:type="textWrapping"/>
      </w:r>
      <w:r>
        <w:rPr>
          <w:rFonts w:ascii="宋体" w:hAnsi="宋体" w:eastAsia="宋体" w:cs="宋体"/>
          <w:b w:val="0"/>
          <w:i w:val="0"/>
          <w:sz w:val="23"/>
        </w:rPr>
        <w:t>可直接在其基础上扩写，回答“写出来大概是什么样子”。</w:t>
      </w:r>
    </w:p>
    <w:p w14:paraId="55594397">
      <w:pPr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项目名称：愈缝 SeamHeal</w:t>
      </w:r>
    </w:p>
    <w:p w14:paraId="22E17016">
      <w:pPr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团队规模：核心成员 8 人</w:t>
      </w:r>
      <w:r>
        <w:rPr>
          <w:rFonts w:ascii="宋体" w:hAnsi="宋体" w:eastAsia="宋体" w:cs="宋体"/>
          <w:b w:val="0"/>
          <w:i w:val="0"/>
          <w:sz w:val="24"/>
        </w:rPr>
        <w:br w:type="textWrapping"/>
      </w:r>
      <w:r>
        <w:rPr>
          <w:rFonts w:ascii="宋体" w:hAnsi="宋体" w:eastAsia="宋体" w:cs="宋体"/>
          <w:b w:val="0"/>
          <w:i w:val="0"/>
          <w:sz w:val="24"/>
        </w:rPr>
        <w:t>申报单位：【待填：学校 / 学院】</w:t>
      </w:r>
    </w:p>
    <w:p w14:paraId="7DE0DCDC">
      <w:pPr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编制日期：2026 年 10 月</w:t>
      </w:r>
    </w:p>
    <w:p w14:paraId="7539063F">
      <w:p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474" w:bottom="1440" w:left="1587" w:header="720" w:footer="720" w:gutter="0"/>
          <w:cols w:space="720" w:num="1"/>
          <w:docGrid w:linePitch="360" w:charSpace="0"/>
        </w:sectPr>
      </w:pPr>
    </w:p>
    <w:p w14:paraId="083A2B4C">
      <w:pPr>
        <w:pStyle w:val="3"/>
        <w:spacing w:before="280" w:after="120" w:line="312" w:lineRule="auto"/>
        <w:ind w:firstLine="0"/>
      </w:pPr>
      <w:bookmarkStart w:id="0" w:name="_Toc3570"/>
      <w:r>
        <w:rPr>
          <w:rFonts w:ascii="宋体" w:hAnsi="宋体" w:eastAsia="宋体" w:cs="宋体"/>
          <w:b/>
          <w:i w:val="0"/>
          <w:color w:val="000000"/>
          <w:sz w:val="32"/>
        </w:rPr>
        <w:t>目  录</w:t>
      </w:r>
      <w:bookmarkEnd w:id="0"/>
    </w:p>
    <w:p w14:paraId="6B1016A9">
      <w:pPr>
        <w:pStyle w:val="27"/>
        <w:tabs>
          <w:tab w:val="right" w:leader="dot" w:pos="8845"/>
        </w:tabs>
      </w:pPr>
      <w:bookmarkStart w:id="36" w:name="_GoBack"/>
      <w:bookmarkEnd w:id="36"/>
      <w:r>
        <w:rPr>
          <w:rFonts w:ascii="宋体" w:hAnsi="宋体" w:eastAsia="宋体" w:cs="宋体"/>
          <w:b w:val="0"/>
          <w:i w:val="0"/>
          <w:sz w:val="24"/>
        </w:rPr>
        <w:fldChar w:fldCharType="begin"/>
      </w:r>
      <w:r>
        <w:rPr>
          <w:rFonts w:ascii="宋体" w:hAnsi="宋体" w:eastAsia="宋体" w:cs="宋体"/>
          <w:b w:val="0"/>
          <w:i w:val="0"/>
          <w:sz w:val="24"/>
        </w:rPr>
        <w:instrText xml:space="preserve">TOC \o "1-3" \h \z \u</w:instrText>
      </w:r>
      <w:r>
        <w:rPr>
          <w:rFonts w:ascii="宋体" w:hAnsi="宋体" w:eastAsia="宋体" w:cs="宋体"/>
          <w:b w:val="0"/>
          <w:i w:val="0"/>
          <w:sz w:val="24"/>
        </w:rPr>
        <w:fldChar w:fldCharType="separate"/>
      </w: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_Toc3570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目  录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_Toc3570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2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96B067D">
      <w:pPr>
        <w:pStyle w:val="27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_Toc15041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第一部分  商业计划书设计纲要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_Toc15041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1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6351913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_Toc28398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1.1 设计总原则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_Toc28398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1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E9C301F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_Toc5384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1.2 章节结构与配比总表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_Toc5384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1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21D7171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_Toc17284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1.3 逐章设计要点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_Toc17284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2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9349888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_Toc23463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一、项目背景与痛点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_Toc23463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2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3BD5D923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_Toc22187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二、产品与服务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_Toc22187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2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2FD1EAD8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_Toc20675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三、技术方案与核心竞争力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_Toc20675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2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E725D06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_Toc16576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四、创新点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_Toc16576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3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4B53382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_Toc14062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五、竞争分析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_Toc14062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3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2DB802EA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_Toc7972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六、市场分析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_Toc7972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3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504F936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_Toc28338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七、商业模式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_Toc28338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3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29A53074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_Toc28195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八、财务分析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_Toc28195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4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393EBE72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_Toc20851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九、团队介绍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_Toc20851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4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32F6569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_Toc16079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十、发展规划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_Toc16079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4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DA1D679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_Toc15429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十一、风险与应对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_Toc15429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4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C087862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_Toc4337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十二、项目成果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_Toc4337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5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24194053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_Toc4789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1.4 图表清单（共 22 项）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_Toc4789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5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821E3D4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_Toc6462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1.5 推荐写作顺序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_Toc6462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5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0461556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_Toc148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1.6 十条常见失分点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_Toc148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6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62EADA2">
      <w:pPr>
        <w:pStyle w:val="27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_Toc15983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第二部分  商业计划书简略样板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_Toc15983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7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2F14370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_Toc15162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2.1 封面与项目定位（样板）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_Toc15162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7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2E7B4A3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_Toc11252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2.2 项目摘要（样板，约 300 字）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_Toc11252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7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58C3CFF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_Toc17896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2.3 一、项目背景与痛点（样板）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_Toc17896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7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420D8CD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_Toc3923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2.4 二、产品与服务（样板）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_Toc3923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8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752AC1D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_Toc6702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2.5 三、技术方案与核心竞争力（样板）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_Toc6702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8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6913714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_Toc32119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2.6 四、创新点（样板）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_Toc32119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9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663169E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_Toc23677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2.7 五、竞争分析（样板）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_Toc23677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10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2DFBE622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_Toc10105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2.8 六、市场分析（样板）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_Toc10105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10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AA15E72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_Toc17998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2.9 七、商业模式（样板）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_Toc17998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11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25CF59C5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_Toc679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2.10 八、财务分析（样板）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_Toc679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11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FFC8938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_Toc31366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2.11 九、团队介绍（样板）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_Toc31366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11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805A957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_Toc26071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2.12 十、发展规划（样板）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_Toc26071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12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248AC1A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_Toc24068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2.13 十一、风险与应对（样板）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_Toc24068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12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805D1DB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_Toc28237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2.14 十二、项目成果（样板）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_Toc28237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13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431EA7C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_Toc7538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2.15 附件清单（样板）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_Toc7538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13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E18D2B5">
      <w:pPr>
        <w:spacing w:line="312" w:lineRule="auto"/>
        <w:ind w:firstLine="0"/>
      </w:pPr>
      <w:r>
        <w:rPr>
          <w:rFonts w:ascii="宋体" w:hAnsi="宋体" w:eastAsia="宋体" w:cs="宋体"/>
          <w:i w:val="0"/>
        </w:rPr>
        <w:fldChar w:fldCharType="end"/>
      </w:r>
    </w:p>
    <w:p w14:paraId="1B73EDB8">
      <w:pPr>
        <w:sectPr>
          <w:pgSz w:w="11906" w:h="16838"/>
          <w:pgMar w:top="1440" w:right="1474" w:bottom="1440" w:left="1587" w:header="720" w:footer="720" w:gutter="0"/>
          <w:cols w:space="720" w:num="1"/>
          <w:docGrid w:linePitch="360" w:charSpace="0"/>
        </w:sectPr>
      </w:pPr>
    </w:p>
    <w:p w14:paraId="72DF2E1C">
      <w:pPr>
        <w:pStyle w:val="3"/>
        <w:spacing w:before="280" w:after="120" w:line="312" w:lineRule="auto"/>
        <w:ind w:firstLine="0"/>
      </w:pPr>
      <w:bookmarkStart w:id="1" w:name="_Toc15041"/>
      <w:r>
        <w:rPr>
          <w:rFonts w:ascii="宋体" w:hAnsi="宋体" w:eastAsia="宋体" w:cs="宋体"/>
          <w:b/>
          <w:i w:val="0"/>
          <w:color w:val="000000"/>
          <w:sz w:val="32"/>
        </w:rPr>
        <w:t>第一部分  商业计划书设计纲要</w:t>
      </w:r>
      <w:bookmarkEnd w:id="1"/>
    </w:p>
    <w:p w14:paraId="6C7AAD21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本部分说明商业计划书“该怎么设计”。它与《项目简介文档》附录 A 的章节对照表使用同一套十二章骨架，两者可互相参照，不会冲突。</w:t>
      </w:r>
    </w:p>
    <w:p w14:paraId="1FE1C778">
      <w:pPr>
        <w:pStyle w:val="4"/>
        <w:spacing w:before="200" w:after="120" w:line="312" w:lineRule="auto"/>
        <w:ind w:firstLine="0"/>
      </w:pPr>
      <w:bookmarkStart w:id="2" w:name="_Toc28398"/>
      <w:r>
        <w:rPr>
          <w:rFonts w:ascii="宋体" w:hAnsi="宋体" w:eastAsia="宋体" w:cs="宋体"/>
          <w:b/>
          <w:i w:val="0"/>
          <w:color w:val="000000"/>
          <w:sz w:val="28"/>
        </w:rPr>
        <w:t>1.1 设计总原则</w:t>
      </w:r>
      <w:bookmarkEnd w:id="2"/>
    </w:p>
    <w:p w14:paraId="45274D9A">
      <w:pPr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2"/>
        </w:rPr>
        <w:t>六条原则决定了这份 BP 的整体形态，动手前请先接受它们。</w:t>
      </w:r>
    </w:p>
    <w:p w14:paraId="787A86A8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前 3 页定生死。评委平均用 3 分钟形成初步判断，因此摘要页必须能独立成立——不依赖后文就能讲清“做什么、解决谁的什么问题、凭什么、怎么赚钱”。</w:t>
      </w:r>
    </w:p>
    <w:p w14:paraId="01950AF1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每章预答一个质疑。商业计划书不是自我介绍，而是一次次打消疑虑的过程。设计每一章时先问：这一章要消灭评委心里的哪个问号？本书 1.3 节为每章都列出了这个问号。</w:t>
      </w:r>
    </w:p>
    <w:p w14:paraId="7A4B6C44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每页至少一个可验证数字。形容词不产生说服力。“技术领先”是零分，“修复区 UV 保留率 &gt; 99%”才是有效表达。</w:t>
      </w:r>
    </w:p>
    <w:p w14:paraId="2755A4C4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图表占 30%–40%。商业计划书是被翻页浏览的文档，不是被通读的论文。每张图下面必须跟一句结论，不要让评委自己从图里找答案。</w:t>
      </w:r>
    </w:p>
    <w:p w14:paraId="5F392983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诚实设计。主动暴露风险、主动标注数据待核实状态，可信度反而高于宣称完美。本项目尤其如此——我们的强项恰恰是承认边界之后仍然领先。</w:t>
      </w:r>
    </w:p>
    <w:p w14:paraId="71048BDB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与技术作品明确分工。申报书回答“技术有多硬”，商业计划书回答“技术有多值钱”。同一份素材，两种重心：BP 里不要把篇幅花在公式推导上，要花在“谁会为它付钱”上。</w:t>
      </w:r>
    </w:p>
    <w:p w14:paraId="188ED6A8">
      <w:pPr>
        <w:pStyle w:val="4"/>
        <w:spacing w:before="200" w:after="120" w:line="312" w:lineRule="auto"/>
        <w:ind w:firstLine="0"/>
      </w:pPr>
      <w:bookmarkStart w:id="3" w:name="_Toc5384"/>
      <w:r>
        <w:rPr>
          <w:rFonts w:ascii="宋体" w:hAnsi="宋体" w:eastAsia="宋体" w:cs="宋体"/>
          <w:b/>
          <w:i w:val="0"/>
          <w:color w:val="000000"/>
          <w:sz w:val="28"/>
        </w:rPr>
        <w:t>1.2 章节结构与配比总表</w:t>
      </w:r>
      <w:bookmarkEnd w:id="3"/>
    </w:p>
    <w:p w14:paraId="77C7B125">
      <w:pPr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2"/>
        </w:rPr>
        <w:t>全书正文约 33–38 页（不含附件）。篇幅配比本身就是一种表态：技术相关章节占约 10 页，市场与商业相关章节占约 11 页——这是“小挑”评审关注商业模式创新的直接体现。</w:t>
      </w:r>
    </w:p>
    <w:p w14:paraId="674DAF44">
      <w:pPr>
        <w:keepNext/>
        <w:spacing w:before="120" w:after="60" w:line="312" w:lineRule="auto"/>
        <w:ind w:firstLine="0"/>
      </w:pPr>
      <w:r>
        <w:rPr>
          <w:rFonts w:ascii="宋体" w:hAnsi="宋体" w:eastAsia="宋体" w:cs="宋体"/>
          <w:b/>
          <w:i w:val="0"/>
          <w:sz w:val="21"/>
        </w:rPr>
        <w:t>表 1-1  商业计划书章节结构与配比总表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24"/>
        <w:gridCol w:w="2211"/>
        <w:gridCol w:w="2324"/>
        <w:gridCol w:w="1417"/>
      </w:tblGrid>
      <w:tr w14:paraId="16D10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EFEFEF"/>
          </w:tcPr>
          <w:p w14:paraId="6B66A86E">
            <w:pPr>
              <w:spacing w:after="4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章节</w:t>
            </w:r>
          </w:p>
        </w:tc>
        <w:tc>
          <w:tcPr>
            <w:tcW w:w="624" w:type="dxa"/>
            <w:shd w:val="clear" w:color="auto" w:fill="EFEFEF"/>
          </w:tcPr>
          <w:p w14:paraId="0151C688">
            <w:pPr>
              <w:spacing w:after="4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页数</w:t>
            </w:r>
          </w:p>
        </w:tc>
        <w:tc>
          <w:tcPr>
            <w:tcW w:w="2211" w:type="dxa"/>
            <w:shd w:val="clear" w:color="auto" w:fill="EFEFEF"/>
          </w:tcPr>
          <w:p w14:paraId="161BF548">
            <w:pPr>
              <w:spacing w:after="4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核心任务</w:t>
            </w:r>
          </w:p>
        </w:tc>
        <w:tc>
          <w:tcPr>
            <w:tcW w:w="2324" w:type="dxa"/>
            <w:shd w:val="clear" w:color="auto" w:fill="EFEFEF"/>
          </w:tcPr>
          <w:p w14:paraId="744E8BA7">
            <w:pPr>
              <w:spacing w:after="4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要打消的质疑</w:t>
            </w:r>
          </w:p>
        </w:tc>
        <w:tc>
          <w:tcPr>
            <w:tcW w:w="1417" w:type="dxa"/>
            <w:shd w:val="clear" w:color="auto" w:fill="EFEFEF"/>
          </w:tcPr>
          <w:p w14:paraId="72FB4A60">
            <w:pPr>
              <w:spacing w:after="4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取用《项目简介》</w:t>
            </w:r>
          </w:p>
        </w:tc>
      </w:tr>
      <w:tr w14:paraId="4A69D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1538A88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封面</w:t>
            </w:r>
          </w:p>
        </w:tc>
        <w:tc>
          <w:tcPr>
            <w:tcW w:w="624" w:type="dxa"/>
          </w:tcPr>
          <w:p w14:paraId="0AF4170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</w:t>
            </w:r>
          </w:p>
        </w:tc>
        <w:tc>
          <w:tcPr>
            <w:tcW w:w="2211" w:type="dxa"/>
          </w:tcPr>
          <w:p w14:paraId="6CD5DDB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项目名 + 一句话定位 + 团队学校</w:t>
            </w:r>
          </w:p>
        </w:tc>
        <w:tc>
          <w:tcPr>
            <w:tcW w:w="2324" w:type="dxa"/>
          </w:tcPr>
          <w:p w14:paraId="4BA682E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—</w:t>
            </w:r>
          </w:p>
        </w:tc>
        <w:tc>
          <w:tcPr>
            <w:tcW w:w="1417" w:type="dxa"/>
          </w:tcPr>
          <w:p w14:paraId="55F60B4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封面、1.1</w:t>
            </w:r>
          </w:p>
        </w:tc>
      </w:tr>
      <w:tr w14:paraId="029B9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35D5989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目录</w:t>
            </w:r>
          </w:p>
        </w:tc>
        <w:tc>
          <w:tcPr>
            <w:tcW w:w="624" w:type="dxa"/>
          </w:tcPr>
          <w:p w14:paraId="374B32E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</w:t>
            </w:r>
          </w:p>
        </w:tc>
        <w:tc>
          <w:tcPr>
            <w:tcW w:w="2211" w:type="dxa"/>
          </w:tcPr>
          <w:p w14:paraId="058D1D1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结构可见</w:t>
            </w:r>
          </w:p>
        </w:tc>
        <w:tc>
          <w:tcPr>
            <w:tcW w:w="2324" w:type="dxa"/>
          </w:tcPr>
          <w:p w14:paraId="474CF87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—</w:t>
            </w:r>
          </w:p>
        </w:tc>
        <w:tc>
          <w:tcPr>
            <w:tcW w:w="1417" w:type="dxa"/>
          </w:tcPr>
          <w:p w14:paraId="02AB0CD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—</w:t>
            </w:r>
          </w:p>
        </w:tc>
      </w:tr>
      <w:tr w14:paraId="16ED4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7C90180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项目摘要</w:t>
            </w:r>
          </w:p>
        </w:tc>
        <w:tc>
          <w:tcPr>
            <w:tcW w:w="624" w:type="dxa"/>
          </w:tcPr>
          <w:p w14:paraId="56AF057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</w:t>
            </w:r>
          </w:p>
        </w:tc>
        <w:tc>
          <w:tcPr>
            <w:tcW w:w="2211" w:type="dxa"/>
          </w:tcPr>
          <w:p w14:paraId="7BB771F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全案独立成立</w:t>
            </w:r>
          </w:p>
        </w:tc>
        <w:tc>
          <w:tcPr>
            <w:tcW w:w="2324" w:type="dxa"/>
          </w:tcPr>
          <w:p w14:paraId="737FEE6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这到底是什么，值不值得看下去</w:t>
            </w:r>
          </w:p>
        </w:tc>
        <w:tc>
          <w:tcPr>
            <w:tcW w:w="1417" w:type="dxa"/>
          </w:tcPr>
          <w:p w14:paraId="3E0F58E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1.2 标准版</w:t>
            </w:r>
          </w:p>
        </w:tc>
      </w:tr>
      <w:tr w14:paraId="05B7B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1F06466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一、项目背景与痛点</w:t>
            </w:r>
          </w:p>
        </w:tc>
        <w:tc>
          <w:tcPr>
            <w:tcW w:w="624" w:type="dxa"/>
          </w:tcPr>
          <w:p w14:paraId="2C7BC57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3–4</w:t>
            </w:r>
          </w:p>
        </w:tc>
        <w:tc>
          <w:tcPr>
            <w:tcW w:w="2211" w:type="dxa"/>
          </w:tcPr>
          <w:p w14:paraId="75349F8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建立“问题真实且严重”的共识</w:t>
            </w:r>
          </w:p>
        </w:tc>
        <w:tc>
          <w:tcPr>
            <w:tcW w:w="2324" w:type="dxa"/>
          </w:tcPr>
          <w:p w14:paraId="02B5AD6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这个问题真存在吗？有多严重？</w:t>
            </w:r>
          </w:p>
        </w:tc>
        <w:tc>
          <w:tcPr>
            <w:tcW w:w="1417" w:type="dxa"/>
          </w:tcPr>
          <w:p w14:paraId="3586ECE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第二章</w:t>
            </w:r>
          </w:p>
        </w:tc>
      </w:tr>
      <w:tr w14:paraId="294DF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6FD99C3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二、产品与服务</w:t>
            </w:r>
          </w:p>
        </w:tc>
        <w:tc>
          <w:tcPr>
            <w:tcW w:w="624" w:type="dxa"/>
          </w:tcPr>
          <w:p w14:paraId="42F7EED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</w:t>
            </w:r>
          </w:p>
        </w:tc>
        <w:tc>
          <w:tcPr>
            <w:tcW w:w="2211" w:type="dxa"/>
          </w:tcPr>
          <w:p w14:paraId="344EA0E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讲清输入输出与用户操作</w:t>
            </w:r>
          </w:p>
        </w:tc>
        <w:tc>
          <w:tcPr>
            <w:tcW w:w="2324" w:type="dxa"/>
          </w:tcPr>
          <w:p w14:paraId="28FA02E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到底是个什么东西？怎么用？</w:t>
            </w:r>
          </w:p>
        </w:tc>
        <w:tc>
          <w:tcPr>
            <w:tcW w:w="1417" w:type="dxa"/>
          </w:tcPr>
          <w:p w14:paraId="24E3FD4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第三章</w:t>
            </w:r>
          </w:p>
        </w:tc>
      </w:tr>
      <w:tr w14:paraId="6E842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5E7523B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三、技术方案与核心竞争力</w:t>
            </w:r>
          </w:p>
        </w:tc>
        <w:tc>
          <w:tcPr>
            <w:tcW w:w="624" w:type="dxa"/>
          </w:tcPr>
          <w:p w14:paraId="2CE353D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4–5</w:t>
            </w:r>
          </w:p>
        </w:tc>
        <w:tc>
          <w:tcPr>
            <w:tcW w:w="2211" w:type="dxa"/>
          </w:tcPr>
          <w:p w14:paraId="45CF251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证明技术成立、团队做得到</w:t>
            </w:r>
          </w:p>
        </w:tc>
        <w:tc>
          <w:tcPr>
            <w:tcW w:w="2324" w:type="dxa"/>
          </w:tcPr>
          <w:p w14:paraId="50CBCD9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技术新在哪？你们有能力做吗？</w:t>
            </w:r>
          </w:p>
        </w:tc>
        <w:tc>
          <w:tcPr>
            <w:tcW w:w="1417" w:type="dxa"/>
          </w:tcPr>
          <w:p w14:paraId="2CF55BC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第四章</w:t>
            </w:r>
          </w:p>
        </w:tc>
      </w:tr>
      <w:tr w14:paraId="2BFB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4BEEA76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四、创新点</w:t>
            </w:r>
          </w:p>
        </w:tc>
        <w:tc>
          <w:tcPr>
            <w:tcW w:w="624" w:type="dxa"/>
          </w:tcPr>
          <w:p w14:paraId="07668D0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</w:t>
            </w:r>
          </w:p>
        </w:tc>
        <w:tc>
          <w:tcPr>
            <w:tcW w:w="2211" w:type="dxa"/>
          </w:tcPr>
          <w:p w14:paraId="43D9522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逐条量化对比</w:t>
            </w:r>
          </w:p>
        </w:tc>
        <w:tc>
          <w:tcPr>
            <w:tcW w:w="2324" w:type="dxa"/>
          </w:tcPr>
          <w:p w14:paraId="4B17984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凭什么说这是创新？</w:t>
            </w:r>
          </w:p>
        </w:tc>
        <w:tc>
          <w:tcPr>
            <w:tcW w:w="1417" w:type="dxa"/>
          </w:tcPr>
          <w:p w14:paraId="0F448B9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第五章</w:t>
            </w:r>
          </w:p>
        </w:tc>
      </w:tr>
      <w:tr w14:paraId="22EA0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30C0B98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五、竞争分析</w:t>
            </w:r>
          </w:p>
        </w:tc>
        <w:tc>
          <w:tcPr>
            <w:tcW w:w="624" w:type="dxa"/>
          </w:tcPr>
          <w:p w14:paraId="5BDCF6F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2–3</w:t>
            </w:r>
          </w:p>
        </w:tc>
        <w:tc>
          <w:tcPr>
            <w:tcW w:w="2211" w:type="dxa"/>
          </w:tcPr>
          <w:p w14:paraId="52BE811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差异化定位 + 四层壁垒</w:t>
            </w:r>
          </w:p>
        </w:tc>
        <w:tc>
          <w:tcPr>
            <w:tcW w:w="2324" w:type="dxa"/>
          </w:tcPr>
          <w:p w14:paraId="4DFADBC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大厂跟进怎么办？和开源拼装有何不同？</w:t>
            </w:r>
          </w:p>
        </w:tc>
        <w:tc>
          <w:tcPr>
            <w:tcW w:w="1417" w:type="dxa"/>
          </w:tcPr>
          <w:p w14:paraId="126D13F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第六章</w:t>
            </w:r>
          </w:p>
        </w:tc>
      </w:tr>
      <w:tr w14:paraId="28A2C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5AF5200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六、市场分析</w:t>
            </w:r>
          </w:p>
        </w:tc>
        <w:tc>
          <w:tcPr>
            <w:tcW w:w="624" w:type="dxa"/>
          </w:tcPr>
          <w:p w14:paraId="124FF4E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</w:t>
            </w:r>
          </w:p>
        </w:tc>
        <w:tc>
          <w:tcPr>
            <w:tcW w:w="2211" w:type="dxa"/>
          </w:tcPr>
          <w:p w14:paraId="490F052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自下而上测算 + 滩头选择</w:t>
            </w:r>
          </w:p>
        </w:tc>
        <w:tc>
          <w:tcPr>
            <w:tcW w:w="2324" w:type="dxa"/>
          </w:tcPr>
          <w:p w14:paraId="42176C5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市场多大？你们凭什么先进去？</w:t>
            </w:r>
          </w:p>
        </w:tc>
        <w:tc>
          <w:tcPr>
            <w:tcW w:w="1417" w:type="dxa"/>
          </w:tcPr>
          <w:p w14:paraId="042494D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第七章</w:t>
            </w:r>
          </w:p>
        </w:tc>
      </w:tr>
      <w:tr w14:paraId="43F43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59D200E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七、商业模式</w:t>
            </w:r>
          </w:p>
        </w:tc>
        <w:tc>
          <w:tcPr>
            <w:tcW w:w="624" w:type="dxa"/>
          </w:tcPr>
          <w:p w14:paraId="53CBB60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</w:t>
            </w:r>
          </w:p>
        </w:tc>
        <w:tc>
          <w:tcPr>
            <w:tcW w:w="2211" w:type="dxa"/>
          </w:tcPr>
          <w:p w14:paraId="399EB85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收入结构与定价逻辑</w:t>
            </w:r>
          </w:p>
        </w:tc>
        <w:tc>
          <w:tcPr>
            <w:tcW w:w="2324" w:type="dxa"/>
          </w:tcPr>
          <w:p w14:paraId="43D55AF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怎么赚钱？客户为什么掏钱？</w:t>
            </w:r>
          </w:p>
        </w:tc>
        <w:tc>
          <w:tcPr>
            <w:tcW w:w="1417" w:type="dxa"/>
          </w:tcPr>
          <w:p w14:paraId="4C7DCAB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第八章</w:t>
            </w:r>
          </w:p>
        </w:tc>
      </w:tr>
      <w:tr w14:paraId="321AE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74D584F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八、财务分析</w:t>
            </w:r>
          </w:p>
        </w:tc>
        <w:tc>
          <w:tcPr>
            <w:tcW w:w="624" w:type="dxa"/>
          </w:tcPr>
          <w:p w14:paraId="648D2E5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</w:t>
            </w:r>
          </w:p>
        </w:tc>
        <w:tc>
          <w:tcPr>
            <w:tcW w:w="2211" w:type="dxa"/>
          </w:tcPr>
          <w:p w14:paraId="161B452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成本结构与单位经济模型</w:t>
            </w:r>
          </w:p>
        </w:tc>
        <w:tc>
          <w:tcPr>
            <w:tcW w:w="2324" w:type="dxa"/>
          </w:tcPr>
          <w:p w14:paraId="73C4FAC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账算得过来吗？</w:t>
            </w:r>
          </w:p>
        </w:tc>
        <w:tc>
          <w:tcPr>
            <w:tcW w:w="1417" w:type="dxa"/>
          </w:tcPr>
          <w:p w14:paraId="192C2B7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第九章</w:t>
            </w:r>
          </w:p>
        </w:tc>
      </w:tr>
      <w:tr w14:paraId="5D756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5588346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九、团队介绍</w:t>
            </w:r>
          </w:p>
        </w:tc>
        <w:tc>
          <w:tcPr>
            <w:tcW w:w="624" w:type="dxa"/>
          </w:tcPr>
          <w:p w14:paraId="21C3A0C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</w:t>
            </w:r>
          </w:p>
        </w:tc>
        <w:tc>
          <w:tcPr>
            <w:tcW w:w="2211" w:type="dxa"/>
          </w:tcPr>
          <w:p w14:paraId="5A3F886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能力配置 + 主动说明风险</w:t>
            </w:r>
          </w:p>
        </w:tc>
        <w:tc>
          <w:tcPr>
            <w:tcW w:w="2324" w:type="dxa"/>
          </w:tcPr>
          <w:p w14:paraId="432BB38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这几个学生做得出来吗？</w:t>
            </w:r>
          </w:p>
        </w:tc>
        <w:tc>
          <w:tcPr>
            <w:tcW w:w="1417" w:type="dxa"/>
          </w:tcPr>
          <w:p w14:paraId="5233640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第十章</w:t>
            </w:r>
          </w:p>
        </w:tc>
      </w:tr>
      <w:tr w14:paraId="6E3C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6D92F1B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十、发展规划</w:t>
            </w:r>
          </w:p>
        </w:tc>
        <w:tc>
          <w:tcPr>
            <w:tcW w:w="624" w:type="dxa"/>
          </w:tcPr>
          <w:p w14:paraId="6B0E13A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2–3</w:t>
            </w:r>
          </w:p>
        </w:tc>
        <w:tc>
          <w:tcPr>
            <w:tcW w:w="2211" w:type="dxa"/>
          </w:tcPr>
          <w:p w14:paraId="43F804A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五阶段路线 + 赛事对齐</w:t>
            </w:r>
          </w:p>
        </w:tc>
        <w:tc>
          <w:tcPr>
            <w:tcW w:w="2324" w:type="dxa"/>
          </w:tcPr>
          <w:p w14:paraId="40157E9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接下来怎么走？</w:t>
            </w:r>
          </w:p>
        </w:tc>
        <w:tc>
          <w:tcPr>
            <w:tcW w:w="1417" w:type="dxa"/>
          </w:tcPr>
          <w:p w14:paraId="726DF60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第十一章</w:t>
            </w:r>
          </w:p>
        </w:tc>
      </w:tr>
      <w:tr w14:paraId="7B709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0E63E57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十一、风险与应对</w:t>
            </w:r>
          </w:p>
        </w:tc>
        <w:tc>
          <w:tcPr>
            <w:tcW w:w="624" w:type="dxa"/>
          </w:tcPr>
          <w:p w14:paraId="57D8457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</w:t>
            </w:r>
          </w:p>
        </w:tc>
        <w:tc>
          <w:tcPr>
            <w:tcW w:w="2211" w:type="dxa"/>
          </w:tcPr>
          <w:p w14:paraId="5DB8242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主动暴露 + 可执行应对</w:t>
            </w:r>
          </w:p>
        </w:tc>
        <w:tc>
          <w:tcPr>
            <w:tcW w:w="2324" w:type="dxa"/>
          </w:tcPr>
          <w:p w14:paraId="3EFC268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你们想过失败吗？</w:t>
            </w:r>
          </w:p>
        </w:tc>
        <w:tc>
          <w:tcPr>
            <w:tcW w:w="1417" w:type="dxa"/>
          </w:tcPr>
          <w:p w14:paraId="048476F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第十二章</w:t>
            </w:r>
          </w:p>
        </w:tc>
      </w:tr>
      <w:tr w14:paraId="25528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41EDCFC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十二、项目成果</w:t>
            </w:r>
          </w:p>
        </w:tc>
        <w:tc>
          <w:tcPr>
            <w:tcW w:w="624" w:type="dxa"/>
          </w:tcPr>
          <w:p w14:paraId="1513FB7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1–2</w:t>
            </w:r>
          </w:p>
        </w:tc>
        <w:tc>
          <w:tcPr>
            <w:tcW w:w="2211" w:type="dxa"/>
          </w:tcPr>
          <w:p w14:paraId="4161640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可核验的凭据</w:t>
            </w:r>
          </w:p>
        </w:tc>
        <w:tc>
          <w:tcPr>
            <w:tcW w:w="2324" w:type="dxa"/>
          </w:tcPr>
          <w:p w14:paraId="3F72D64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有什么证据？</w:t>
            </w:r>
          </w:p>
        </w:tc>
        <w:tc>
          <w:tcPr>
            <w:tcW w:w="1417" w:type="dxa"/>
          </w:tcPr>
          <w:p w14:paraId="00D9E7C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第十三章</w:t>
            </w:r>
          </w:p>
        </w:tc>
      </w:tr>
      <w:tr w14:paraId="3C1DD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2769349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附件</w:t>
            </w:r>
          </w:p>
        </w:tc>
        <w:tc>
          <w:tcPr>
            <w:tcW w:w="624" w:type="dxa"/>
          </w:tcPr>
          <w:p w14:paraId="4C820D5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不限</w:t>
            </w:r>
          </w:p>
        </w:tc>
        <w:tc>
          <w:tcPr>
            <w:tcW w:w="2211" w:type="dxa"/>
          </w:tcPr>
          <w:p w14:paraId="03B9239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证据链</w:t>
            </w:r>
          </w:p>
        </w:tc>
        <w:tc>
          <w:tcPr>
            <w:tcW w:w="2324" w:type="dxa"/>
          </w:tcPr>
          <w:p w14:paraId="34E2C5D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—</w:t>
            </w:r>
          </w:p>
        </w:tc>
        <w:tc>
          <w:tcPr>
            <w:tcW w:w="1417" w:type="dxa"/>
          </w:tcPr>
          <w:p w14:paraId="09BA538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附录 C / D / E</w:t>
            </w:r>
          </w:p>
        </w:tc>
      </w:tr>
    </w:tbl>
    <w:p w14:paraId="1E307778">
      <w:pPr>
        <w:pStyle w:val="4"/>
        <w:spacing w:before="200" w:after="120" w:line="312" w:lineRule="auto"/>
        <w:ind w:firstLine="0"/>
      </w:pPr>
      <w:bookmarkStart w:id="4" w:name="_Toc17284"/>
      <w:r>
        <w:rPr>
          <w:rFonts w:ascii="宋体" w:hAnsi="宋体" w:eastAsia="宋体" w:cs="宋体"/>
          <w:b/>
          <w:i w:val="0"/>
          <w:color w:val="000000"/>
          <w:sz w:val="28"/>
        </w:rPr>
        <w:t>1.3 逐章设计要点</w:t>
      </w:r>
      <w:bookmarkEnd w:id="4"/>
    </w:p>
    <w:p w14:paraId="52B3D03E">
      <w:pPr>
        <w:spacing w:before="120" w:after="80" w:line="312" w:lineRule="auto"/>
      </w:pPr>
      <w:r>
        <w:rPr>
          <w:rFonts w:ascii="宋体" w:hAnsi="宋体" w:eastAsia="宋体" w:cs="宋体"/>
          <w:b w:val="0"/>
          <w:i w:val="0"/>
          <w:sz w:val="22"/>
        </w:rPr>
        <w:t>每一章按“设计意图 / 必含内容 / 必含图表 / 常见失分”四段展开。“常见失分”一栏是最值得反复看的部分。</w:t>
      </w:r>
    </w:p>
    <w:p w14:paraId="3ECE8E1F">
      <w:pPr>
        <w:pStyle w:val="5"/>
        <w:spacing w:before="160" w:after="120" w:line="312" w:lineRule="auto"/>
        <w:ind w:firstLine="0"/>
      </w:pPr>
      <w:bookmarkStart w:id="5" w:name="_Toc23463"/>
      <w:r>
        <w:rPr>
          <w:rFonts w:ascii="宋体" w:hAnsi="宋体" w:eastAsia="宋体" w:cs="宋体"/>
          <w:b/>
          <w:i w:val="0"/>
          <w:color w:val="000000"/>
          <w:sz w:val="24"/>
        </w:rPr>
        <w:t>一、项目背景与痛点</w:t>
      </w:r>
      <w:bookmarkEnd w:id="5"/>
    </w:p>
    <w:p w14:paraId="3A48EEC8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设计意图：在评委心里建立“这个问题真实、严重、且尚未被解决”的共识。</w:t>
      </w:r>
    </w:p>
    <w:p w14:paraId="1764C8B5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必含内容：① 四类破损来源（三维扫描 / AI 生成 / CAD 转网格 / 断裂残件逆向）；② 现有工具失灵的证据，重点是“修复后 UV 与纹理丢失”的可复现失败；③ 三层痛点结构（数据层破损普遍、工具层修完破相且昂贵、制造层接缝是结构最弱点）；④ 代价数据（未处理接缝强度下降 23.3%）。</w:t>
      </w:r>
    </w:p>
    <w:p w14:paraId="1532F03A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必含图表：三层痛点结构图、破损模型与打印失败实物照片、竞品失灵矩阵、强度对照数据图。</w:t>
      </w:r>
    </w:p>
    <w:p w14:paraId="6C12C552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常见失分：只讲“模型修复很重要”，不讲“现有工具具体在哪失败”；用形容词替代数字——这是最致命的失分。</w:t>
      </w:r>
    </w:p>
    <w:p w14:paraId="504E2C57">
      <w:pPr>
        <w:pStyle w:val="5"/>
        <w:spacing w:before="160" w:after="120" w:line="312" w:lineRule="auto"/>
        <w:ind w:firstLine="0"/>
      </w:pPr>
      <w:bookmarkStart w:id="6" w:name="_Toc22187"/>
      <w:r>
        <w:rPr>
          <w:rFonts w:ascii="宋体" w:hAnsi="宋体" w:eastAsia="宋体" w:cs="宋体"/>
          <w:b/>
          <w:i w:val="0"/>
          <w:color w:val="000000"/>
          <w:sz w:val="24"/>
        </w:rPr>
        <w:t>二、产品与服务</w:t>
      </w:r>
      <w:bookmarkEnd w:id="6"/>
    </w:p>
    <w:p w14:paraId="1F417723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设计意图：让评委在 60 秒内理解输入什么、输出什么、用户操作几步。</w:t>
      </w:r>
    </w:p>
    <w:p w14:paraId="4B71F56F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必含内容：① 一句话产品定义；② 三层产品形态（内核 / 工具 / 闭环）；③ 核心功能清单与优先级；④ 用户三步操作流程；⑤ 五大应用场景及其优先级。</w:t>
      </w:r>
    </w:p>
    <w:p w14:paraId="33210315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必含图表：产品三形态图、三步操作流程图、修复前后对比图。</w:t>
      </w:r>
    </w:p>
    <w:p w14:paraId="55DC4071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常见失分：功能逐条罗列不分主次；只说技术能力不说用户拿到结果的过程。</w:t>
      </w:r>
    </w:p>
    <w:p w14:paraId="655C8F1E">
      <w:pPr>
        <w:pStyle w:val="5"/>
        <w:spacing w:before="160" w:after="120" w:line="312" w:lineRule="auto"/>
        <w:ind w:firstLine="0"/>
      </w:pPr>
      <w:bookmarkStart w:id="7" w:name="_Toc20675"/>
      <w:r>
        <w:rPr>
          <w:rFonts w:ascii="宋体" w:hAnsi="宋体" w:eastAsia="宋体" w:cs="宋体"/>
          <w:b/>
          <w:i w:val="0"/>
          <w:color w:val="000000"/>
          <w:sz w:val="24"/>
        </w:rPr>
        <w:t>三、技术方案与核心竞争力</w:t>
      </w:r>
      <w:bookmarkEnd w:id="7"/>
    </w:p>
    <w:p w14:paraId="584DB158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设计意图：让技术评委相信算法成立，让非技术评委相信团队做得出来。</w:t>
      </w:r>
    </w:p>
    <w:p w14:paraId="2E3D8D67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必含内容：① 统一理论内核（接缝一致性能量，一页讲清“四类接缝是同一件事”）；② 四层处理管线；③ 技术选型划界——哪些用成熟开源库、哪些自研；④ 承诺边界——明确列出不承诺什么。</w:t>
      </w:r>
    </w:p>
    <w:p w14:paraId="56552AC3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必含图表：四层处理管线图、接缝能量公式页、技术栈选型表。</w:t>
      </w:r>
    </w:p>
    <w:p w14:paraId="0EA72079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常见失分：堆砌前沿名词（“我们用了 Transformer”）；不区分自研与现成库；不设承诺边界，被追问时无法收场。</w:t>
      </w:r>
    </w:p>
    <w:p w14:paraId="6864AD2B">
      <w:pPr>
        <w:pStyle w:val="5"/>
        <w:spacing w:before="160" w:after="120" w:line="312" w:lineRule="auto"/>
        <w:ind w:firstLine="0"/>
      </w:pPr>
      <w:bookmarkStart w:id="8" w:name="_Toc16576"/>
      <w:r>
        <w:rPr>
          <w:rFonts w:ascii="宋体" w:hAnsi="宋体" w:eastAsia="宋体" w:cs="宋体"/>
          <w:b/>
          <w:i w:val="0"/>
          <w:color w:val="000000"/>
          <w:sz w:val="24"/>
        </w:rPr>
        <w:t>四、创新点</w:t>
      </w:r>
      <w:bookmarkEnd w:id="8"/>
    </w:p>
    <w:p w14:paraId="3F7897A7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设计意图：逐条证明“这不是概念包装”。</w:t>
      </w:r>
    </w:p>
    <w:p w14:paraId="76437722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必含内容：四条创新，每条严格四段式：现有做法失败在哪 / 我们怎么做 / 量化对比 / 证据形态。并必须给出三域耦合的消融实验（仅几何 / 仅纹理 / 仅力学 / 联合优化四组对比）。</w:t>
      </w:r>
    </w:p>
    <w:p w14:paraId="0CC2FD49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必含图表：纹理保持对比图（视觉冲击最强）、三域消融对比图、强度实验数据与断裂试件照片（最硬证据）。</w:t>
      </w:r>
    </w:p>
    <w:p w14:paraId="57C1FFFE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常见失分：创新点只有“我们做了 X”而没有对比对象；没有消融实验，就无法证明统一框架不是硬凑的概念。</w:t>
      </w:r>
    </w:p>
    <w:p w14:paraId="7D306E0B">
      <w:pPr>
        <w:pStyle w:val="5"/>
        <w:spacing w:before="160" w:after="120" w:line="312" w:lineRule="auto"/>
        <w:ind w:firstLine="0"/>
      </w:pPr>
      <w:bookmarkStart w:id="9" w:name="_Toc14062"/>
      <w:r>
        <w:rPr>
          <w:rFonts w:ascii="宋体" w:hAnsi="宋体" w:eastAsia="宋体" w:cs="宋体"/>
          <w:b/>
          <w:i w:val="0"/>
          <w:color w:val="000000"/>
          <w:sz w:val="24"/>
        </w:rPr>
        <w:t>五、竞争分析</w:t>
      </w:r>
      <w:bookmarkEnd w:id="9"/>
    </w:p>
    <w:p w14:paraId="5165CB71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设计意图：回答“为什么需要新产品”与“大厂跟进怎么办”。</w:t>
      </w:r>
    </w:p>
    <w:p w14:paraId="2645117C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必含内容：① 竞品全维度矩阵（含价格）；② 差异化定位一句话；③ 四层壁垒（数据 / 算法 / 生态 / 垂直）；④ 主动说明大厂跟进的风险与时间窗口。</w:t>
      </w:r>
    </w:p>
    <w:p w14:paraId="75FE8626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必含图表：竞品全维度矩阵、价格对照图、四层壁垒图。</w:t>
      </w:r>
    </w:p>
    <w:p w14:paraId="6E83BE39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常见失分：只列功能对比表而给不出定位一句话；回避大厂威胁，或把壁垒写成“技术领先”这类空话。</w:t>
      </w:r>
    </w:p>
    <w:p w14:paraId="1F0812DD">
      <w:pPr>
        <w:pStyle w:val="5"/>
        <w:spacing w:before="160" w:after="120" w:line="312" w:lineRule="auto"/>
        <w:ind w:firstLine="0"/>
      </w:pPr>
      <w:bookmarkStart w:id="10" w:name="_Toc7972"/>
      <w:r>
        <w:rPr>
          <w:rFonts w:ascii="宋体" w:hAnsi="宋体" w:eastAsia="宋体" w:cs="宋体"/>
          <w:b/>
          <w:i w:val="0"/>
          <w:color w:val="000000"/>
          <w:sz w:val="24"/>
        </w:rPr>
        <w:t>六、市场分析</w:t>
      </w:r>
      <w:bookmarkEnd w:id="10"/>
    </w:p>
    <w:p w14:paraId="34B5321B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设计意图：用可被检验的推导逻辑替代第三方报告的大数字。</w:t>
      </w:r>
    </w:p>
    <w:p w14:paraId="2EC0F8FC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必含内容：① 客户分层（六类，标注付费意愿与切入顺序）；② 自下而上测算：客户基数 × 单客户席位 × 可触达比例 × 付费转化率 × 年度客单价；③ 滩头市场选择理由与三阶段扩张路径。</w:t>
      </w:r>
    </w:p>
    <w:p w14:paraId="11EAF189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必含图表：客户分层金字塔、自下而上测算表、滩头战略三阶段图。</w:t>
      </w:r>
    </w:p>
    <w:p w14:paraId="61E60010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常见失分：引用“千亿市场”却说不清自己拿哪一块；不做自下而上测算，被问一句“这个数字怎么来的”就答不上。</w:t>
      </w:r>
    </w:p>
    <w:p w14:paraId="135C32ED">
      <w:pPr>
        <w:pStyle w:val="5"/>
        <w:spacing w:before="160" w:after="120" w:line="312" w:lineRule="auto"/>
        <w:ind w:firstLine="0"/>
      </w:pPr>
      <w:bookmarkStart w:id="11" w:name="_Toc28338"/>
      <w:r>
        <w:rPr>
          <w:rFonts w:ascii="宋体" w:hAnsi="宋体" w:eastAsia="宋体" w:cs="宋体"/>
          <w:b/>
          <w:i w:val="0"/>
          <w:color w:val="000000"/>
          <w:sz w:val="24"/>
        </w:rPr>
        <w:t>七、商业模式</w:t>
      </w:r>
      <w:bookmarkEnd w:id="11"/>
    </w:p>
    <w:p w14:paraId="4ADFEAA8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设计意图：说清谁付钱、为什么付、付多少。</w:t>
      </w:r>
    </w:p>
    <w:p w14:paraId="3D6029BB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必含内容：① 商业模式画布；② 四层收入结构（免费 / 订阅 / 云 API / 企业）；③ 定价与竞品对照；④ 增长飞轮；⑤ 数据合规声明。</w:t>
      </w:r>
    </w:p>
    <w:p w14:paraId="0A1D1F58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必含图表：商业模式画布、收入结构四层图、定价对照图、增长飞轮图。</w:t>
      </w:r>
    </w:p>
    <w:p w14:paraId="71A8012F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常见失分：不写数据合规声明（评审会问用户模型数据的隐私与版权）；免费版只讲引流，不讲它带来的数据回流价值。</w:t>
      </w:r>
    </w:p>
    <w:p w14:paraId="7850EEC3">
      <w:pPr>
        <w:pStyle w:val="5"/>
        <w:spacing w:before="160" w:after="120" w:line="312" w:lineRule="auto"/>
        <w:ind w:firstLine="0"/>
      </w:pPr>
      <w:bookmarkStart w:id="12" w:name="_Toc28195"/>
      <w:r>
        <w:rPr>
          <w:rFonts w:ascii="宋体" w:hAnsi="宋体" w:eastAsia="宋体" w:cs="宋体"/>
          <w:b/>
          <w:i w:val="0"/>
          <w:color w:val="000000"/>
          <w:sz w:val="24"/>
        </w:rPr>
        <w:t>八、财务分析</w:t>
      </w:r>
      <w:bookmarkEnd w:id="12"/>
    </w:p>
    <w:p w14:paraId="5B31BFF9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设计意图：证明账算得过来，且每一个数字都能追溯到假设。</w:t>
      </w:r>
    </w:p>
    <w:p w14:paraId="3C77C987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必含内容：① 成本结构；② 单位经济模型（客单价 / 毛利率 / 获客成本 / 客户生命周期价值 / 回本周期）；③ 三年三情景预测；④ 明确标注哪些是假设、哪些是实测。</w:t>
      </w:r>
    </w:p>
    <w:p w14:paraId="78814A19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必含图表：成本结构表、单位经济模型表、三年预测表。</w:t>
      </w:r>
    </w:p>
    <w:p w14:paraId="09E92426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常见失分：预测精确到小数点却不给假设；毛利率凭空写 90%。学生项目在财务上被追问细节的概率极高，答不上就全线崩塌。</w:t>
      </w:r>
    </w:p>
    <w:p w14:paraId="3CDE9D05">
      <w:pPr>
        <w:pStyle w:val="5"/>
        <w:spacing w:before="160" w:after="120" w:line="312" w:lineRule="auto"/>
        <w:ind w:firstLine="0"/>
      </w:pPr>
      <w:bookmarkStart w:id="13" w:name="_Toc20851"/>
      <w:r>
        <w:rPr>
          <w:rFonts w:ascii="宋体" w:hAnsi="宋体" w:eastAsia="宋体" w:cs="宋体"/>
          <w:b/>
          <w:i w:val="0"/>
          <w:color w:val="000000"/>
          <w:sz w:val="24"/>
        </w:rPr>
        <w:t>九、团队介绍</w:t>
      </w:r>
      <w:bookmarkEnd w:id="13"/>
    </w:p>
    <w:p w14:paraId="1E775850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设计意图：证明这几个人做得出来，并主动暴露人力风险。</w:t>
      </w:r>
    </w:p>
    <w:p w14:paraId="27DCD7AB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必含内容：① 团队构成表（组别 / 人数 / 职责 / 能力要求）；② 一人多岗说明；③ 团队优势（跨学科精干、决策链短、不做重复造轮子）；④ 人力风险与应对（至少四条）。</w:t>
      </w:r>
    </w:p>
    <w:p w14:paraId="30DDF701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必含图表：团队结构图。</w:t>
      </w:r>
    </w:p>
    <w:p w14:paraId="6A8A9E80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常见失分：只列姓名与奖项，不讲能力如何匹配任务；不承认团队规模偏小——反而显得不诚实。</w:t>
      </w:r>
    </w:p>
    <w:p w14:paraId="17C41767">
      <w:pPr>
        <w:pStyle w:val="5"/>
        <w:spacing w:before="160" w:after="120" w:line="312" w:lineRule="auto"/>
        <w:ind w:firstLine="0"/>
      </w:pPr>
      <w:bookmarkStart w:id="14" w:name="_Toc16079"/>
      <w:r>
        <w:rPr>
          <w:rFonts w:ascii="宋体" w:hAnsi="宋体" w:eastAsia="宋体" w:cs="宋体"/>
          <w:b/>
          <w:i w:val="0"/>
          <w:color w:val="000000"/>
          <w:sz w:val="24"/>
        </w:rPr>
        <w:t>十、发展规划</w:t>
      </w:r>
      <w:bookmarkEnd w:id="14"/>
    </w:p>
    <w:p w14:paraId="156F668C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设计意图：给出可信的下一步，而不是画饼。</w:t>
      </w:r>
    </w:p>
    <w:p w14:paraId="402DCAD2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必含内容：① 五阶段技术路线图（每阶段交付物 + 可演示状态）；② 与赛事节奏对齐的时间表；③ 资源需求与获取路径（尤其设备）。</w:t>
      </w:r>
    </w:p>
    <w:p w14:paraId="78E7D7F6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必含图表：五阶段路线图（建议用甘特图）。</w:t>
      </w:r>
    </w:p>
    <w:p w14:paraId="26240937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常见失分：时间表只有技术里程碑没有验证节点；不提资源从哪来，尤其回避“力学试验机怎么解决”。</w:t>
      </w:r>
    </w:p>
    <w:p w14:paraId="5F5CDCCA">
      <w:pPr>
        <w:pStyle w:val="5"/>
        <w:spacing w:before="160" w:after="120" w:line="312" w:lineRule="auto"/>
        <w:ind w:firstLine="0"/>
      </w:pPr>
      <w:bookmarkStart w:id="15" w:name="_Toc15429"/>
      <w:r>
        <w:rPr>
          <w:rFonts w:ascii="宋体" w:hAnsi="宋体" w:eastAsia="宋体" w:cs="宋体"/>
          <w:b/>
          <w:i w:val="0"/>
          <w:color w:val="000000"/>
          <w:sz w:val="24"/>
        </w:rPr>
        <w:t>十一、风险与应对</w:t>
      </w:r>
      <w:bookmarkEnd w:id="15"/>
    </w:p>
    <w:p w14:paraId="5DF9BFDC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设计意图：用主动暴露换取可信度。</w:t>
      </w:r>
    </w:p>
    <w:p w14:paraId="2635F7AD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必含内容：五类风险各给具体应对：技术（修复成功率上界）、数据（真实数据获取）、合规（用户数据隐私）、市场（大厂跟进与付费意愿）、团队与实验（人力与设备）。</w:t>
      </w:r>
    </w:p>
    <w:p w14:paraId="1109D9B7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必含图表：风险矩阵表（按可能性 × 影响程度排布）。</w:t>
      </w:r>
    </w:p>
    <w:p w14:paraId="2FF37048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常见失分：风险写成场面话；应对措施不可执行；或干脆写成“我们没有风险”——这是团队不成熟的最强信号。</w:t>
      </w:r>
    </w:p>
    <w:p w14:paraId="2FC48877">
      <w:pPr>
        <w:pStyle w:val="5"/>
        <w:spacing w:before="160" w:after="120" w:line="312" w:lineRule="auto"/>
        <w:ind w:firstLine="0"/>
      </w:pPr>
      <w:bookmarkStart w:id="16" w:name="_Toc4337"/>
      <w:r>
        <w:rPr>
          <w:rFonts w:ascii="宋体" w:hAnsi="宋体" w:eastAsia="宋体" w:cs="宋体"/>
          <w:b/>
          <w:i w:val="0"/>
          <w:color w:val="000000"/>
          <w:sz w:val="24"/>
        </w:rPr>
        <w:t>十二、项目成果</w:t>
      </w:r>
      <w:bookmarkEnd w:id="16"/>
    </w:p>
    <w:p w14:paraId="24893ED0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设计意图：给出可核验的凭据。</w:t>
      </w:r>
    </w:p>
    <w:p w14:paraId="284B764D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必含内容：专利（受理通知书即具效力）、软件著作权、学术论文、公开数据集、力学实验原始数据与实物、用户使用证明、科技查新报告。</w:t>
      </w:r>
    </w:p>
    <w:p w14:paraId="46B90460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必含图表：成果清单表（按“已获得 / 受理中 / 在途 / 计划”四档标注）。</w:t>
      </w:r>
    </w:p>
    <w:p w14:paraId="60CBFCA9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常见失分：把“计划申请”写成“已获得”。一旦被核实为不实陈述，整份材料的可信度归零。</w:t>
      </w:r>
    </w:p>
    <w:p w14:paraId="7676961E">
      <w:pPr>
        <w:pStyle w:val="4"/>
        <w:spacing w:before="200" w:after="120" w:line="312" w:lineRule="auto"/>
        <w:ind w:firstLine="0"/>
      </w:pPr>
      <w:bookmarkStart w:id="17" w:name="_Toc4789"/>
      <w:r>
        <w:rPr>
          <w:rFonts w:ascii="宋体" w:hAnsi="宋体" w:eastAsia="宋体" w:cs="宋体"/>
          <w:b/>
          <w:i w:val="0"/>
          <w:color w:val="000000"/>
          <w:sz w:val="28"/>
        </w:rPr>
        <w:t>1.4 图表清单（共 22 项）</w:t>
      </w:r>
      <w:bookmarkEnd w:id="17"/>
    </w:p>
    <w:p w14:paraId="7DC22711">
      <w:pPr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2"/>
        </w:rPr>
        <w:t>建议先集中把图表画完，再写文字。图表定型后，正文的任务就只剩“说清图上发生了什么”。</w:t>
      </w:r>
    </w:p>
    <w:p w14:paraId="129BC603">
      <w:pPr>
        <w:keepNext/>
        <w:spacing w:before="120" w:after="60" w:line="312" w:lineRule="auto"/>
        <w:ind w:firstLine="0"/>
      </w:pPr>
      <w:r>
        <w:rPr>
          <w:rFonts w:ascii="宋体" w:hAnsi="宋体" w:eastAsia="宋体" w:cs="宋体"/>
          <w:b/>
          <w:i w:val="0"/>
          <w:sz w:val="21"/>
        </w:rPr>
        <w:t>表 1-2  商业计划书图表清单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2608"/>
        <w:gridCol w:w="1361"/>
        <w:gridCol w:w="4365"/>
      </w:tblGrid>
      <w:tr w14:paraId="6F0FE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" w:type="dxa"/>
            <w:shd w:val="clear" w:color="auto" w:fill="EFEFEF"/>
          </w:tcPr>
          <w:p w14:paraId="19A937E2">
            <w:pPr>
              <w:spacing w:after="4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序</w:t>
            </w:r>
          </w:p>
        </w:tc>
        <w:tc>
          <w:tcPr>
            <w:tcW w:w="2608" w:type="dxa"/>
            <w:shd w:val="clear" w:color="auto" w:fill="EFEFEF"/>
          </w:tcPr>
          <w:p w14:paraId="202098CB">
            <w:pPr>
              <w:spacing w:after="4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图表</w:t>
            </w:r>
          </w:p>
        </w:tc>
        <w:tc>
          <w:tcPr>
            <w:tcW w:w="1361" w:type="dxa"/>
            <w:shd w:val="clear" w:color="auto" w:fill="EFEFEF"/>
          </w:tcPr>
          <w:p w14:paraId="1185F39C">
            <w:pPr>
              <w:spacing w:after="4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所在章节</w:t>
            </w:r>
          </w:p>
        </w:tc>
        <w:tc>
          <w:tcPr>
            <w:tcW w:w="4365" w:type="dxa"/>
            <w:shd w:val="clear" w:color="auto" w:fill="EFEFEF"/>
          </w:tcPr>
          <w:p w14:paraId="558FDABF">
            <w:pPr>
              <w:spacing w:after="4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说明</w:t>
            </w:r>
          </w:p>
        </w:tc>
      </w:tr>
      <w:tr w14:paraId="358EC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5841385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</w:t>
            </w:r>
          </w:p>
        </w:tc>
        <w:tc>
          <w:tcPr>
            <w:tcW w:w="2608" w:type="dxa"/>
          </w:tcPr>
          <w:p w14:paraId="1C38E76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三层痛点结构图</w:t>
            </w:r>
          </w:p>
        </w:tc>
        <w:tc>
          <w:tcPr>
            <w:tcW w:w="1361" w:type="dxa"/>
          </w:tcPr>
          <w:p w14:paraId="68A5471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第一章</w:t>
            </w:r>
          </w:p>
        </w:tc>
        <w:tc>
          <w:tcPr>
            <w:tcW w:w="4365" w:type="dxa"/>
          </w:tcPr>
          <w:p w14:paraId="78AF22E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数据层 / 工具层 / 制造层，各配一个数字</w:t>
            </w:r>
          </w:p>
        </w:tc>
      </w:tr>
      <w:tr w14:paraId="43FD2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2991886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</w:t>
            </w:r>
          </w:p>
        </w:tc>
        <w:tc>
          <w:tcPr>
            <w:tcW w:w="2608" w:type="dxa"/>
          </w:tcPr>
          <w:p w14:paraId="4846836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破损模型与打印失败实物照片</w:t>
            </w:r>
          </w:p>
        </w:tc>
        <w:tc>
          <w:tcPr>
            <w:tcW w:w="1361" w:type="dxa"/>
          </w:tcPr>
          <w:p w14:paraId="3BE1325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第一章</w:t>
            </w:r>
          </w:p>
        </w:tc>
        <w:tc>
          <w:tcPr>
            <w:tcW w:w="4365" w:type="dxa"/>
          </w:tcPr>
          <w:p w14:paraId="75FFF7B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建立直观冲击，必须真实拍摄</w:t>
            </w:r>
          </w:p>
        </w:tc>
      </w:tr>
      <w:tr w14:paraId="5C5D5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1DCF011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</w:t>
            </w:r>
          </w:p>
        </w:tc>
        <w:tc>
          <w:tcPr>
            <w:tcW w:w="2608" w:type="dxa"/>
          </w:tcPr>
          <w:p w14:paraId="76D4620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竞品失灵矩阵</w:t>
            </w:r>
          </w:p>
        </w:tc>
        <w:tc>
          <w:tcPr>
            <w:tcW w:w="1361" w:type="dxa"/>
          </w:tcPr>
          <w:p w14:paraId="7FF9CDC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第一章</w:t>
            </w:r>
          </w:p>
        </w:tc>
        <w:tc>
          <w:tcPr>
            <w:tcW w:w="4365" w:type="dxa"/>
          </w:tcPr>
          <w:p w14:paraId="1C5E7C2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七列功能对照，突出“保留纹理”“接缝优化”空缺</w:t>
            </w:r>
          </w:p>
        </w:tc>
      </w:tr>
      <w:tr w14:paraId="41BAE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2096723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</w:t>
            </w:r>
          </w:p>
        </w:tc>
        <w:tc>
          <w:tcPr>
            <w:tcW w:w="2608" w:type="dxa"/>
          </w:tcPr>
          <w:p w14:paraId="746D084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强度对照数据图</w:t>
            </w:r>
          </w:p>
        </w:tc>
        <w:tc>
          <w:tcPr>
            <w:tcW w:w="1361" w:type="dxa"/>
          </w:tcPr>
          <w:p w14:paraId="453E2AF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第一章</w:t>
            </w:r>
          </w:p>
        </w:tc>
        <w:tc>
          <w:tcPr>
            <w:tcW w:w="4365" w:type="dxa"/>
          </w:tcPr>
          <w:p w14:paraId="1BD60F7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215.3 N vs 280.7 N，降幅 23.3%</w:t>
            </w:r>
          </w:p>
        </w:tc>
      </w:tr>
      <w:tr w14:paraId="69DDB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6AC6031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5</w:t>
            </w:r>
          </w:p>
        </w:tc>
        <w:tc>
          <w:tcPr>
            <w:tcW w:w="2608" w:type="dxa"/>
          </w:tcPr>
          <w:p w14:paraId="44021C5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产品三形态图</w:t>
            </w:r>
          </w:p>
        </w:tc>
        <w:tc>
          <w:tcPr>
            <w:tcW w:w="1361" w:type="dxa"/>
          </w:tcPr>
          <w:p w14:paraId="682F3E5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第二章</w:t>
            </w:r>
          </w:p>
        </w:tc>
        <w:tc>
          <w:tcPr>
            <w:tcW w:w="4365" w:type="dxa"/>
          </w:tcPr>
          <w:p w14:paraId="185327C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内核 / 工具 / 闭环</w:t>
            </w:r>
          </w:p>
        </w:tc>
      </w:tr>
      <w:tr w14:paraId="7C724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6E6337C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6</w:t>
            </w:r>
          </w:p>
        </w:tc>
        <w:tc>
          <w:tcPr>
            <w:tcW w:w="2608" w:type="dxa"/>
          </w:tcPr>
          <w:p w14:paraId="5E5BE5F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用户三步操作流程图</w:t>
            </w:r>
          </w:p>
        </w:tc>
        <w:tc>
          <w:tcPr>
            <w:tcW w:w="1361" w:type="dxa"/>
          </w:tcPr>
          <w:p w14:paraId="37E35B5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第二章</w:t>
            </w:r>
          </w:p>
        </w:tc>
        <w:tc>
          <w:tcPr>
            <w:tcW w:w="4365" w:type="dxa"/>
          </w:tcPr>
          <w:p w14:paraId="598B2F2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拖入 → 确认 → 导出，标注 3 分钟</w:t>
            </w:r>
          </w:p>
        </w:tc>
      </w:tr>
      <w:tr w14:paraId="3A8FA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36C939C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7</w:t>
            </w:r>
          </w:p>
        </w:tc>
        <w:tc>
          <w:tcPr>
            <w:tcW w:w="2608" w:type="dxa"/>
          </w:tcPr>
          <w:p w14:paraId="103ECC5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修复前后对比图</w:t>
            </w:r>
          </w:p>
        </w:tc>
        <w:tc>
          <w:tcPr>
            <w:tcW w:w="1361" w:type="dxa"/>
          </w:tcPr>
          <w:p w14:paraId="731D0AE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第二章</w:t>
            </w:r>
          </w:p>
        </w:tc>
        <w:tc>
          <w:tcPr>
            <w:tcW w:w="4365" w:type="dxa"/>
          </w:tcPr>
          <w:p w14:paraId="6FE9DC7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含纹理保持的肉眼可见差异</w:t>
            </w:r>
          </w:p>
        </w:tc>
      </w:tr>
      <w:tr w14:paraId="032E5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1222015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8</w:t>
            </w:r>
          </w:p>
        </w:tc>
        <w:tc>
          <w:tcPr>
            <w:tcW w:w="2608" w:type="dxa"/>
          </w:tcPr>
          <w:p w14:paraId="58C9D35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四层处理管线图</w:t>
            </w:r>
          </w:p>
        </w:tc>
        <w:tc>
          <w:tcPr>
            <w:tcW w:w="1361" w:type="dxa"/>
          </w:tcPr>
          <w:p w14:paraId="0650BB2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第三章</w:t>
            </w:r>
          </w:p>
        </w:tc>
        <w:tc>
          <w:tcPr>
            <w:tcW w:w="4365" w:type="dxa"/>
          </w:tcPr>
          <w:p w14:paraId="5D9EA32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诊断 / 修复 / 接缝 / 输出</w:t>
            </w:r>
          </w:p>
        </w:tc>
      </w:tr>
      <w:tr w14:paraId="1C413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67DCF9B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9</w:t>
            </w:r>
          </w:p>
        </w:tc>
        <w:tc>
          <w:tcPr>
            <w:tcW w:w="2608" w:type="dxa"/>
          </w:tcPr>
          <w:p w14:paraId="1511A3B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接缝能量公式页</w:t>
            </w:r>
          </w:p>
        </w:tc>
        <w:tc>
          <w:tcPr>
            <w:tcW w:w="1361" w:type="dxa"/>
          </w:tcPr>
          <w:p w14:paraId="1AFC71A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第三章</w:t>
            </w:r>
          </w:p>
        </w:tc>
        <w:tc>
          <w:tcPr>
            <w:tcW w:w="4365" w:type="dxa"/>
          </w:tcPr>
          <w:p w14:paraId="413C8D5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一页大字公式，讲清“三个域是同一件事”</w:t>
            </w:r>
          </w:p>
        </w:tc>
      </w:tr>
      <w:tr w14:paraId="6074D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61BC746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10</w:t>
            </w:r>
          </w:p>
        </w:tc>
        <w:tc>
          <w:tcPr>
            <w:tcW w:w="2608" w:type="dxa"/>
          </w:tcPr>
          <w:p w14:paraId="694FB7B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技术栈选型表</w:t>
            </w:r>
          </w:p>
        </w:tc>
        <w:tc>
          <w:tcPr>
            <w:tcW w:w="1361" w:type="dxa"/>
          </w:tcPr>
          <w:p w14:paraId="160323F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第三章</w:t>
            </w:r>
          </w:p>
        </w:tc>
        <w:tc>
          <w:tcPr>
            <w:tcW w:w="4365" w:type="dxa"/>
          </w:tcPr>
          <w:p w14:paraId="4CD249C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区分“用开源库”与“自研”</w:t>
            </w:r>
          </w:p>
        </w:tc>
      </w:tr>
      <w:tr w14:paraId="4F0A2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54FFD64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11</w:t>
            </w:r>
          </w:p>
        </w:tc>
        <w:tc>
          <w:tcPr>
            <w:tcW w:w="2608" w:type="dxa"/>
          </w:tcPr>
          <w:p w14:paraId="43B2345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纹理保持对比图</w:t>
            </w:r>
          </w:p>
        </w:tc>
        <w:tc>
          <w:tcPr>
            <w:tcW w:w="1361" w:type="dxa"/>
          </w:tcPr>
          <w:p w14:paraId="4CFF1C4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第四章</w:t>
            </w:r>
          </w:p>
        </w:tc>
        <w:tc>
          <w:tcPr>
            <w:tcW w:w="4365" w:type="dxa"/>
          </w:tcPr>
          <w:p w14:paraId="4BABFC4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并排：竞品丢纹理 vs 我方保留</w:t>
            </w:r>
          </w:p>
        </w:tc>
      </w:tr>
      <w:tr w14:paraId="30E6C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0DE615D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12</w:t>
            </w:r>
          </w:p>
        </w:tc>
        <w:tc>
          <w:tcPr>
            <w:tcW w:w="2608" w:type="dxa"/>
          </w:tcPr>
          <w:p w14:paraId="3A9B61B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三域耦合消融对比图</w:t>
            </w:r>
          </w:p>
        </w:tc>
        <w:tc>
          <w:tcPr>
            <w:tcW w:w="1361" w:type="dxa"/>
          </w:tcPr>
          <w:p w14:paraId="048F2F5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第四章</w:t>
            </w:r>
          </w:p>
        </w:tc>
        <w:tc>
          <w:tcPr>
            <w:tcW w:w="4365" w:type="dxa"/>
          </w:tcPr>
          <w:p w14:paraId="63D2C56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四组对比柱状图，证明框架不是包装</w:t>
            </w:r>
          </w:p>
        </w:tc>
      </w:tr>
      <w:tr w14:paraId="300E3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756CA96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13</w:t>
            </w:r>
          </w:p>
        </w:tc>
        <w:tc>
          <w:tcPr>
            <w:tcW w:w="2608" w:type="dxa"/>
          </w:tcPr>
          <w:p w14:paraId="7CF293E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强度实验数据 + 断裂试件照片</w:t>
            </w:r>
          </w:p>
        </w:tc>
        <w:tc>
          <w:tcPr>
            <w:tcW w:w="1361" w:type="dxa"/>
          </w:tcPr>
          <w:p w14:paraId="3E14C97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第四章</w:t>
            </w:r>
          </w:p>
        </w:tc>
        <w:tc>
          <w:tcPr>
            <w:tcW w:w="4365" w:type="dxa"/>
          </w:tcPr>
          <w:p w14:paraId="019F4EF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断在接缝 vs 断在母材</w:t>
            </w:r>
          </w:p>
        </w:tc>
      </w:tr>
      <w:tr w14:paraId="4F6DC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4D8A94C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14</w:t>
            </w:r>
          </w:p>
        </w:tc>
        <w:tc>
          <w:tcPr>
            <w:tcW w:w="2608" w:type="dxa"/>
          </w:tcPr>
          <w:p w14:paraId="333F9A1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竞品全维度矩阵</w:t>
            </w:r>
          </w:p>
        </w:tc>
        <w:tc>
          <w:tcPr>
            <w:tcW w:w="1361" w:type="dxa"/>
          </w:tcPr>
          <w:p w14:paraId="3B54330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第五章</w:t>
            </w:r>
          </w:p>
        </w:tc>
        <w:tc>
          <w:tcPr>
            <w:tcW w:w="4365" w:type="dxa"/>
          </w:tcPr>
          <w:p w14:paraId="3E9583B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含价格与性能短板</w:t>
            </w:r>
          </w:p>
        </w:tc>
      </w:tr>
      <w:tr w14:paraId="47A45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3C94D37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15</w:t>
            </w:r>
          </w:p>
        </w:tc>
        <w:tc>
          <w:tcPr>
            <w:tcW w:w="2608" w:type="dxa"/>
          </w:tcPr>
          <w:p w14:paraId="578286F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定价对照图</w:t>
            </w:r>
          </w:p>
        </w:tc>
        <w:tc>
          <w:tcPr>
            <w:tcW w:w="1361" w:type="dxa"/>
          </w:tcPr>
          <w:p w14:paraId="42ECE54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第五章</w:t>
            </w:r>
          </w:p>
        </w:tc>
        <w:tc>
          <w:tcPr>
            <w:tcW w:w="4365" w:type="dxa"/>
          </w:tcPr>
          <w:p w14:paraId="1848BE1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我方 1/8 于 Netfabb</w:t>
            </w:r>
          </w:p>
        </w:tc>
      </w:tr>
      <w:tr w14:paraId="3F777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74202EE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16</w:t>
            </w:r>
          </w:p>
        </w:tc>
        <w:tc>
          <w:tcPr>
            <w:tcW w:w="2608" w:type="dxa"/>
          </w:tcPr>
          <w:p w14:paraId="4CC0F98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客户分层金字塔</w:t>
            </w:r>
          </w:p>
        </w:tc>
        <w:tc>
          <w:tcPr>
            <w:tcW w:w="1361" w:type="dxa"/>
          </w:tcPr>
          <w:p w14:paraId="195D398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第六章</w:t>
            </w:r>
          </w:p>
        </w:tc>
        <w:tc>
          <w:tcPr>
            <w:tcW w:w="4365" w:type="dxa"/>
          </w:tcPr>
          <w:p w14:paraId="6BC1244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六类客户，标付费意愿与切入顺序</w:t>
            </w:r>
          </w:p>
        </w:tc>
      </w:tr>
      <w:tr w14:paraId="445EC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5E43DDE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17</w:t>
            </w:r>
          </w:p>
        </w:tc>
        <w:tc>
          <w:tcPr>
            <w:tcW w:w="2608" w:type="dxa"/>
          </w:tcPr>
          <w:p w14:paraId="1205C8C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自下而上测算表</w:t>
            </w:r>
          </w:p>
        </w:tc>
        <w:tc>
          <w:tcPr>
            <w:tcW w:w="1361" w:type="dxa"/>
          </w:tcPr>
          <w:p w14:paraId="777D93A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第六章</w:t>
            </w:r>
          </w:p>
        </w:tc>
        <w:tc>
          <w:tcPr>
            <w:tcW w:w="4365" w:type="dxa"/>
          </w:tcPr>
          <w:p w14:paraId="7041009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给出完整算式与假设</w:t>
            </w:r>
          </w:p>
        </w:tc>
      </w:tr>
      <w:tr w14:paraId="527B2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4C0031C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18</w:t>
            </w:r>
          </w:p>
        </w:tc>
        <w:tc>
          <w:tcPr>
            <w:tcW w:w="2608" w:type="dxa"/>
          </w:tcPr>
          <w:p w14:paraId="7F392B6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滩头战略三阶段图</w:t>
            </w:r>
          </w:p>
        </w:tc>
        <w:tc>
          <w:tcPr>
            <w:tcW w:w="1361" w:type="dxa"/>
          </w:tcPr>
          <w:p w14:paraId="42B1F9A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第六章</w:t>
            </w:r>
          </w:p>
        </w:tc>
        <w:tc>
          <w:tcPr>
            <w:tcW w:w="4365" w:type="dxa"/>
          </w:tcPr>
          <w:p w14:paraId="6888A70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AI 用户 → 服务商 → 医疗工业</w:t>
            </w:r>
          </w:p>
        </w:tc>
      </w:tr>
      <w:tr w14:paraId="6E45C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722297B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19</w:t>
            </w:r>
          </w:p>
        </w:tc>
        <w:tc>
          <w:tcPr>
            <w:tcW w:w="2608" w:type="dxa"/>
          </w:tcPr>
          <w:p w14:paraId="5B38DA5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商业模式画布 + 收入四层图</w:t>
            </w:r>
          </w:p>
        </w:tc>
        <w:tc>
          <w:tcPr>
            <w:tcW w:w="1361" w:type="dxa"/>
          </w:tcPr>
          <w:p w14:paraId="1F0F763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第七章</w:t>
            </w:r>
          </w:p>
        </w:tc>
        <w:tc>
          <w:tcPr>
            <w:tcW w:w="4365" w:type="dxa"/>
          </w:tcPr>
          <w:p w14:paraId="270476D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画布九宫格 + 四层收入</w:t>
            </w:r>
          </w:p>
        </w:tc>
      </w:tr>
      <w:tr w14:paraId="63C3B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375D2B5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20</w:t>
            </w:r>
          </w:p>
        </w:tc>
        <w:tc>
          <w:tcPr>
            <w:tcW w:w="2608" w:type="dxa"/>
          </w:tcPr>
          <w:p w14:paraId="0EABACB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增长飞轮图</w:t>
            </w:r>
          </w:p>
        </w:tc>
        <w:tc>
          <w:tcPr>
            <w:tcW w:w="1361" w:type="dxa"/>
          </w:tcPr>
          <w:p w14:paraId="70C7800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第七章</w:t>
            </w:r>
          </w:p>
        </w:tc>
        <w:tc>
          <w:tcPr>
            <w:tcW w:w="4365" w:type="dxa"/>
          </w:tcPr>
          <w:p w14:paraId="0ED4CBA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免费插件 → 数据回流 → 算法提升 → 口碑</w:t>
            </w:r>
          </w:p>
        </w:tc>
      </w:tr>
      <w:tr w14:paraId="5765B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344A7AD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21</w:t>
            </w:r>
          </w:p>
        </w:tc>
        <w:tc>
          <w:tcPr>
            <w:tcW w:w="2608" w:type="dxa"/>
          </w:tcPr>
          <w:p w14:paraId="6F38251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单位经济模型 + 三年预测表</w:t>
            </w:r>
          </w:p>
        </w:tc>
        <w:tc>
          <w:tcPr>
            <w:tcW w:w="1361" w:type="dxa"/>
          </w:tcPr>
          <w:p w14:paraId="48BCA3D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第八章</w:t>
            </w:r>
          </w:p>
        </w:tc>
        <w:tc>
          <w:tcPr>
            <w:tcW w:w="4365" w:type="dxa"/>
          </w:tcPr>
          <w:p w14:paraId="61E15A6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含假设标注</w:t>
            </w:r>
          </w:p>
        </w:tc>
      </w:tr>
      <w:tr w14:paraId="71B18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081DCEA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22</w:t>
            </w:r>
          </w:p>
        </w:tc>
        <w:tc>
          <w:tcPr>
            <w:tcW w:w="2608" w:type="dxa"/>
          </w:tcPr>
          <w:p w14:paraId="07C95B8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团队结构图 + 五阶段路线图</w:t>
            </w:r>
          </w:p>
        </w:tc>
        <w:tc>
          <w:tcPr>
            <w:tcW w:w="1361" w:type="dxa"/>
          </w:tcPr>
          <w:p w14:paraId="0A4237F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第九章、第十章</w:t>
            </w:r>
          </w:p>
        </w:tc>
        <w:tc>
          <w:tcPr>
            <w:tcW w:w="4365" w:type="dxa"/>
          </w:tcPr>
          <w:p w14:paraId="79F83F5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一人多岗一目了然</w:t>
            </w:r>
          </w:p>
        </w:tc>
      </w:tr>
    </w:tbl>
    <w:p w14:paraId="6EABA489">
      <w:pPr>
        <w:pStyle w:val="4"/>
        <w:spacing w:before="200" w:after="120" w:line="312" w:lineRule="auto"/>
        <w:ind w:firstLine="0"/>
      </w:pPr>
      <w:bookmarkStart w:id="18" w:name="_Toc6462"/>
      <w:r>
        <w:rPr>
          <w:rFonts w:ascii="宋体" w:hAnsi="宋体" w:eastAsia="宋体" w:cs="宋体"/>
          <w:b/>
          <w:i w:val="0"/>
          <w:color w:val="000000"/>
          <w:sz w:val="28"/>
        </w:rPr>
        <w:t>1.5 推荐写作顺序</w:t>
      </w:r>
      <w:bookmarkEnd w:id="18"/>
    </w:p>
    <w:p w14:paraId="6F8A9531">
      <w:pPr>
        <w:spacing w:before="120" w:after="80" w:line="312" w:lineRule="auto"/>
      </w:pPr>
      <w:r>
        <w:rPr>
          <w:rFonts w:ascii="宋体" w:hAnsi="宋体" w:eastAsia="宋体" w:cs="宋体"/>
          <w:b w:val="0"/>
          <w:i w:val="0"/>
          <w:sz w:val="22"/>
        </w:rPr>
        <w:t>不要按章节顺序写。按下面的顺序写，返工最少。</w:t>
      </w:r>
    </w:p>
    <w:p w14:paraId="5EF7BA2E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第一步·先写第三、四章（技术与创新）。这两章素材最全、最能定调；技术定位一旦确定，市场与商业的写法就都确定了。</w:t>
      </w:r>
    </w:p>
    <w:p w14:paraId="0CD83353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第二步·再写第一章（痛点）。痛点必须与第四章的创新点一一对应——提出的每个痛点，后面都要有对应的解法。</w:t>
      </w:r>
    </w:p>
    <w:p w14:paraId="7564CD32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第三步·再写第五、六、七章（竞争、市场、模式）。这三章依赖前面的技术定位，顺序不能提前。</w:t>
      </w:r>
    </w:p>
    <w:p w14:paraId="15BC8297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第四步·最后写第二、八、九、十、十一章。</w:t>
      </w:r>
    </w:p>
    <w:p w14:paraId="379D3CAB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第五步·摘要放在最后写。它要浓缩全部结论，先写必然反复重写。</w:t>
      </w:r>
    </w:p>
    <w:p w14:paraId="24B60147">
      <w:pPr>
        <w:pStyle w:val="4"/>
        <w:spacing w:before="200" w:after="120" w:line="312" w:lineRule="auto"/>
        <w:ind w:firstLine="0"/>
      </w:pPr>
      <w:bookmarkStart w:id="19" w:name="_Toc148"/>
      <w:r>
        <w:rPr>
          <w:rFonts w:ascii="宋体" w:hAnsi="宋体" w:eastAsia="宋体" w:cs="宋体"/>
          <w:b/>
          <w:i w:val="0"/>
          <w:color w:val="000000"/>
          <w:sz w:val="28"/>
        </w:rPr>
        <w:t>1.6 十条常见失分点</w:t>
      </w:r>
      <w:bookmarkEnd w:id="19"/>
    </w:p>
    <w:p w14:paraId="6D38A729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1. 用“先进”“领先”“颠覆”等形容词替代数字。</w:t>
      </w:r>
    </w:p>
    <w:p w14:paraId="41828C51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2. 引用第三方行业报告的大数字当作市场规模，不做自下而上测算。</w:t>
      </w:r>
    </w:p>
    <w:p w14:paraId="4B1AD1F1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3. 只讲技术多强，不讲客户为什么掏钱。</w:t>
      </w:r>
    </w:p>
    <w:p w14:paraId="087F73CB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4. 财务预测精确到分，一问假设就答不上来。</w:t>
      </w:r>
    </w:p>
    <w:p w14:paraId="5C5A6ABB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5. 竞品分析只列功能对照表，给不出差异化定位的一句话。</w:t>
      </w:r>
    </w:p>
    <w:p w14:paraId="363C7582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6. 回避风险，或把风险章节写成“我们没有风险”。</w:t>
      </w:r>
    </w:p>
    <w:p w14:paraId="2226DBC6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7. 团队章节只列姓名与奖项，不讲能力如何匹配具体任务。</w:t>
      </w:r>
    </w:p>
    <w:p w14:paraId="02A107AF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8. 摘要是目录的复述，无法脱离正文独立成立。</w:t>
      </w:r>
    </w:p>
    <w:p w14:paraId="2247343A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9. 图表堆砌却不复述结论——每张图下面必须有一句结论。</w:t>
      </w:r>
    </w:p>
    <w:p w14:paraId="62C91594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10. 全文没有任何一处承认不确定性。真实项目一定有边界，滴水不漏的材料反而让人怀疑。</w:t>
      </w:r>
    </w:p>
    <w:p w14:paraId="6A6A06EE">
      <w:pPr>
        <w:pStyle w:val="3"/>
        <w:pageBreakBefore/>
        <w:spacing w:before="280" w:after="120" w:line="312" w:lineRule="auto"/>
        <w:ind w:firstLine="0"/>
      </w:pPr>
      <w:bookmarkStart w:id="20" w:name="_Toc15983"/>
      <w:r>
        <w:rPr>
          <w:rFonts w:ascii="宋体" w:hAnsi="宋体" w:eastAsia="宋体" w:cs="宋体"/>
          <w:b/>
          <w:i w:val="0"/>
          <w:color w:val="000000"/>
          <w:sz w:val="32"/>
        </w:rPr>
        <w:t>第二部分  商业计划书简略样板</w:t>
      </w:r>
      <w:bookmarkEnd w:id="20"/>
    </w:p>
    <w:p w14:paraId="0CFB101F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本部分是按 1.2 与 1.3 的纲要写出的精简正文示例，已填入本项目的真实内容。它刻意写得短——每一节都能扩写到纲要规定的页数，但骨架、语气与数据密度已经定下来了，可以直接在其上扩写。所有【待填】处需你补充真实数据后再定稿。</w:t>
      </w:r>
    </w:p>
    <w:p w14:paraId="672BEBDD">
      <w:pPr>
        <w:pStyle w:val="4"/>
        <w:spacing w:before="200" w:after="120" w:line="312" w:lineRule="auto"/>
        <w:ind w:firstLine="0"/>
      </w:pPr>
      <w:bookmarkStart w:id="21" w:name="_Toc15162"/>
      <w:r>
        <w:rPr>
          <w:rFonts w:ascii="宋体" w:hAnsi="宋体" w:eastAsia="宋体" w:cs="宋体"/>
          <w:b/>
          <w:i w:val="0"/>
          <w:color w:val="000000"/>
          <w:sz w:val="28"/>
        </w:rPr>
        <w:t>2.1 封面与项目定位（样板）</w:t>
      </w:r>
      <w:bookmarkEnd w:id="21"/>
    </w:p>
    <w:p w14:paraId="3E72B876">
      <w:pPr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项目名称：愈缝 SeamHeal</w:t>
      </w:r>
    </w:p>
    <w:p w14:paraId="1CCF5858">
      <w:pPr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一句话定位：让每一个破损的 3D 模型都能直接打印。</w:t>
      </w:r>
    </w:p>
    <w:p w14:paraId="7ED4CC69">
      <w:pPr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技术全称：面向数字制造的 3D 模型智能修复与接缝优化引擎。</w:t>
      </w:r>
    </w:p>
    <w:p w14:paraId="5F2E3F81">
      <w:pPr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团队：核心成员 7 人（区间 6–8 人，一人多岗）；申报单位：【待填：学校 / 学院】；联系方式：【待填】。</w:t>
      </w:r>
    </w:p>
    <w:p w14:paraId="7F16D19C">
      <w:pPr>
        <w:pStyle w:val="4"/>
        <w:spacing w:before="200" w:after="120" w:line="312" w:lineRule="auto"/>
        <w:ind w:firstLine="0"/>
      </w:pPr>
      <w:bookmarkStart w:id="22" w:name="_Toc11252"/>
      <w:r>
        <w:rPr>
          <w:rFonts w:ascii="宋体" w:hAnsi="宋体" w:eastAsia="宋体" w:cs="宋体"/>
          <w:b/>
          <w:i w:val="0"/>
          <w:color w:val="000000"/>
          <w:sz w:val="28"/>
        </w:rPr>
        <w:t>2.2 项目摘要（样板，约 300 字）</w:t>
      </w:r>
      <w:bookmarkEnd w:id="22"/>
    </w:p>
    <w:p w14:paraId="4A192859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三维扫描、AI 生成与 CAD 转换产生的大量模型存在孔洞、自交、非流形等缺陷，无法直接用于 3D 打印。现有工业软件（Netfabb、Magics）能修复几何，但会在修复中删除三角面并连带丢失 UV 坐标，导致模型修好了却破了相；同时大尺寸模型必须分块打印，而分块接缝是结构的绝对最弱点，实测强度损失达 23.3%，目前完全依赖工程师手工处理。</w:t>
      </w:r>
    </w:p>
    <w:p w14:paraId="680D7F9F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愈缝 SeamHeal 提出跨几何、纹理、力学的统一接缝能量框架，把割裂的“修复—纹理—分块”三个环节合并为一个连续优化问题，3 分钟内自动输出可直接打印、纹理完好、接缝强度保持率超过 95% 的模型。</w:t>
      </w:r>
    </w:p>
    <w:p w14:paraId="24DB55F6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产品以“AI 生成模型的打印就绪化”为滩头市场，主要客户为 3D 打印服务商与手办文创工作室，定价建议 1999 元/年（约为 Netfabb 的八分之一）。团队 7 人，已布局三项专利并形成评测基准 SeamBench【待填：已完成用户数 / 收入 / 合作意向】。</w:t>
      </w:r>
    </w:p>
    <w:p w14:paraId="7BBB3EE3">
      <w:pPr>
        <w:pStyle w:val="4"/>
        <w:spacing w:before="200" w:after="120" w:line="312" w:lineRule="auto"/>
        <w:ind w:firstLine="0"/>
      </w:pPr>
      <w:bookmarkStart w:id="23" w:name="_Toc17896"/>
      <w:r>
        <w:rPr>
          <w:rFonts w:ascii="宋体" w:hAnsi="宋体" w:eastAsia="宋体" w:cs="宋体"/>
          <w:b/>
          <w:i w:val="0"/>
          <w:color w:val="000000"/>
          <w:sz w:val="28"/>
        </w:rPr>
        <w:t>2.3 一、项目背景与痛点（样板）</w:t>
      </w:r>
      <w:bookmarkEnd w:id="23"/>
    </w:p>
    <w:p w14:paraId="194C53D2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三维数据的生产正在快速增长，但其中能直接用于制造的比例极低。三维扫描受遮挡限制必然产生孔洞与噪声，多视角拼接后留下几何台阶与纹理色差；AI 生成的 3D 模型绝大多数不是水密网格，法线朝向混乱、壁厚不足，送进切片器直接报错；CAD 转网格时曲面离散化不一致，产生微小裂缝与重复面；修复古器物与断裂机械件时，扫描对象本身就是残件。</w:t>
      </w:r>
    </w:p>
    <w:p w14:paraId="311D860D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更关键的是，现有工具修不好这件事。Netfabb 与 Magics 能修复几何缺陷，但其自动修复会删除问题三角面，并用不含 UV 坐标的新面替换——模型修好了，纹理没了。这在专业 3D 打印服务商的社区中有大量记录，对“先贴图、后修复”的工作流是致命打击。</w:t>
      </w:r>
    </w:p>
    <w:p w14:paraId="10B928B2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代价是可量化的：当模型超过打印机成形空间必须分块打印时，接缝成为结构的绝对最弱点。实测显示，拼接但未处理接缝的试件平均破坏拉力为 215.3 N，完整件为 280.7 N，强度下降 23.3%；接缝处存在大于 0.1 mm 的凸起与大于 0.2 mm 的缝隙，断裂基本沿接缝发生【此组数据须核实原始出处，详见附件】。</w:t>
      </w:r>
    </w:p>
    <w:p w14:paraId="7F77E5D2">
      <w:pPr>
        <w:spacing w:before="0" w:after="80" w:line="312" w:lineRule="auto"/>
        <w:ind w:firstLine="480"/>
      </w:pPr>
      <w:r>
        <w:rPr>
          <w:rFonts w:ascii="宋体" w:hAnsi="宋体" w:eastAsia="宋体" w:cs="宋体"/>
          <w:b/>
          <w:i w:val="0"/>
          <w:sz w:val="24"/>
        </w:rPr>
        <w:t>这不是审美问题，而是真金白银的返工、废件与结构安全。</w:t>
      </w:r>
    </w:p>
    <w:p w14:paraId="368D91BA">
      <w:pPr>
        <w:pStyle w:val="4"/>
        <w:spacing w:before="200" w:after="120" w:line="312" w:lineRule="auto"/>
        <w:ind w:firstLine="0"/>
      </w:pPr>
      <w:bookmarkStart w:id="24" w:name="_Toc3923"/>
      <w:r>
        <w:rPr>
          <w:rFonts w:ascii="宋体" w:hAnsi="宋体" w:eastAsia="宋体" w:cs="宋体"/>
          <w:b/>
          <w:i w:val="0"/>
          <w:color w:val="000000"/>
          <w:sz w:val="28"/>
        </w:rPr>
        <w:t>2.4 二、产品与服务（样板）</w:t>
      </w:r>
      <w:bookmarkEnd w:id="24"/>
    </w:p>
    <w:p w14:paraId="3F334A49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愈缝 SeamHeal 把破损、不能打印的三维模型，变成能直接打印、纹理完好、接缝不出问题的模型。</w:t>
      </w:r>
    </w:p>
    <w:p w14:paraId="233E5EBC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产品分三层形态：底层是几何处理内核，可以 SDK 形式嵌入扫描设备与模型平台；中层是 Blender 插件、桌面软件与云 API，直接面向打印服务商、工作室与个人创客；上层是分块打印方案生成与接缝强度预测，服务于医疗与工业等高端场景。</w:t>
      </w:r>
    </w:p>
    <w:p w14:paraId="1188929A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用户操作只有三步：拖入模型 → 确认系统给出的缺陷诊断与建议方案（可调“保真优先 / 强度优先 / 外观优先”）→ 3 分钟内导出打印就绪文件、分块装配图与切片预设，并得到一份说明本次修改了哪些区域、影响多少顶点的可追溯报告。</w:t>
      </w:r>
    </w:p>
    <w:p w14:paraId="0251F04A">
      <w:pPr>
        <w:spacing w:before="0" w:after="80" w:line="312" w:lineRule="auto"/>
        <w:ind w:firstLine="480"/>
      </w:pPr>
      <w:r>
        <w:rPr>
          <w:rFonts w:ascii="宋体" w:hAnsi="宋体" w:eastAsia="宋体" w:cs="宋体"/>
          <w:b/>
          <w:i w:val="0"/>
          <w:sz w:val="24"/>
        </w:rPr>
        <w:t>对比现状：现有流程是“修复软件改几何 → 导出 → CAD 手工补面处理接缝 → 再导出 → 修复软件复检 → 切片”，一次工作跨三个软件、耗时以小时计；本产品是一条流水线、三分钟、零跨软件。</w:t>
      </w:r>
    </w:p>
    <w:p w14:paraId="6C524E20">
      <w:pPr>
        <w:pStyle w:val="4"/>
        <w:spacing w:before="200" w:after="120" w:line="312" w:lineRule="auto"/>
        <w:ind w:firstLine="0"/>
      </w:pPr>
      <w:bookmarkStart w:id="25" w:name="_Toc6702"/>
      <w:r>
        <w:rPr>
          <w:rFonts w:ascii="宋体" w:hAnsi="宋体" w:eastAsia="宋体" w:cs="宋体"/>
          <w:b/>
          <w:i w:val="0"/>
          <w:color w:val="000000"/>
          <w:sz w:val="28"/>
        </w:rPr>
        <w:t>2.5 三、技术方案与核心竞争力（样板）</w:t>
      </w:r>
      <w:bookmarkEnd w:id="25"/>
    </w:p>
    <w:p w14:paraId="3CAD257B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项目的理论内核来自一个统一观察：三维数据链路中的四类接缝——扫描重建的拼接缝、修复补片的边界缝、UV 展开的切割缝、分块打印的装配缝——分属不同软件环节、彼此不通信，但它们本质上是同一个问题：接缝两侧的属性发生了不连续。</w:t>
      </w:r>
    </w:p>
    <w:p w14:paraId="3611D697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基于这一观察，我们定义接缝曲线上的总不连续能量，同时惩罚几何法线、位置、颜色与力学四个量在接缝处的差异，并在该能量下求解“既保真又保强度”的最优方案。</w:t>
      </w:r>
    </w:p>
    <w:p w14:paraId="7DE7451F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工程上采用四层处理管线：诊断层做拓扑体检并输出可执行的修复计划；修复层对小缺陷走拓扑手术、对大破损走隐式场重建，全程执行纹理保持；接缝层分几何、纹理、制造三路优化；输出层给出打印就绪文件与可追溯报告。</w:t>
      </w:r>
    </w:p>
    <w:p w14:paraId="5F2E16EF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技术策略上我们明确划界：通用几何能力使用成熟开源组件（libigl、Open3D、Manifold、xatlas）做到够用，创新火力全部集中在接缝域。这既保证工程可靠性，也是 7 人团队能够完成本项目的原因。</w:t>
      </w:r>
    </w:p>
    <w:p w14:paraId="2AFC0907">
      <w:pPr>
        <w:spacing w:before="0" w:after="80" w:line="312" w:lineRule="auto"/>
        <w:ind w:firstLine="480"/>
      </w:pPr>
      <w:r>
        <w:rPr>
          <w:rFonts w:ascii="宋体" w:hAnsi="宋体" w:eastAsia="宋体" w:cs="宋体"/>
          <w:b/>
          <w:i w:val="0"/>
          <w:sz w:val="24"/>
        </w:rPr>
        <w:t>我们同样明确不承诺什么：不承诺 100% 水密（严重破损至今是领域开放挑战），不承诺用神经网络端到端解决所有破损，强度预测必须经实验标定。</w:t>
      </w:r>
    </w:p>
    <w:p w14:paraId="13EC06CE">
      <w:pPr>
        <w:pStyle w:val="4"/>
        <w:spacing w:before="200" w:after="120" w:line="312" w:lineRule="auto"/>
        <w:ind w:firstLine="0"/>
      </w:pPr>
      <w:bookmarkStart w:id="26" w:name="_Toc32119"/>
      <w:r>
        <w:rPr>
          <w:rFonts w:ascii="宋体" w:hAnsi="宋体" w:eastAsia="宋体" w:cs="宋体"/>
          <w:b/>
          <w:i w:val="0"/>
          <w:color w:val="000000"/>
          <w:sz w:val="28"/>
        </w:rPr>
        <w:t>2.6 四、创新点（样板）</w:t>
      </w:r>
      <w:bookmarkEnd w:id="26"/>
    </w:p>
    <w:p w14:paraId="19437CCD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创新点一·纹理保持的联合修复。现有工具修完丢纹理，我们把 UV 与纹理作为修复的求解变量：补片 UV 由孔洞边界的调和插值生成，纹理内容用图像修复补全，再做泊松融合消除色差。目标指标：修复区 UV 保留率超过 99%，纹理 PSNR 超过 30 dB。</w:t>
      </w:r>
    </w:p>
    <w:p w14:paraId="346C0864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创新点二·跨几何、纹理、力学的统一接缝能量框架。学术界的 OptCuts、Autocuts 只优化 UV 参数化这一个域，商业软件则完全不考虑接缝。我们在同一份接缝场数据结构上联合求解三个域，并用消融实验证明存在真实耦合——为力学强度局部加厚会改变曲率并重新分配 UV 失真，单独优化任一个域都会让另外两个变差。</w:t>
      </w:r>
    </w:p>
    <w:p w14:paraId="16DE5101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创新点三·应力感知的分块与互锁接头自动生成。目前没有任何工具能自动完成“分块位置决策 + 接头生成 + 打印方向优化 + 强度预测”，这项工作百分之百靠工程师手工完成。我们做应力方向分析、自动生成销孔与燕尾榫、支持接缝错位均摊，目标把接缝强度保持率从 76.7% 提升到 95% 以上，并用真实拉伸实验（每组不少于 5 件）验证。</w:t>
      </w:r>
    </w:p>
    <w:p w14:paraId="1269BE8C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创新点四·SeamBench 基准与可复现评测协议。现有数据集都不标注接缝，现有评估指标也无法回答“打印出来会不会断”。我们提供带接缝缺陷标注的数据集与六项跨域指标，让前三条创新的效果变得可验证。</w:t>
      </w:r>
    </w:p>
    <w:p w14:paraId="6CF34418">
      <w:pPr>
        <w:pStyle w:val="4"/>
        <w:spacing w:before="200" w:after="120" w:line="312" w:lineRule="auto"/>
        <w:ind w:firstLine="0"/>
      </w:pPr>
      <w:bookmarkStart w:id="27" w:name="_Toc23677"/>
      <w:r>
        <w:rPr>
          <w:rFonts w:ascii="宋体" w:hAnsi="宋体" w:eastAsia="宋体" w:cs="宋体"/>
          <w:b/>
          <w:i w:val="0"/>
          <w:color w:val="000000"/>
          <w:sz w:val="28"/>
        </w:rPr>
        <w:t>2.7 五、竞争分析（样板）</w:t>
      </w:r>
      <w:bookmarkEnd w:id="27"/>
    </w:p>
    <w:p w14:paraId="0CE52960">
      <w:pPr>
        <w:spacing w:before="0" w:after="80" w:line="312" w:lineRule="auto"/>
        <w:ind w:firstLine="480"/>
      </w:pPr>
      <w:r>
        <w:rPr>
          <w:rFonts w:ascii="宋体" w:hAnsi="宋体" w:eastAsia="宋体" w:cs="宋体"/>
          <w:b/>
          <w:i w:val="0"/>
          <w:sz w:val="24"/>
        </w:rPr>
        <w:t>我们的差异化定位一句话可以概括：我们不是更好的通用修复器，我们是唯一处理接缝的工具。</w:t>
      </w:r>
    </w:p>
    <w:p w14:paraId="560A80AC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在能力矩阵上，Magics、Netfabb、Geomagic Wrap 能修复几何，但修复时会连带丢失 UV 与纹理，且三者都不提供接缝优化与分块接头生成；Blender 打印工具箱只做检测不做修复；学术界 OptCuts、Autocuts 只处理 UV 接缝且未产品化。而“修复后保留纹理”“可见度感知的接缝优化”“自动分块与接头生成”“接缝强度预测”这四项能力，只有本产品同时具备。</w:t>
      </w:r>
    </w:p>
    <w:p w14:paraId="18372E6E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价格上，Magics 起价约 25000 元每模块，Netfabb 约 16000 元每年，Geomagic Wrap 80000 元以上买断，而 3D 打印农场与手办工作室恰恰是价格最敏感的用户。我们建议定价 1999 元每年，约为 Netfabb 的八分之一【价格口径须以官网截图存档，详见附件】。</w:t>
      </w:r>
    </w:p>
    <w:p w14:paraId="7AC3CDFD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我们建立四层壁垒：数据壁垒（免费版回流的真实缺陷数据，加上独有的打印强度实验数据库，这是闭源桌面软件拿不到的）、算法壁垒（三域统一框架与接头生成已申请专利）、生态壁垒（与切片器和扫描设备厂商深度集成）、垂直壁垒（在医疗器械场景积累临床验证与合规文档）。</w:t>
      </w:r>
    </w:p>
    <w:p w14:paraId="0B618E7F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诚实地说：如果 Autodesk 决定把该功能并入 Netfabb，单点技术优势会被削弱。因此我们真正的护城河是时间——必须在 12 到 18 个月内把“接缝”这个概念与品牌绑定，并拿下垂直行业的标杆客户。</w:t>
      </w:r>
    </w:p>
    <w:p w14:paraId="7B23B7EE">
      <w:pPr>
        <w:pStyle w:val="4"/>
        <w:spacing w:before="200" w:after="120" w:line="312" w:lineRule="auto"/>
        <w:ind w:firstLine="0"/>
      </w:pPr>
      <w:bookmarkStart w:id="28" w:name="_Toc10105"/>
      <w:r>
        <w:rPr>
          <w:rFonts w:ascii="宋体" w:hAnsi="宋体" w:eastAsia="宋体" w:cs="宋体"/>
          <w:b/>
          <w:i w:val="0"/>
          <w:color w:val="000000"/>
          <w:sz w:val="28"/>
        </w:rPr>
        <w:t>2.8 六、市场分析（样板）</w:t>
      </w:r>
      <w:bookmarkEnd w:id="28"/>
    </w:p>
    <w:p w14:paraId="312AA412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我们不做“面向所有 3D 用户”的设想，而是先占一个高频、痛点明确、决策链短的滩头市场。</w:t>
      </w:r>
    </w:p>
    <w:p w14:paraId="58D78F11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首选滩头是“AI 生成模型的打印就绪化”。文生 3D 刚刚爆发，产出海量但几乎不能直接打印的模型，而用户画像与 3D 打印玩家高度重合、决策链极短、传播性强，且能借力 AIGC 叙事。第二阶段进入 3D 打印服务商与手办工作室——使用频率最高、痛点最痛、用不起现有商业软件、老板一人拍板。第三阶段切入医疗器械与工业逆向工程，单客户价值最高，但需要合规验证与信任积累。</w:t>
      </w:r>
    </w:p>
    <w:p w14:paraId="5102E4F4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市场规模采用自下而上测算，而非引用第三方报告的大数字：可服务市场规模 = 目标客户基数 × 单客户席位需求 × 可触达比例 × 付费转化率 × 年度客单价。按保守假设【待填：客户基数 X 家 × 3 席 × 可触达 30% × 转化 5% × 1999 元每年】，可得可服务市场规模约【待填】。</w:t>
      </w:r>
    </w:p>
    <w:p w14:paraId="262DB14E">
      <w:pPr>
        <w:spacing w:before="0" w:after="80" w:line="312" w:lineRule="auto"/>
        <w:ind w:firstLine="480"/>
      </w:pPr>
      <w:r>
        <w:rPr>
          <w:rFonts w:ascii="宋体" w:hAnsi="宋体" w:eastAsia="宋体" w:cs="宋体"/>
          <w:b/>
          <w:i w:val="0"/>
          <w:sz w:val="24"/>
        </w:rPr>
        <w:t>我们宁愿给出一个可以被评委逐步检验的算式，也不愿给一个无法验证的大数字。</w:t>
      </w:r>
    </w:p>
    <w:p w14:paraId="7A3CFCD3">
      <w:pPr>
        <w:pStyle w:val="4"/>
        <w:spacing w:before="200" w:after="120" w:line="312" w:lineRule="auto"/>
        <w:ind w:firstLine="0"/>
      </w:pPr>
      <w:bookmarkStart w:id="29" w:name="_Toc17998"/>
      <w:r>
        <w:rPr>
          <w:rFonts w:ascii="宋体" w:hAnsi="宋体" w:eastAsia="宋体" w:cs="宋体"/>
          <w:b/>
          <w:i w:val="0"/>
          <w:color w:val="000000"/>
          <w:sz w:val="28"/>
        </w:rPr>
        <w:t>2.9 七、商业模式（样板）</w:t>
      </w:r>
      <w:bookmarkEnd w:id="29"/>
    </w:p>
    <w:p w14:paraId="6E8EAF05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收入结构分四层，逐层提高客单价：免费层是功能受限的 Blender 插件，用于引流并收集真实缺陷数据；订阅层是专业版桌面软件，1999 元每年每席，面向打印服务商与工作室，是现金流主力；云服务层按次计费（0.5–5 元每个模型），面向 3D 模型平台与扫描设备厂商，用于嵌入他人工作流；企业层是 SDK 授权与私有化部署（10–50 万元每年），面向医疗器械与工业客户。</w:t>
      </w:r>
    </w:p>
    <w:p w14:paraId="10FA54D4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增长飞轮的关键在于：免费版不只是引流工具。用户上传的破损模型持续回流真实世界的缺陷分布，反哺算法迭代，形成竞品拿不到的数据壁垒——Netfabb 与 Magics 是闭源桌面软件，无法形成这样的数据回流。</w:t>
      </w:r>
    </w:p>
    <w:p w14:paraId="2DF22DB3">
      <w:pPr>
        <w:spacing w:before="0" w:after="80" w:line="312" w:lineRule="auto"/>
        <w:ind w:firstLine="480"/>
      </w:pPr>
      <w:r>
        <w:rPr>
          <w:rFonts w:ascii="宋体" w:hAnsi="宋体" w:eastAsia="宋体" w:cs="宋体"/>
          <w:b/>
          <w:i w:val="0"/>
          <w:sz w:val="24"/>
        </w:rPr>
        <w:t>数据合规声明：仅收集用户明确授权的匿名化几何统计特征，不采集模型内容本身，并提供完全离线的本地运行模式。</w:t>
      </w:r>
    </w:p>
    <w:p w14:paraId="4D310624">
      <w:pPr>
        <w:pStyle w:val="4"/>
        <w:spacing w:before="200" w:after="120" w:line="312" w:lineRule="auto"/>
        <w:ind w:firstLine="0"/>
      </w:pPr>
      <w:bookmarkStart w:id="30" w:name="_Toc679"/>
      <w:r>
        <w:rPr>
          <w:rFonts w:ascii="宋体" w:hAnsi="宋体" w:eastAsia="宋体" w:cs="宋体"/>
          <w:b/>
          <w:i w:val="0"/>
          <w:color w:val="000000"/>
          <w:sz w:val="28"/>
        </w:rPr>
        <w:t>2.10 八、财务分析（样板）</w:t>
      </w:r>
      <w:bookmarkEnd w:id="30"/>
    </w:p>
    <w:p w14:paraId="6D940731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成本主要有五项：研发人力（学生团队，成本优势显著）、算力与云服务、实验成本（打印耗材与力学试验机机时）、知识产权与合规（软著、专利、查新报告）、市场推广（以内容与社区运营为主）。</w:t>
      </w:r>
    </w:p>
    <w:p w14:paraId="08796923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我们给出的是单位经济模型而非精确预测：年度客单价 1999 元；毛利率【待填，需扣除云服务与支持成本后测算】；获客成本【待填，以内容营销与社区为主，需给出测算依据】；客户生命周期【待填】年。由此推导单客户生命周期价值与回本周期。</w:t>
      </w:r>
    </w:p>
    <w:p w14:paraId="6DAF27A1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三年定位分别是产品验证期（插件上线、完成标杆案例、完成强度实验与专利布局）、规模复制期（企业 SDK 签约、医疗器械试点）、标准建立期（SeamBench 成为领域参考、接缝强度预测成为行业公认指标）。具体收入预期保持保守，并明确标注为假设。</w:t>
      </w:r>
    </w:p>
    <w:p w14:paraId="48EBD2C8">
      <w:pPr>
        <w:spacing w:before="0" w:after="80" w:line="312" w:lineRule="auto"/>
        <w:ind w:firstLine="480"/>
      </w:pPr>
      <w:r>
        <w:rPr>
          <w:rFonts w:ascii="宋体" w:hAnsi="宋体" w:eastAsia="宋体" w:cs="宋体"/>
          <w:b/>
          <w:i w:val="0"/>
          <w:sz w:val="24"/>
        </w:rPr>
        <w:t>我们不编造精细的收入预测。学生项目在财务上被追问细节的概率极高，给出清晰的假设与推导链条，比给出一串无法解释的数字更有说服力。</w:t>
      </w:r>
    </w:p>
    <w:p w14:paraId="612B1E6B">
      <w:pPr>
        <w:pStyle w:val="4"/>
        <w:spacing w:before="200" w:after="120" w:line="312" w:lineRule="auto"/>
        <w:ind w:firstLine="0"/>
      </w:pPr>
      <w:bookmarkStart w:id="31" w:name="_Toc31366"/>
      <w:r>
        <w:rPr>
          <w:rFonts w:ascii="宋体" w:hAnsi="宋体" w:eastAsia="宋体" w:cs="宋体"/>
          <w:b/>
          <w:i w:val="0"/>
          <w:color w:val="000000"/>
          <w:sz w:val="28"/>
        </w:rPr>
        <w:t>2.11 九、团队介绍（样板）</w:t>
      </w:r>
      <w:bookmarkEnd w:id="31"/>
    </w:p>
    <w:p w14:paraId="48CB814D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团队核心成员 7 人，可实际在 6–8 人之间调整，全队一人多岗、无冗余配置。算法组 2 人负责几何修复与接缝优化；学习组 1 人负责神经模块与纹理补全（可并入算法组）；工程组 2 人负责引擎、插件与云 API；制造与实验组 1 人负责切片集成与力学实验（实验期由算法组协同）；商业组 1–2 人负责调研、用户访谈与商业计划书。</w:t>
      </w:r>
    </w:p>
    <w:p w14:paraId="1E0C0FCA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人数偏少并非妥协，而是技术策略的直接结果：通用能力使用成熟开源组件、创新火力集中于接缝域，把有限人力投在最能形成差异化的环节。小团队的另一个优势是决策链极短，从算法改动到用户验证可在一周内闭环。</w:t>
      </w:r>
    </w:p>
    <w:p w14:paraId="28BC6C11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我们主动说明风险：复合能力要求高，一旦核心成员因学业冲突退出会直接影响进度。应对是四条——算法组配置图形学方向研究生并由指导教师把关；用技术策略压缩工程总量；关键模块文档化与脚本化，避免能力集中于单点；强度实验等设备强相关任务借助实验室与第三方检测分担。</w:t>
      </w:r>
    </w:p>
    <w:p w14:paraId="75BC33B1">
      <w:pPr>
        <w:pStyle w:val="4"/>
        <w:spacing w:before="200" w:after="120" w:line="312" w:lineRule="auto"/>
        <w:ind w:firstLine="0"/>
      </w:pPr>
      <w:bookmarkStart w:id="32" w:name="_Toc26071"/>
      <w:r>
        <w:rPr>
          <w:rFonts w:ascii="宋体" w:hAnsi="宋体" w:eastAsia="宋体" w:cs="宋体"/>
          <w:b/>
          <w:i w:val="0"/>
          <w:color w:val="000000"/>
          <w:sz w:val="28"/>
        </w:rPr>
        <w:t>2.12 十、发展规划（样板）</w:t>
      </w:r>
      <w:bookmarkEnd w:id="32"/>
    </w:p>
    <w:p w14:paraId="1B73D71C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技术路线分五阶段：P0 调研与基线（数据集准备、基线复现、竞品失灵录屏取证）；P1 修复内核（诊断、几何修复、纹理保持、Blender 插件 v0.1，可现场演示）；P2 接缝优化（几何与纹理接缝优化、论文投稿）；P3 制造接缝（分块与接头生成、强度预测、真实打印强度实验）；P4 产品化（GUI 与云 API、软著与专利、用户试用、参赛材料定稿）。</w:t>
      </w:r>
    </w:p>
    <w:p w14:paraId="780C0042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节奏与赛事对齐：校赛前必须完成 P1，保证现场能演示而不是只能放 PPT；省赛前补齐学术材料（论文录用或投稿回执、软著证书、专利受理通知、第三方测试报告）；省赛至国赛之间完成强度实验与产品化，取得最硬的证据。</w:t>
      </w:r>
    </w:p>
    <w:p w14:paraId="4F2CE88A">
      <w:pPr>
        <w:spacing w:before="0" w:after="80" w:line="312" w:lineRule="auto"/>
        <w:ind w:firstLine="480"/>
      </w:pPr>
      <w:r>
        <w:rPr>
          <w:rFonts w:ascii="宋体" w:hAnsi="宋体" w:eastAsia="宋体" w:cs="宋体"/>
          <w:b/>
          <w:i w:val="0"/>
          <w:sz w:val="24"/>
        </w:rPr>
        <w:t>资源需求中最关键的是万能材料试验机——它是创新点三的前置条件，也是唯一“拿不到就做不成”的环节，需最早锁定，备选方案为委托第三方检测机构。</w:t>
      </w:r>
    </w:p>
    <w:p w14:paraId="37C4A625">
      <w:pPr>
        <w:pStyle w:val="4"/>
        <w:spacing w:before="200" w:after="120" w:line="312" w:lineRule="auto"/>
        <w:ind w:firstLine="0"/>
      </w:pPr>
      <w:bookmarkStart w:id="33" w:name="_Toc24068"/>
      <w:r>
        <w:rPr>
          <w:rFonts w:ascii="宋体" w:hAnsi="宋体" w:eastAsia="宋体" w:cs="宋体"/>
          <w:b/>
          <w:i w:val="0"/>
          <w:color w:val="000000"/>
          <w:sz w:val="28"/>
        </w:rPr>
        <w:t>2.13 十一、风险与应对（样板）</w:t>
      </w:r>
      <w:bookmarkEnd w:id="33"/>
    </w:p>
    <w:p w14:paraId="638EDA6F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我们主动暴露五类风险。</w:t>
      </w:r>
    </w:p>
    <w:p w14:paraId="52BD4407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技术风险：大孔洞与严重破损的修复成功率无法达到百分之百。应对是分级降级策略（拓扑手术 → 隐式重建 → 人工介入），每一步可追溯，并在宣传中明确承诺边界。</w:t>
      </w:r>
    </w:p>
    <w:p w14:paraId="2E715BB8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数据风险：真实工业数据与扫描件获取困难。应对是先以程序化合成缺陷构建数据集，再通过“免费修复换数据授权”与服务商置换，并严格执行授权与脱敏流程。</w:t>
      </w:r>
    </w:p>
    <w:p w14:paraId="6A1DF77D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市场风险：大厂跟进与中小客户付费意愿不足。应对是以数据、算法、生态、垂直四层壁垒应对，并先用免费版建立用户基数、用真实案例证明投入产出比。</w:t>
      </w:r>
    </w:p>
    <w:p w14:paraId="00EE9A4B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团队风险：仅 6–8 人、计算几何人力不足。应对见团队介绍一节。</w:t>
      </w:r>
    </w:p>
    <w:p w14:paraId="71677DCA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实验风险：力学试验机等设备资源不可得。应对是最早锁定校内外资源，备选委托第三方检测机构。</w:t>
      </w:r>
    </w:p>
    <w:p w14:paraId="07CD5147">
      <w:pPr>
        <w:spacing w:before="0" w:after="80" w:line="312" w:lineRule="auto"/>
        <w:ind w:firstLine="480"/>
      </w:pPr>
      <w:r>
        <w:rPr>
          <w:rFonts w:ascii="宋体" w:hAnsi="宋体" w:eastAsia="宋体" w:cs="宋体"/>
          <w:b/>
          <w:i w:val="0"/>
          <w:sz w:val="24"/>
        </w:rPr>
        <w:t>我们不写“我们没有风险”。主动说明边界与应对，是团队成熟度的直接体现。</w:t>
      </w:r>
    </w:p>
    <w:p w14:paraId="53CCFB5B">
      <w:pPr>
        <w:pStyle w:val="4"/>
        <w:spacing w:before="200" w:after="120" w:line="312" w:lineRule="auto"/>
        <w:ind w:firstLine="0"/>
      </w:pPr>
      <w:bookmarkStart w:id="34" w:name="_Toc28237"/>
      <w:r>
        <w:rPr>
          <w:rFonts w:ascii="宋体" w:hAnsi="宋体" w:eastAsia="宋体" w:cs="宋体"/>
          <w:b/>
          <w:i w:val="0"/>
          <w:color w:val="000000"/>
          <w:sz w:val="28"/>
        </w:rPr>
        <w:t>2.14 十二、项目成果（样板）</w:t>
      </w:r>
      <w:bookmarkEnd w:id="34"/>
    </w:p>
    <w:p w14:paraId="57E259CF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知识产权在途与在编：【待填】。布局包括三项专利（应力感知的分块与接头自动生成方法、纹理保持的网格修复方法、可见度加权的 UV 接缝生成方法）与两项软件著作权（修复引擎、Blender 插件）。</w:t>
      </w:r>
    </w:p>
    <w:p w14:paraId="66506998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学术成果：英文论文 1 篇（投稿中）、中文核心或会议论文 1 篇、公开数据集 SeamBench 与评测脚本。</w:t>
      </w:r>
    </w:p>
    <w:p w14:paraId="3CD4F17D">
      <w:pPr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实验与用户证据：接缝强度对照实验原始数据与断裂试件实物；3–5 家打印服务商的试用报告或合作意向书；教育部科技查新报告。</w:t>
      </w:r>
    </w:p>
    <w:p w14:paraId="18614847">
      <w:pPr>
        <w:spacing w:before="0" w:after="80" w:line="312" w:lineRule="auto"/>
        <w:ind w:firstLine="480"/>
      </w:pPr>
      <w:r>
        <w:rPr>
          <w:rFonts w:ascii="宋体" w:hAnsi="宋体" w:eastAsia="宋体" w:cs="宋体"/>
          <w:b/>
          <w:i w:val="0"/>
          <w:sz w:val="24"/>
        </w:rPr>
        <w:t>诚实标注：以上成果按“已获得 / 受理中 / 在途 / 计划”四档如实区分，不把计划写成已获得。</w:t>
      </w:r>
    </w:p>
    <w:p w14:paraId="11D022CF">
      <w:pPr>
        <w:pStyle w:val="4"/>
        <w:spacing w:before="200" w:after="120" w:line="312" w:lineRule="auto"/>
        <w:ind w:firstLine="0"/>
      </w:pPr>
      <w:bookmarkStart w:id="35" w:name="_Toc7538"/>
      <w:r>
        <w:rPr>
          <w:rFonts w:ascii="宋体" w:hAnsi="宋体" w:eastAsia="宋体" w:cs="宋体"/>
          <w:b/>
          <w:i w:val="0"/>
          <w:color w:val="000000"/>
          <w:sz w:val="28"/>
        </w:rPr>
        <w:t>2.15 附件清单（样板）</w:t>
      </w:r>
      <w:bookmarkEnd w:id="35"/>
    </w:p>
    <w:p w14:paraId="7BAE7F45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《竞品实测报告》：3 类测试模型 × 3 家竞品，含完整录屏。</w:t>
      </w:r>
    </w:p>
    <w:p w14:paraId="250F0B78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用户访谈记录：3–5 家 3D 打印服务商与手办工作室。</w:t>
      </w:r>
    </w:p>
    <w:p w14:paraId="08971D0A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力学实验原始数据与试件照片（含断裂位置统计）。</w:t>
      </w:r>
    </w:p>
    <w:p w14:paraId="12E332ED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专利受理通知书、软件著作权登记证书。</w:t>
      </w:r>
    </w:p>
    <w:p w14:paraId="39C4D37A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教育部科技查新报告。</w:t>
      </w:r>
    </w:p>
    <w:p w14:paraId="3F7BB02B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第三方测试报告。</w:t>
      </w:r>
    </w:p>
    <w:p w14:paraId="68C9EB43">
      <w:pPr>
        <w:pStyle w:val="16"/>
        <w:spacing w:before="0" w:after="60" w:line="312" w:lineRule="auto"/>
        <w:ind w:left="440" w:firstLine="0"/>
      </w:pPr>
      <w:r>
        <w:rPr>
          <w:rFonts w:ascii="宋体" w:hAnsi="宋体" w:eastAsia="宋体" w:cs="宋体"/>
          <w:b w:val="0"/>
          <w:i w:val="0"/>
          <w:sz w:val="22"/>
        </w:rPr>
        <w:t>用户使用证明或合作意向书。</w:t>
      </w:r>
    </w:p>
    <w:p w14:paraId="288741F7">
      <w:pPr>
        <w:pBdr>
          <w:bottom w:val="single" w:color="888888" w:sz="8" w:space="0"/>
        </w:pBdr>
        <w:spacing w:before="40" w:after="160"/>
        <w:ind w:firstLine="0"/>
      </w:pPr>
    </w:p>
    <w:p w14:paraId="098432C8">
      <w:pPr>
        <w:spacing w:before="120" w:after="80" w:line="312" w:lineRule="auto"/>
      </w:pPr>
      <w:r>
        <w:rPr>
          <w:rFonts w:ascii="宋体" w:hAnsi="宋体" w:eastAsia="宋体" w:cs="宋体"/>
          <w:b w:val="0"/>
          <w:i w:val="0"/>
          <w:sz w:val="23"/>
        </w:rPr>
        <w:t>扩写建议：从第二部分挑一节，按 1.2 的页数预算扩写到 2–3 倍篇幅，并补齐 1.4 图表清单中对应章节的图。全文扩写完成后，最后回头写摘要——那时你已经知道每个结论落在哪一页了。</w:t>
      </w:r>
    </w:p>
    <w:sectPr>
      <w:footerReference r:id="rId11" w:type="default"/>
      <w:pgSz w:w="11906" w:h="16838"/>
      <w:pgMar w:top="1440" w:right="1474" w:bottom="1440" w:left="158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57F67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ACA04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379D80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53C47">
    <w:pPr>
      <w:pStyle w:val="25"/>
      <w:ind w:firstLine="0"/>
      <w:jc w:val="center"/>
    </w:pPr>
    <w:r>
      <w:rPr>
        <w:rFonts w:ascii="宋体" w:hAnsi="宋体" w:eastAsia="宋体" w:cs="宋体"/>
        <w:b w:val="0"/>
        <w:i w:val="0"/>
        <w:sz w:val="21"/>
      </w:rPr>
      <w:fldChar w:fldCharType="begin"/>
    </w:r>
    <w:r>
      <w:rPr>
        <w:rFonts w:ascii="宋体" w:hAnsi="宋体" w:eastAsia="宋体" w:cs="宋体"/>
        <w:b w:val="0"/>
        <w:i w:val="0"/>
        <w:sz w:val="21"/>
      </w:rPr>
      <w:instrText xml:space="preserve">PAGE \* arabic \* MERGEFORMAT</w:instrText>
    </w:r>
    <w:r>
      <w:rPr>
        <w:rFonts w:ascii="宋体" w:hAnsi="宋体" w:eastAsia="宋体" w:cs="宋体"/>
        <w:b w:val="0"/>
        <w:i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869EB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4D33F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29CF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3E6293"/>
    <w:rsid w:val="0EFC2CFD"/>
    <w:rsid w:val="3741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  <w:rPr>
      <w:rFonts w:ascii="宋体" w:hAnsi="宋体" w:eastAsia="宋体" w:cs="宋体"/>
    </w:rPr>
  </w:style>
  <w:style w:type="table" w:default="1" w:styleId="35">
    <w:name w:val="Normal Table"/>
    <w:semiHidden/>
    <w:unhideWhenUsed/>
    <w:qFormat/>
    <w:uiPriority w:val="99"/>
    <w:rPr>
      <w:rFonts w:ascii="宋体" w:hAnsi="宋体" w:eastAsia="宋体" w:cs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宋体" w:hAnsi="宋体" w:eastAsia="宋体" w:cs="宋体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宋体" w:hAnsi="宋体" w:eastAsia="宋体" w:cs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宋体" w:hAnsi="宋体" w:eastAsia="宋体" w:cs="宋体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宋体" w:hAnsi="宋体" w:eastAsia="宋体" w:cs="宋体"/>
    </w:r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rFonts w:ascii="宋体" w:hAnsi="宋体" w:eastAsia="宋体" w:cs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宋体" w:hAnsi="宋体" w:eastAsia="宋体" w:cs="宋体"/>
    </w:r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  <w:rPr>
      <w:rFonts w:ascii="宋体" w:hAnsi="宋体" w:eastAsia="宋体" w:cs="宋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宋体" w:hAnsi="宋体" w:eastAsia="宋体" w:cs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宋体" w:hAnsi="宋体" w:eastAsia="宋体" w:cs="宋体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宋体" w:hAnsi="宋体" w:eastAsia="宋体" w:cs="宋体"/>
    </w:r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  <w:rPr>
      <w:rFonts w:ascii="宋体" w:hAnsi="宋体" w:eastAsia="宋体" w:cs="宋体"/>
    </w:r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7">
    <w:name w:val="toc 1"/>
    <w:basedOn w:val="1"/>
    <w:next w:val="1"/>
    <w:semiHidden/>
    <w:unhideWhenUsed/>
    <w:qFormat/>
    <w:uiPriority w:val="39"/>
    <w:rPr>
      <w:rFonts w:ascii="宋体" w:hAnsi="宋体" w:eastAsia="宋体" w:cs="宋体"/>
    </w:rPr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  <w:rPr>
      <w:rFonts w:ascii="宋体" w:hAnsi="宋体" w:eastAsia="宋体" w:cs="宋体"/>
    </w:r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  <w:rPr>
      <w:rFonts w:ascii="宋体" w:hAnsi="宋体" w:eastAsia="宋体" w:cs="宋体"/>
    </w:r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  <w:rPr>
      <w:rFonts w:ascii="宋体" w:hAnsi="宋体" w:eastAsia="宋体" w:cs="宋体"/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rFonts w:ascii="宋体" w:hAnsi="宋体" w:eastAsia="宋体" w:cs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rFonts w:ascii="宋体" w:hAnsi="宋体" w:eastAsia="宋体" w:cs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rFonts w:ascii="宋体" w:hAnsi="宋体" w:eastAsia="宋体" w:cs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rFonts w:ascii="宋体" w:hAnsi="宋体" w:eastAsia="宋体" w:cs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rFonts w:ascii="宋体" w:hAnsi="宋体" w:eastAsia="宋体" w:cs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rFonts w:ascii="宋体" w:hAnsi="宋体" w:eastAsia="宋体" w:cs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rFonts w:ascii="宋体" w:hAnsi="宋体" w:eastAsia="宋体" w:cs="宋体"/>
      <w:b/>
      <w:bCs/>
    </w:rPr>
  </w:style>
  <w:style w:type="character" w:styleId="137">
    <w:name w:val="Emphasis"/>
    <w:basedOn w:val="135"/>
    <w:qFormat/>
    <w:uiPriority w:val="20"/>
    <w:rPr>
      <w:rFonts w:ascii="宋体" w:hAnsi="宋体" w:eastAsia="宋体" w:cs="宋体"/>
      <w:i/>
      <w:iCs/>
    </w:rPr>
  </w:style>
  <w:style w:type="character" w:customStyle="1" w:styleId="138">
    <w:name w:val="Header Char"/>
    <w:basedOn w:val="135"/>
    <w:link w:val="26"/>
    <w:qFormat/>
    <w:uiPriority w:val="99"/>
    <w:rPr>
      <w:rFonts w:ascii="宋体" w:hAnsi="宋体" w:eastAsia="宋体" w:cs="宋体"/>
    </w:rPr>
  </w:style>
  <w:style w:type="character" w:customStyle="1" w:styleId="139">
    <w:name w:val="Footer Char"/>
    <w:basedOn w:val="135"/>
    <w:link w:val="25"/>
    <w:qFormat/>
    <w:uiPriority w:val="99"/>
    <w:rPr>
      <w:rFonts w:ascii="宋体" w:hAnsi="宋体" w:eastAsia="宋体" w:cs="宋体"/>
    </w:rPr>
  </w:style>
  <w:style w:type="paragraph" w:styleId="140">
    <w:name w:val="No Spacing"/>
    <w:qFormat/>
    <w:uiPriority w:val="1"/>
    <w:pPr>
      <w:spacing w:after="0" w:line="240" w:lineRule="auto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  <w:rPr>
      <w:rFonts w:ascii="宋体" w:hAnsi="宋体" w:eastAsia="宋体" w:cs="宋体"/>
    </w:rPr>
  </w:style>
  <w:style w:type="character" w:customStyle="1" w:styleId="147">
    <w:name w:val="Body Text Char"/>
    <w:basedOn w:val="135"/>
    <w:link w:val="19"/>
    <w:qFormat/>
    <w:uiPriority w:val="99"/>
    <w:rPr>
      <w:rFonts w:ascii="宋体" w:hAnsi="宋体" w:eastAsia="宋体" w:cs="宋体"/>
    </w:rPr>
  </w:style>
  <w:style w:type="character" w:customStyle="1" w:styleId="148">
    <w:name w:val="Body Text 2 Char"/>
    <w:basedOn w:val="135"/>
    <w:link w:val="31"/>
    <w:qFormat/>
    <w:uiPriority w:val="99"/>
    <w:rPr>
      <w:rFonts w:ascii="宋体" w:hAnsi="宋体" w:eastAsia="宋体" w:cs="宋体"/>
    </w:rPr>
  </w:style>
  <w:style w:type="character" w:customStyle="1" w:styleId="149">
    <w:name w:val="Body Text 3 Char"/>
    <w:basedOn w:val="135"/>
    <w:link w:val="17"/>
    <w:qFormat/>
    <w:uiPriority w:val="99"/>
    <w:rPr>
      <w:rFonts w:ascii="宋体" w:hAnsi="宋体" w:eastAsia="宋体" w:cs="宋体"/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宋体" w:hAnsi="宋体" w:eastAsia="宋体" w:cs="宋体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rFonts w:ascii="宋体" w:hAnsi="宋体" w:eastAsia="宋体" w:cs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rFonts w:ascii="宋体" w:hAnsi="宋体" w:eastAsia="宋体" w:cs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rFonts w:ascii="宋体" w:hAnsi="宋体" w:eastAsia="宋体" w:cs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rFonts w:ascii="宋体" w:hAnsi="宋体" w:eastAsia="宋体" w:cs="宋体"/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10484</Words>
  <Characters>11086</Characters>
  <Lines>0</Lines>
  <Paragraphs>0</Paragraphs>
  <TotalTime>0</TotalTime>
  <ScaleCrop>false</ScaleCrop>
  <LinksUpToDate>false</LinksUpToDate>
  <CharactersWithSpaces>11724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白青凌</cp:lastModifiedBy>
  <dcterms:modified xsi:type="dcterms:W3CDTF">2026-10-04T09:02:58Z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F456A19FD0C040188C5C05AFF9588616_12</vt:lpwstr>
  </property>
  <property fmtid="{D5CDD505-2E9C-101B-9397-08002B2CF9AE}" pid="4" name="KSOTemplateDocerSaveRecord">
    <vt:lpwstr>eyJoZGlkIjoiODcwNGE0MDNlNDAwZDc4MGFmZWEzZWYxZjIxZDYyZGUiLCJ1c2VySWQiOiIxNzIzODA3OTcxIn0=</vt:lpwstr>
  </property>
</Properties>
</file>