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 w:cs="宋体"/>
          <w:b w:val="0"/>
          <w:i w:val="0"/>
          <w:color w:val="000000"/>
          <w:sz w:val="24"/>
        </w:rPr>
      </w:r>
    </w:p>
    <w:p>
      <w:r>
        <w:rPr>
          <w:rFonts w:ascii="宋体" w:hAnsi="宋体" w:eastAsia="宋体" w:cs="宋体"/>
          <w:b w:val="0"/>
          <w:i w:val="0"/>
          <w:color w:val="000000"/>
          <w:sz w:val="24"/>
        </w:rPr>
      </w:r>
    </w:p>
    <w:p>
      <w:pPr>
        <w:spacing w:after="120"/>
        <w:jc w:val="center"/>
      </w:pPr>
      <w:r>
        <w:rPr>
          <w:rFonts w:ascii="宋体" w:hAnsi="宋体" w:eastAsia="宋体" w:cs="宋体"/>
          <w:b w:val="0"/>
          <w:i w:val="0"/>
          <w:color w:val="595959"/>
          <w:sz w:val="24"/>
        </w:rPr>
        <w:t>挑战杯项目 · 商业计划书（样板 · 简略版）</w:t>
      </w:r>
    </w:p>
    <w:p>
      <w:pPr>
        <w:spacing w:before="200" w:after="80"/>
        <w:jc w:val="center"/>
      </w:pPr>
      <w:r>
        <w:rPr>
          <w:rFonts w:ascii="宋体" w:hAnsi="宋体" w:eastAsia="宋体" w:cs="宋体"/>
          <w:b/>
          <w:i w:val="0"/>
          <w:color w:val="1F4E79"/>
          <w:sz w:val="44"/>
        </w:rPr>
        <w:t>居家呼吸声学监测算法</w:t>
      </w:r>
    </w:p>
    <w:p>
      <w:pPr>
        <w:spacing w:before="0" w:after="80"/>
        <w:jc w:val="center"/>
      </w:pPr>
      <w:r>
        <w:rPr>
          <w:rFonts w:ascii="宋体" w:hAnsi="宋体" w:eastAsia="宋体" w:cs="宋体"/>
          <w:b/>
          <w:i w:val="0"/>
          <w:color w:val="1F4E79"/>
          <w:sz w:val="44"/>
        </w:rPr>
        <w:t>与 RK3576 边缘端部署平台</w:t>
      </w:r>
    </w:p>
    <w:p>
      <w:pPr>
        <w:spacing w:after="360"/>
        <w:jc w:val="center"/>
      </w:pPr>
      <w:r>
        <w:rPr>
          <w:rFonts w:ascii="宋体" w:hAnsi="宋体" w:eastAsia="宋体" w:cs="宋体"/>
          <w:b w:val="0"/>
          <w:i w:val="0"/>
          <w:color w:val="2E74B5"/>
          <w:sz w:val="21"/>
        </w:rPr>
        <w:t>让每一次咳嗽都被听见，让呼吸慢病管理有据可依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70" w:type="dxa"/>
          <w:left w:w="120" w:type="dxa"/>
          <w:bottom w:w="70" w:type="dxa"/>
          <w:right w:w="120" w:type="dxa"/>
        </w:tblCellMar>
        <w:tblW w:w="4876" w:type="dxa"/>
        <w:tblLayout w:type="fixed"/>
      </w:tblPr>
      <w:tblGrid>
        <w:gridCol w:w="1474"/>
        <w:gridCol w:w="3402"/>
      </w:tblGrid>
      <w:tr>
        <w:tc>
          <w:tcPr>
            <w:tcW w:type="dxa" w:w="1474"/>
            <w:shd w:val="clear" w:color="auto" w:fill="EDF3F9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1F4E79"/>
                <w:sz w:val="20"/>
              </w:rPr>
              <w:t>项目名称</w:t>
            </w:r>
          </w:p>
        </w:tc>
        <w:tc>
          <w:tcPr>
            <w:tcW w:type="dxa" w:w="3402"/>
          </w:tcPr>
          <w:p>
            <w:pPr>
              <w:spacing w:after="0" w:line="312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居家呼吸声学监测算法与 RK3576 边缘端部署平台</w:t>
            </w:r>
          </w:p>
        </w:tc>
      </w:tr>
      <w:tr>
        <w:tc>
          <w:tcPr>
            <w:tcW w:type="dxa" w:w="1474"/>
            <w:shd w:val="clear" w:color="auto" w:fill="EDF3F9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1F4E79"/>
                <w:sz w:val="20"/>
              </w:rPr>
              <w:t>项目主体</w:t>
            </w:r>
          </w:p>
        </w:tc>
        <w:tc>
          <w:tcPr>
            <w:tcW w:type="dxa" w:w="3402"/>
          </w:tcPr>
          <w:p>
            <w:pPr>
              <w:spacing w:after="0" w:line="312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【待填写：学校 / 学院 / 拟设公司】</w:t>
            </w:r>
          </w:p>
        </w:tc>
      </w:tr>
      <w:tr>
        <w:tc>
          <w:tcPr>
            <w:tcW w:type="dxa" w:w="1474"/>
            <w:shd w:val="clear" w:color="auto" w:fill="EDF3F9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1F4E79"/>
                <w:sz w:val="20"/>
              </w:rPr>
              <w:t>团队人数</w:t>
            </w:r>
          </w:p>
        </w:tc>
        <w:tc>
          <w:tcPr>
            <w:tcW w:type="dxa" w:w="3402"/>
          </w:tcPr>
          <w:p>
            <w:pPr>
              <w:spacing w:after="0" w:line="312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8 人</w:t>
            </w:r>
          </w:p>
        </w:tc>
      </w:tr>
      <w:tr>
        <w:tc>
          <w:tcPr>
            <w:tcW w:type="dxa" w:w="1474"/>
            <w:shd w:val="clear" w:color="auto" w:fill="EDF3F9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1F4E79"/>
                <w:sz w:val="20"/>
              </w:rPr>
              <w:t>技术阶段</w:t>
            </w:r>
          </w:p>
        </w:tc>
        <w:tc>
          <w:tcPr>
            <w:tcW w:type="dxa" w:w="3402"/>
          </w:tcPr>
          <w:p>
            <w:pPr>
              <w:spacing w:after="0" w:line="312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原理样机与算法验证阶段（TRL 4–5）</w:t>
            </w:r>
          </w:p>
        </w:tc>
      </w:tr>
      <w:tr>
        <w:tc>
          <w:tcPr>
            <w:tcW w:type="dxa" w:w="1474"/>
            <w:shd w:val="clear" w:color="auto" w:fill="EDF3F9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1F4E79"/>
                <w:sz w:val="20"/>
              </w:rPr>
              <w:t>文档类型</w:t>
            </w:r>
          </w:p>
        </w:tc>
        <w:tc>
          <w:tcPr>
            <w:tcW w:type="dxa" w:w="3402"/>
          </w:tcPr>
          <w:p>
            <w:pPr>
              <w:spacing w:after="0" w:line="312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商业计划书样板（简略版，用于示范结构与写法）</w:t>
            </w:r>
          </w:p>
        </w:tc>
      </w:tr>
      <w:tr>
        <w:tc>
          <w:tcPr>
            <w:tcW w:type="dxa" w:w="1474"/>
            <w:shd w:val="clear" w:color="auto" w:fill="EDF3F9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1F4E79"/>
                <w:sz w:val="20"/>
              </w:rPr>
              <w:t>配套文件</w:t>
            </w:r>
          </w:p>
        </w:tc>
        <w:tc>
          <w:tcPr>
            <w:tcW w:type="dxa" w:w="3402"/>
          </w:tcPr>
          <w:p>
            <w:pPr>
              <w:spacing w:after="0" w:line="312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《商业计划书设计纲要》《项目简介》</w:t>
            </w:r>
          </w:p>
        </w:tc>
      </w:tr>
      <w:tr>
        <w:tc>
          <w:tcPr>
            <w:tcW w:type="dxa" w:w="1474"/>
            <w:shd w:val="clear" w:color="auto" w:fill="EDF3F9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1F4E79"/>
                <w:sz w:val="20"/>
              </w:rPr>
              <w:t>编制日期</w:t>
            </w:r>
          </w:p>
        </w:tc>
        <w:tc>
          <w:tcPr>
            <w:tcW w:type="dxa" w:w="3402"/>
          </w:tcPr>
          <w:p>
            <w:pPr>
              <w:spacing w:after="0" w:line="312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【待填写：年 月 日】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1F4E79"/>
          <w:sz w:val="30"/>
        </w:rPr>
        <w:t>目录</w:t>
      </w:r>
    </w:p>
    <w:p>
      <w:pPr>
        <w:spacing w:after="60"/>
        <w:ind w:left="283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一、执行摘要</w:t>
      </w:r>
    </w:p>
    <w:p>
      <w:pPr>
        <w:spacing w:after="60"/>
        <w:ind w:left="283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二、项目概况与愿景</w:t>
      </w:r>
    </w:p>
    <w:p>
      <w:pPr>
        <w:spacing w:after="60"/>
        <w:ind w:left="283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三、行业与市场分析</w:t>
      </w:r>
    </w:p>
    <w:p>
      <w:pPr>
        <w:spacing w:after="60"/>
        <w:ind w:left="283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四、产品与技术方案</w:t>
      </w:r>
    </w:p>
    <w:p>
      <w:pPr>
        <w:spacing w:after="60"/>
        <w:ind w:left="283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五、创新点与竞争壁垒</w:t>
      </w:r>
    </w:p>
    <w:p>
      <w:pPr>
        <w:spacing w:after="60"/>
        <w:ind w:left="283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六、商业模式与盈利路径</w:t>
      </w:r>
    </w:p>
    <w:p>
      <w:pPr>
        <w:spacing w:after="60"/>
        <w:ind w:left="283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七、市场推广与渠道策略</w:t>
      </w:r>
    </w:p>
    <w:p>
      <w:pPr>
        <w:spacing w:after="60"/>
        <w:ind w:left="283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八、运营与实施计划</w:t>
      </w:r>
    </w:p>
    <w:p>
      <w:pPr>
        <w:spacing w:after="60"/>
        <w:ind w:left="283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九、团队介绍</w:t>
      </w:r>
    </w:p>
    <w:p>
      <w:pPr>
        <w:spacing w:after="60"/>
        <w:ind w:left="283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十、财务预测与分析</w:t>
      </w:r>
    </w:p>
    <w:p>
      <w:pPr>
        <w:spacing w:after="60"/>
        <w:ind w:left="283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十一、融资计划与资金用途</w:t>
      </w:r>
    </w:p>
    <w:p>
      <w:pPr>
        <w:spacing w:after="60"/>
        <w:ind w:left="283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十二、风险分析与应对</w:t>
      </w:r>
    </w:p>
    <w:p>
      <w:pPr>
        <w:spacing w:after="60"/>
        <w:ind w:left="283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附录 A 关键数据与来源</w:t>
      </w:r>
    </w:p>
    <w:p>
      <w:pPr>
        <w:spacing w:after="60"/>
        <w:ind w:left="283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附录 B 核心术语表</w:t>
      </w:r>
    </w:p>
    <w:p>
      <w:pPr>
        <w:spacing w:after="80"/>
        <w:ind w:firstLine="380"/>
      </w:pPr>
      <w:r>
        <w:rPr>
          <w:rFonts w:ascii="宋体" w:hAnsi="宋体" w:eastAsia="宋体" w:cs="宋体"/>
          <w:b w:val="0"/>
          <w:i w:val="0"/>
          <w:color w:val="595959"/>
          <w:sz w:val="19"/>
        </w:rPr>
        <w:t>说明：本样板用于示范商业计划书的结构与写法，正文较正式版精简，各章末尾标注了正式版的扩写方向。第【】内为待填写项。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1F4E79"/>
          <w:sz w:val="30"/>
        </w:rPr>
        <w:t>一、执行摘要</w:t>
      </w:r>
    </w:p>
    <w:p>
      <w:pPr>
        <w:spacing w:before="140" w:after="40"/>
        <w:keepNext/>
      </w:pPr>
      <w:r>
        <w:rPr>
          <w:rFonts w:ascii="宋体" w:hAnsi="宋体" w:eastAsia="宋体" w:cs="宋体"/>
          <w:b/>
          <w:i w:val="0"/>
          <w:color w:val="2E74B5"/>
          <w:sz w:val="22"/>
        </w:rPr>
        <w:t>1. 我们要解决的问题</w:t>
      </w:r>
    </w:p>
    <w:p>
      <w:pPr>
        <w:spacing w:after="80"/>
        <w:ind w:firstLine="420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我国成人慢阻肺患者约 9,990 万、哮喘患者约 4,570 万，儿童哮喘患者超 1,000 万，合计超过 1.5 亿人。但这类疾病的院外时段几乎没有客观监测手段：患者靠回忆描述症状，医生拿不到连续数据，急性加重往往在就诊时才被发现。哮喘患者中 71.2% 从未被医生诊断，慢阻肺患者中约 90% 从未获明确诊断。</w:t>
      </w:r>
    </w:p>
    <w:p>
      <w:pPr>
        <w:spacing w:before="140" w:after="40"/>
        <w:keepNext/>
      </w:pPr>
      <w:r>
        <w:rPr>
          <w:rFonts w:ascii="宋体" w:hAnsi="宋体" w:eastAsia="宋体" w:cs="宋体"/>
          <w:b/>
          <w:i w:val="0"/>
          <w:color w:val="2E74B5"/>
          <w:sz w:val="22"/>
        </w:rPr>
        <w:t>2. 我们的方案</w:t>
      </w:r>
    </w:p>
    <w:p>
      <w:pPr>
        <w:spacing w:after="80"/>
        <w:ind w:firstLine="420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以手机（及低成本拾音配件）采集居家呼吸声，由床头放置的瑞芯微 RK3576 边缘节点完成 AI 推理，输出咳嗽频次、夜间咳嗽指数、喘息检出、呼吸率四类客观指标，并通过云端趋势分析与三端应用（患者端、医生端、家属端）形成闭环。原始音频不出户，断网仍可工作。</w:t>
      </w:r>
    </w:p>
    <w:p>
      <w:pPr>
        <w:spacing w:before="140" w:after="40"/>
        <w:keepNext/>
      </w:pPr>
      <w:r>
        <w:rPr>
          <w:rFonts w:ascii="宋体" w:hAnsi="宋体" w:eastAsia="宋体" w:cs="宋体"/>
          <w:b/>
          <w:i w:val="0"/>
          <w:color w:val="2E74B5"/>
          <w:sz w:val="22"/>
        </w:rPr>
        <w:t>3. 为什么这件事成立</w:t>
      </w:r>
    </w:p>
    <w:p>
      <w:pPr>
        <w:spacing w:after="80"/>
        <w:ind w:firstLine="420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主观描述不可靠已被反复证实：儿童常年性哮喘连续 7 夜录音研究显示，家长报告 66% 的夜晚有咳嗽、录音实测 90%，一致性 Cohen's κ 仅 0.30；稳定期慢阻肺患者的主观评分与客观咳嗽计数的相关系数仅 0.37–0.50。而客观咳嗽监测已被用作注册试验主要终点的测量方法，勃林格殷格翰的特发性肺纤维化研究即以咳嗽频次为主要终点。</w:t>
      </w:r>
    </w:p>
    <w:p>
      <w:pPr>
        <w:spacing w:before="140" w:after="40"/>
        <w:keepNext/>
      </w:pPr>
      <w:r>
        <w:rPr>
          <w:rFonts w:ascii="宋体" w:hAnsi="宋体" w:eastAsia="宋体" w:cs="宋体"/>
          <w:b/>
          <w:i w:val="0"/>
          <w:color w:val="2E74B5"/>
          <w:sz w:val="22"/>
        </w:rPr>
        <w:t>4. 市场与付费方</w:t>
      </w:r>
    </w:p>
    <w:p>
      <w:pPr>
        <w:spacing w:after="80"/>
        <w:ind w:firstLine="420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中国家用医疗器械市场从 2019 年的 1,224 亿元增长到 2024 年的 1,982 亿元，线上占比由 25% 升至 44.3%。支付结构上个人自付占 49%，因此产品定价必须落在家庭可自主决策的区间。四条收入线中，药企临床试验终点监测是最确定的早期现金流来源。</w:t>
      </w:r>
    </w:p>
    <w:p>
      <w:pPr>
        <w:spacing w:before="140" w:after="40"/>
        <w:keepNext/>
      </w:pPr>
      <w:r>
        <w:rPr>
          <w:rFonts w:ascii="宋体" w:hAnsi="宋体" w:eastAsia="宋体" w:cs="宋体"/>
          <w:b/>
          <w:i w:val="0"/>
          <w:color w:val="2E74B5"/>
          <w:sz w:val="22"/>
        </w:rPr>
        <w:t>5. 我们的差异化</w:t>
      </w:r>
    </w:p>
    <w:p>
      <w:pPr>
        <w:spacing w:after="80"/>
        <w:ind w:firstLine="420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第一，独立边缘算力硬件解决手机机型碎片化导致的信号不可比问题；第二，四维指标融合（尤其夜间咳嗽指数）而竞品多为单一指标；第三，基于国产芯片的成本结构，使产品能够下沉到基层与家庭市场。我们必须如实说明：Hyfe 已发布 73.4 万次咳嗽的数据集，且其白皮书已占据「端侧隐私」的话语权，因此隐私不是我们的独有卖点；渠道方面鱼跃医疗等已占据家用呼吸器械主渠道，我们应定位为算法与方案供应商。</w:t>
      </w:r>
    </w:p>
    <w:p>
      <w:pPr>
        <w:spacing w:before="140" w:after="40"/>
        <w:keepNext/>
      </w:pPr>
      <w:r>
        <w:rPr>
          <w:rFonts w:ascii="宋体" w:hAnsi="宋体" w:eastAsia="宋体" w:cs="宋体"/>
          <w:b/>
          <w:i w:val="0"/>
          <w:color w:val="2E74B5"/>
          <w:sz w:val="22"/>
        </w:rPr>
        <w:t>6. 团队与融资</w:t>
      </w:r>
    </w:p>
    <w:p>
      <w:pPr>
        <w:spacing w:after="80"/>
        <w:ind w:firstLine="420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团队 8 人，覆盖算法、嵌入式、硬件、软件、临床与合规、市场与运营六个方向。首轮拟融资【待填写】万元，主要用于临床一致性验证与第二类医疗器械注册申报，以及硬件产线定型与首批备料。</w:t>
      </w:r>
    </w:p>
    <w:p>
      <w:pPr>
        <w:spacing w:after="80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正式版扩写方向：补充一张「痛点—方案—价值」三栏对比图与四个核心数字卡片。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1F4E79"/>
          <w:sz w:val="30"/>
        </w:rPr>
        <w:t>二、项目概况与愿景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2.1 项目概况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w="9129" w:type="dxa"/>
        <w:tblLayout w:type="fixed"/>
      </w:tblPr>
      <w:tblGrid>
        <w:gridCol w:w="1712"/>
        <w:gridCol w:w="7417"/>
      </w:tblGrid>
      <w:tr>
        <w:trPr>
          <w:tblHeader w:val="true"/>
          <w:cantSplit w:val="true"/>
        </w:trPr>
        <w:tc>
          <w:tcPr>
            <w:tcW w:type="dxa" w:w="1711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7416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71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项目名称</w:t>
            </w:r>
          </w:p>
        </w:tc>
        <w:tc>
          <w:tcPr>
            <w:tcW w:type="dxa" w:w="741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居家呼吸声学监测算法与 RK3576 边缘端部署平台</w:t>
            </w:r>
          </w:p>
        </w:tc>
      </w:tr>
      <w:tr>
        <w:trPr>
          <w:cantSplit w:val="true"/>
        </w:trPr>
        <w:tc>
          <w:tcPr>
            <w:tcW w:type="dxa" w:w="171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项目主体</w:t>
            </w:r>
          </w:p>
        </w:tc>
        <w:tc>
          <w:tcPr>
            <w:tcW w:type="dxa" w:w="7416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【待填写：学校 / 学院 / 拟设公司名称】</w:t>
            </w:r>
          </w:p>
        </w:tc>
      </w:tr>
      <w:tr>
        <w:trPr>
          <w:cantSplit w:val="true"/>
        </w:trPr>
        <w:tc>
          <w:tcPr>
            <w:tcW w:type="dxa" w:w="171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团队规模</w:t>
            </w:r>
          </w:p>
        </w:tc>
        <w:tc>
          <w:tcPr>
            <w:tcW w:type="dxa" w:w="741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8 人</w:t>
            </w:r>
          </w:p>
        </w:tc>
      </w:tr>
      <w:tr>
        <w:trPr>
          <w:cantSplit w:val="true"/>
        </w:trPr>
        <w:tc>
          <w:tcPr>
            <w:tcW w:type="dxa" w:w="171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技术阶段</w:t>
            </w:r>
          </w:p>
        </w:tc>
        <w:tc>
          <w:tcPr>
            <w:tcW w:type="dxa" w:w="7416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原理样机与算法验证阶段（TRL 4–5）</w:t>
            </w:r>
          </w:p>
        </w:tc>
      </w:tr>
      <w:tr>
        <w:trPr>
          <w:cantSplit w:val="true"/>
        </w:trPr>
        <w:tc>
          <w:tcPr>
            <w:tcW w:type="dxa" w:w="171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产品形态</w:t>
            </w:r>
          </w:p>
        </w:tc>
        <w:tc>
          <w:tcPr>
            <w:tcW w:type="dxa" w:w="741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RK3576 边缘监测节点 + 手机 APP + 医生端工作站 + 云端服务</w:t>
            </w:r>
          </w:p>
        </w:tc>
      </w:tr>
      <w:tr>
        <w:trPr>
          <w:cantSplit w:val="true"/>
        </w:trPr>
        <w:tc>
          <w:tcPr>
            <w:tcW w:type="dxa" w:w="171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目标市场</w:t>
            </w:r>
          </w:p>
        </w:tc>
        <w:tc>
          <w:tcPr>
            <w:tcW w:type="dxa" w:w="7416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呼吸慢病居家监测、基层医疗机构、药企临床试验终点服务</w:t>
            </w:r>
          </w:p>
        </w:tc>
      </w:tr>
      <w:tr>
        <w:trPr>
          <w:cantSplit w:val="true"/>
        </w:trPr>
        <w:tc>
          <w:tcPr>
            <w:tcW w:type="dxa" w:w="171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注册规划</w:t>
            </w:r>
          </w:p>
        </w:tc>
        <w:tc>
          <w:tcPr>
            <w:tcW w:type="dxa" w:w="741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按第二类医疗器械路径申报（需先申请分类界定确认）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表 2-1  项目基本情况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2.2 使命与愿景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使命：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让呼吸慢病的院外管理从「凭感觉」走向「凭数据」。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三年目标：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成为国内居家呼吸声学监测的算法与边缘部署方案供应商，完成二类器械注册并实现规模化销售。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五年愿景：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推动声学指标进入呼吸慢病随访与药物临床试验的标准评价体系。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2.3 当前进展</w:t>
      </w:r>
    </w:p>
    <w:p>
      <w:pPr>
        <w:spacing w:after="80"/>
        <w:ind w:firstLine="420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已完成系统总体方案设计、算法链路设计与边缘端部署方案设计，打通手机采集到边缘推理的端到端链路，并在自建数据集上完成离线评估。下一阶段目标是完成原理样机与居家小样本验证。</w:t>
      </w:r>
    </w:p>
    <w:p>
      <w:pPr>
        <w:spacing w:after="80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正式版扩写方向：补充发展时间轴（当前 → 三年 → 五年）与实际测试截图。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1F4E79"/>
          <w:sz w:val="30"/>
        </w:rPr>
        <w:t>三、行业与市场分析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3.1 患病人群与诊断缺口</w:t>
      </w:r>
    </w:p>
    <w:p>
      <w:pPr>
        <w:spacing w:after="80"/>
        <w:ind w:firstLine="420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呼吸慢病具有患病人数多、病程长、需终身管理的特点，而我国的诊断与管理缺口同时存在。这决定了市场机会不只是「已确诊患者的长期管理」，还包括「症状学早筛与转诊触发」。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w="9129" w:type="dxa"/>
        <w:tblLayout w:type="fixed"/>
      </w:tblPr>
      <w:tblGrid>
        <w:gridCol w:w="1255"/>
        <w:gridCol w:w="1369"/>
        <w:gridCol w:w="3081"/>
        <w:gridCol w:w="3423"/>
      </w:tblGrid>
      <w:tr>
        <w:trPr>
          <w:tblHeader w:val="true"/>
          <w:cantSplit w:val="true"/>
        </w:trPr>
        <w:tc>
          <w:tcPr>
            <w:tcW w:type="dxa" w:w="1255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人群</w:t>
            </w:r>
          </w:p>
        </w:tc>
        <w:tc>
          <w:tcPr>
            <w:tcW w:type="dxa" w:w="1369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患者规模</w:t>
            </w:r>
          </w:p>
        </w:tc>
        <w:tc>
          <w:tcPr>
            <w:tcW w:type="dxa" w:w="3081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患病率</w:t>
            </w:r>
          </w:p>
        </w:tc>
        <w:tc>
          <w:tcPr>
            <w:tcW w:type="dxa" w:w="3423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诊断缺口</w:t>
            </w:r>
          </w:p>
        </w:tc>
      </w:tr>
      <w:tr>
        <w:trPr>
          <w:cantSplit w:val="true"/>
        </w:trPr>
        <w:tc>
          <w:tcPr>
            <w:tcW w:type="dxa" w:w="12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成人慢阻肺</w:t>
            </w:r>
          </w:p>
        </w:tc>
        <w:tc>
          <w:tcPr>
            <w:tcW w:type="dxa" w:w="13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约 9,990 万</w:t>
            </w:r>
          </w:p>
        </w:tc>
        <w:tc>
          <w:tcPr>
            <w:tcW w:type="dxa" w:w="308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20 岁以上 8.6%，40 岁以上 13.7%，60 岁以上超 27%</w:t>
            </w:r>
          </w:p>
        </w:tc>
        <w:tc>
          <w:tcPr>
            <w:tcW w:type="dxa" w:w="342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不足 3% 知晓患病，约 90% 从未获明确诊断，约 60% 无明显症状</w:t>
            </w:r>
          </w:p>
        </w:tc>
      </w:tr>
      <w:tr>
        <w:trPr>
          <w:cantSplit w:val="true"/>
        </w:trPr>
        <w:tc>
          <w:tcPr>
            <w:tcW w:type="dxa" w:w="1255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成人哮喘</w:t>
            </w:r>
          </w:p>
        </w:tc>
        <w:tc>
          <w:tcPr>
            <w:tcW w:type="dxa" w:w="1369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约 4,570 万</w:t>
            </w:r>
          </w:p>
        </w:tc>
        <w:tc>
          <w:tcPr>
            <w:tcW w:type="dxa" w:w="308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20 岁以上 4.2%</w:t>
            </w:r>
          </w:p>
        </w:tc>
        <w:tc>
          <w:tcPr>
            <w:tcW w:type="dxa" w:w="3423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71.2% 从未被医生诊断，仅 5.6% 接受规范吸入激素治疗</w:t>
            </w:r>
          </w:p>
        </w:tc>
      </w:tr>
      <w:tr>
        <w:trPr>
          <w:cantSplit w:val="true"/>
        </w:trPr>
        <w:tc>
          <w:tcPr>
            <w:tcW w:type="dxa" w:w="12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儿童哮喘</w:t>
            </w:r>
          </w:p>
        </w:tc>
        <w:tc>
          <w:tcPr>
            <w:tcW w:type="dxa" w:w="13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超过 1,000 万</w:t>
            </w:r>
          </w:p>
        </w:tc>
        <w:tc>
          <w:tcPr>
            <w:tcW w:type="dxa" w:w="308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约 3%（城市更高，呈上升趋势）</w:t>
            </w:r>
          </w:p>
        </w:tc>
        <w:tc>
          <w:tcPr>
            <w:tcW w:type="dxa" w:w="342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整体控制率不足 50%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表 3-1  中国主要呼吸慢病人群与诊断缺口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3.2 为什么必须客观监测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儿童常年性哮喘连续 7 夜录音研究显示：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家长报告 66% 的夜晚有咳嗽，录音实测 90%，一致性 Cohen's κ 仅 0.30。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26 例稳定期慢阻肺患者的客观咳嗽计数中位为 7.5 咳嗽秒/小时（日间 12.4、夜间 1.9），主观评分与客观计数的相关系数仅 0.37–0.50，不足以替代客观测量。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94 例成人哮喘、2,212 个夜晚的监测显示：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53% 的夜晚有咳嗽，86% 的咳嗽成簇出现，躺下后前 30 分钟咳嗽频次是其余夜间时段的 4.5 倍。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夜间咳嗽结合睡眠质量可将「哮喘控制恶化周」识别到 BAC 71%，并可提前最多 5 天预测急性发作。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3.3 市场规模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w="9129" w:type="dxa"/>
        <w:tblLayout w:type="fixed"/>
      </w:tblPr>
      <w:tblGrid>
        <w:gridCol w:w="1940"/>
        <w:gridCol w:w="1369"/>
        <w:gridCol w:w="1483"/>
        <w:gridCol w:w="4336"/>
      </w:tblGrid>
      <w:tr>
        <w:trPr>
          <w:tblHeader w:val="true"/>
          <w:cantSplit w:val="true"/>
        </w:trPr>
        <w:tc>
          <w:tcPr>
            <w:tcW w:type="dxa" w:w="1940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指标</w:t>
            </w:r>
          </w:p>
        </w:tc>
        <w:tc>
          <w:tcPr>
            <w:tcW w:type="dxa" w:w="1369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2019 年</w:t>
            </w:r>
          </w:p>
        </w:tc>
        <w:tc>
          <w:tcPr>
            <w:tcW w:type="dxa" w:w="1483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2024 年</w:t>
            </w:r>
          </w:p>
        </w:tc>
        <w:tc>
          <w:tcPr>
            <w:tcW w:type="dxa" w:w="4336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趋势与含义</w:t>
            </w:r>
          </w:p>
        </w:tc>
      </w:tr>
      <w:tr>
        <w:trPr>
          <w:cantSplit w:val="true"/>
        </w:trPr>
        <w:tc>
          <w:tcPr>
            <w:tcW w:type="dxa" w:w="194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慢病管理市场（广义）</w:t>
            </w:r>
          </w:p>
        </w:tc>
        <w:tc>
          <w:tcPr>
            <w:tcW w:type="dxa" w:w="13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20,535 亿元</w:t>
            </w:r>
          </w:p>
        </w:tc>
        <w:tc>
          <w:tcPr>
            <w:tcW w:type="dxa" w:w="148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约 59,986 亿元</w:t>
            </w:r>
          </w:p>
        </w:tc>
        <w:tc>
          <w:tcPr>
            <w:tcW w:type="dxa" w:w="433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含药品与诊疗，属广义口径，不可直接作为可服务市场</w:t>
            </w:r>
          </w:p>
        </w:tc>
      </w:tr>
      <w:tr>
        <w:trPr>
          <w:cantSplit w:val="true"/>
        </w:trPr>
        <w:tc>
          <w:tcPr>
            <w:tcW w:type="dxa" w:w="1940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其中线上慢病管理</w:t>
            </w:r>
          </w:p>
        </w:tc>
        <w:tc>
          <w:tcPr>
            <w:tcW w:type="dxa" w:w="1369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466 亿元</w:t>
            </w:r>
          </w:p>
        </w:tc>
        <w:tc>
          <w:tcPr>
            <w:tcW w:type="dxa" w:w="1483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约 5,540 亿元</w:t>
            </w:r>
          </w:p>
        </w:tc>
        <w:tc>
          <w:tcPr>
            <w:tcW w:type="dxa" w:w="4336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线上化趋势明确，为居家监测提供交付通道</w:t>
            </w:r>
          </w:p>
        </w:tc>
      </w:tr>
      <w:tr>
        <w:trPr>
          <w:cantSplit w:val="true"/>
        </w:trPr>
        <w:tc>
          <w:tcPr>
            <w:tcW w:type="dxa" w:w="194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家用医疗器械市场</w:t>
            </w:r>
          </w:p>
        </w:tc>
        <w:tc>
          <w:tcPr>
            <w:tcW w:type="dxa" w:w="13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1,224 亿元</w:t>
            </w:r>
          </w:p>
        </w:tc>
        <w:tc>
          <w:tcPr>
            <w:tcW w:type="dxa" w:w="148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1,982 亿元</w:t>
            </w:r>
          </w:p>
        </w:tc>
        <w:tc>
          <w:tcPr>
            <w:tcW w:type="dxa" w:w="433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线上占比由 25% 升至 44.3%，预计 2030 年达 67.1%</w:t>
            </w:r>
          </w:p>
        </w:tc>
      </w:tr>
      <w:tr>
        <w:trPr>
          <w:cantSplit w:val="true"/>
        </w:trPr>
        <w:tc>
          <w:tcPr>
            <w:tcW w:type="dxa" w:w="1940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数字疗法（DTx）</w:t>
            </w:r>
          </w:p>
        </w:tc>
        <w:tc>
          <w:tcPr>
            <w:tcW w:type="dxa" w:w="1369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483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仅 8.2 亿元</w:t>
            </w:r>
          </w:p>
        </w:tc>
        <w:tc>
          <w:tcPr>
            <w:tcW w:type="dxa" w:w="4336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纯软件订阅在国内尚未跑通，必须以硬件为载体收费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表 3-2  相关市场规模与趋势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009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_siz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09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图 3-1  家用医疗器械市场规模与线上占比趋势（示意）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3.4 可服务市场测算（自下而上）</w:t>
      </w:r>
    </w:p>
    <w:p>
      <w:pPr>
        <w:spacing w:after="80"/>
        <w:ind w:firstLine="420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为避免使用口径不清的行业报告总额，本项目采用「目标客户数 × 客单价」的自下而上方法测算早期可服务市场。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w="9129" w:type="dxa"/>
        <w:tblLayout w:type="fixed"/>
      </w:tblPr>
      <w:tblGrid>
        <w:gridCol w:w="1928"/>
        <w:gridCol w:w="1928"/>
        <w:gridCol w:w="1928"/>
        <w:gridCol w:w="3345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客户群</w:t>
            </w:r>
          </w:p>
        </w:tc>
        <w:tc>
          <w:tcPr>
            <w:tcW w:type="dxa" w:w="1928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可及客户数</w:t>
            </w:r>
          </w:p>
        </w:tc>
        <w:tc>
          <w:tcPr>
            <w:tcW w:type="dxa" w:w="1928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客单价假设</w:t>
            </w:r>
          </w:p>
        </w:tc>
        <w:tc>
          <w:tcPr>
            <w:tcW w:type="dxa" w:w="3345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年市场规模估算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二三级医院呼吸科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约 2,000 个科室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5–20 万元/年</w:t>
            </w:r>
          </w:p>
        </w:tc>
        <w:tc>
          <w:tcPr>
            <w:tcW w:type="dxa" w:w="334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约 1–4 亿元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基层医疗机构 / 家庭医生</w:t>
            </w:r>
          </w:p>
        </w:tc>
        <w:tc>
          <w:tcPr>
            <w:tcW w:type="dxa" w:w="192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约 3,000 家</w:t>
            </w:r>
          </w:p>
        </w:tc>
        <w:tc>
          <w:tcPr>
            <w:tcW w:type="dxa" w:w="192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2–5 万元/年</w:t>
            </w:r>
          </w:p>
        </w:tc>
        <w:tc>
          <w:tcPr>
            <w:tcW w:type="dxa" w:w="3345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约 0.6–1.5 亿元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C 端患者与家庭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约 2 万付费用户（早期）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299–599 元/年</w:t>
            </w:r>
          </w:p>
        </w:tc>
        <w:tc>
          <w:tcPr>
            <w:tcW w:type="dxa" w:w="334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约 600–1,200 万元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药企 / 临床研究机构</w:t>
            </w:r>
          </w:p>
        </w:tc>
        <w:tc>
          <w:tcPr>
            <w:tcW w:type="dxa" w:w="192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约 20 个项目/年（早期）</w:t>
            </w:r>
          </w:p>
        </w:tc>
        <w:tc>
          <w:tcPr>
            <w:tcW w:type="dxa" w:w="192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50–200 万元/项目</w:t>
            </w:r>
          </w:p>
        </w:tc>
        <w:tc>
          <w:tcPr>
            <w:tcW w:type="dxa" w:w="3345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约 1,000–4,000 万元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表 3-3  早期可服务市场测算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3.5 支付方现实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支付方结构：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个人自付 49%、基本医保 44%、商业健康险 7.7%。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支付路径：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C 端自费起量 → 惠民保与门诊慢特病 → 医保。惠民保已覆盖 333 个地市、参保超 7,000 万人，但在创新药械支付中占比仅约 1%，短期不能作为主要支付来源。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结论：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产品定价必须落在家庭可自主决策的区间；软件订阅需与硬件绑定销售。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3.6 时机判断：为什么是现在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临床证据已经成熟：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手机咳嗽音检测慢阻肺的国内研究（Cough Search）在四家医院的外部验证中达到 AUC 0.94、敏感度 92%、特异度 86%；咳嗽监测设备的性能标杆为敏感度 90.4%、假阳性 1.03 次/小时。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支付方已经出现：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客观咳嗽计数已被用作注册试验主要终点的测量方法，药企对替代人工日记的客观终点有明确需求。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政策窗口已经打开：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健康中国行动呼吸专项行动（2024—2030）要求加强早期筛查与基层防治能力；《「十四五」医疗装备产业发展规划》明确支持医疗服务向院前家庭健康管理延伸；医保发〔2020〕45 号支持「互联网+」慢病复诊支付。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竞争窗口尚未关闭：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Apple 已获睡眠呼吸暂停检测的 510(k) 但尚无咳嗽检测；国内肺音 AI 目前仅取得二类「供临床参考」注册证且为 B/S 架构软件，尚无面向居家长期监测的产品。</w:t>
      </w:r>
    </w:p>
    <w:p>
      <w:pPr>
        <w:spacing w:after="80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正式版扩写方向：补充三类人群患病数量对比图、支付方结构饼图与政策文件清单表。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1F4E79"/>
          <w:sz w:val="30"/>
        </w:rPr>
        <w:t>四、产品与技术方案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4.1 产品形态</w:t>
      </w:r>
    </w:p>
    <w:p>
      <w:pPr>
        <w:spacing w:after="80"/>
        <w:ind w:firstLine="420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产品由三部分构成：床头放置的 RK3576 边缘监测节点（含音频前端）、手机 APP，以及供医生使用的医生端工作站。系统不要求患者佩戴任何设备，不改变睡眠习惯，从根本上解决长期监测中最难的依从性问题。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4.2 系统架构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w="9129" w:type="dxa"/>
        <w:tblLayout w:type="fixed"/>
      </w:tblPr>
      <w:tblGrid>
        <w:gridCol w:w="1021"/>
        <w:gridCol w:w="2608"/>
        <w:gridCol w:w="5500"/>
      </w:tblGrid>
      <w:tr>
        <w:trPr>
          <w:tblHeader w:val="true"/>
          <w:cantSplit w:val="true"/>
        </w:trPr>
        <w:tc>
          <w:tcPr>
            <w:tcW w:type="dxa" w:w="1020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层级</w:t>
            </w:r>
          </w:p>
        </w:tc>
        <w:tc>
          <w:tcPr>
            <w:tcW w:type="dxa" w:w="2608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组成</w:t>
            </w:r>
          </w:p>
        </w:tc>
        <w:tc>
          <w:tcPr>
            <w:tcW w:type="dxa" w:w="5499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主要职责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采集层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手机 APP（主）/ USB 或蓝牙拾音配件（选）</w:t>
            </w:r>
          </w:p>
        </w:tc>
        <w:tc>
          <w:tcPr>
            <w:tcW w:type="dxa" w:w="549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录音与常听、设备校准、音频预处理、断点续传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边缘层</w:t>
            </w:r>
          </w:p>
        </w:tc>
        <w:tc>
          <w:tcPr>
            <w:tcW w:type="dxa" w:w="260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RK3576 边缘节点（核心板 + 音频前端 + 存储）</w:t>
            </w:r>
          </w:p>
        </w:tc>
        <w:tc>
          <w:tcPr>
            <w:tcW w:type="dxa" w:w="5499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音频前端处理、声学事件检测与分类推理、指标统计、本地加密存储、断网续传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云端层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指标与设备管理、数据仓库、模型训练平台</w:t>
            </w:r>
          </w:p>
        </w:tc>
        <w:tc>
          <w:tcPr>
            <w:tcW w:type="dxa" w:w="549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趋势聚合、个体化基线、模型迭代与版本管理、报告生成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应用层</w:t>
            </w:r>
          </w:p>
        </w:tc>
        <w:tc>
          <w:tcPr>
            <w:tcW w:type="dxa" w:w="260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患者端、医生端、家属端</w:t>
            </w:r>
          </w:p>
        </w:tc>
        <w:tc>
          <w:tcPr>
            <w:tcW w:type="dxa" w:w="5499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趋势可视化、异常预警、事件回放与标注、随访报告导出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表 4-1  系统四层架构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870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7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图 4-1  居家呼吸声学监测系统总体架构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4.3 算法链路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w="9129" w:type="dxa"/>
        <w:tblLayout w:type="fixed"/>
      </w:tblPr>
      <w:tblGrid>
        <w:gridCol w:w="567"/>
        <w:gridCol w:w="1814"/>
        <w:gridCol w:w="2608"/>
        <w:gridCol w:w="4139"/>
      </w:tblGrid>
      <w:tr>
        <w:trPr>
          <w:tblHeader w:val="true"/>
          <w:cantSplit w:val="true"/>
        </w:trPr>
        <w:tc>
          <w:tcPr>
            <w:tcW w:type="dxa" w:w="567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层级</w:t>
            </w:r>
          </w:p>
        </w:tc>
        <w:tc>
          <w:tcPr>
            <w:tcW w:type="dxa" w:w="1814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模块</w:t>
            </w:r>
          </w:p>
        </w:tc>
        <w:tc>
          <w:tcPr>
            <w:tcW w:type="dxa" w:w="2608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输入输出</w:t>
            </w:r>
          </w:p>
        </w:tc>
        <w:tc>
          <w:tcPr>
            <w:tcW w:type="dxa" w:w="4139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设计要点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L0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音频前端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原始音频 → 降噪音频与质量标记</w:t>
            </w:r>
          </w:p>
        </w:tc>
        <w:tc>
          <w:tcPr>
            <w:tcW w:type="dxa" w:w="413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16 kHz 采样、对数梅尔谱、增益归一化、削波与静音检测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L1</w:t>
            </w:r>
          </w:p>
        </w:tc>
        <w:tc>
          <w:tcPr>
            <w:tcW w:type="dxa" w:w="181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声学事件检测（常听）</w:t>
            </w:r>
          </w:p>
        </w:tc>
        <w:tc>
          <w:tcPr>
            <w:tcW w:type="dxa" w:w="260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1 秒窗 → 是否含候选事件</w:t>
            </w:r>
          </w:p>
        </w:tc>
        <w:tc>
          <w:tcPr>
            <w:tcW w:type="dxa" w:w="4139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轻量 CNN，参数量十万级，高召回优先、低功耗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L2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事件分类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候选片段 → 咳嗽 / 喘息 / 说话 / 噪声</w:t>
            </w:r>
          </w:p>
        </w:tc>
        <w:tc>
          <w:tcPr>
            <w:tcW w:type="dxa" w:w="413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CNN + 循环或注意力结构，说话与咳嗽的区分是主要难点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L3</w:t>
            </w:r>
          </w:p>
        </w:tc>
        <w:tc>
          <w:tcPr>
            <w:tcW w:type="dxa" w:w="181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指标估计</w:t>
            </w:r>
          </w:p>
        </w:tc>
        <w:tc>
          <w:tcPr>
            <w:tcW w:type="dxa" w:w="260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事件序列 → 呼吸率、咳嗽频次等</w:t>
            </w:r>
          </w:p>
        </w:tc>
        <w:tc>
          <w:tcPr>
            <w:tcW w:type="dxa" w:w="4139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呼吸率基于呼吸周期估计回归，咳嗽频次做事件计数与去重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L4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基线与预警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历史与当前指标 → 偏离度与风险等级</w:t>
            </w:r>
          </w:p>
        </w:tc>
        <w:tc>
          <w:tcPr>
            <w:tcW w:type="dxa" w:w="413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个体化滚动基线，采用偏离度而非绝对值触发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表 4-2  算法五级链路</w:t>
      </w:r>
    </w:p>
    <w:p>
      <w:pPr>
        <w:spacing w:after="80"/>
        <w:ind w:firstLine="420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算法采用「两级检测」的分层架构：常听阶段用极小模型（参数量十万级）做声学事件门控，检测到候选事件后再唤醒分类模型。这样高算力模型只在真正有事件发生时启动，在精度与功耗之间取得平衡。说话声与咳嗽的区分是主要技术难点，通过显式加入多人对话、电视、手机外放等负样本训练来解决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4.4 边缘端部署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工具链：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PyTorch 训练 → ONNX 导出（固定输入形状）→ RKNN-Toolkit2 量化 → 板端 RKNN Runtime 执行。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量化策略：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以 INT8 对称量化为主，对梅尔谱前端与首末层等敏感部分保留 FP16；设定「量化后精度下降超过 2 个百分点即回退」的验收红线。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调度策略：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常听模型以固定小时间片轮转，检测到候选事件后再唤醒分类模型，两个模型分时复用 NPU。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平台选择依据：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RK3576 具备八核 CPU、6 TOPS NPU、5 路 SAI 音频接口（合计 7 发 7 收通道，每路支持 8 通道 I2S/PCM/TDM），音频资源充裕，天然支持多麦克风阵列与多路同步采集；同时具备国产供应链的可获得性与价格稳定性。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隐私架构：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原始音频不出户，云端仅接收指标与事件标签；事件片段做人声抑制处理并切分为小于 60 秒，使偶发录入的语音不可辨识。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4.5 性能目标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w="9129" w:type="dxa"/>
        <w:tblLayout w:type="fixed"/>
      </w:tblPr>
      <w:tblGrid>
        <w:gridCol w:w="2495"/>
        <w:gridCol w:w="2495"/>
        <w:gridCol w:w="4139"/>
      </w:tblGrid>
      <w:tr>
        <w:trPr>
          <w:tblHeader w:val="true"/>
          <w:cantSplit w:val="true"/>
        </w:trPr>
        <w:tc>
          <w:tcPr>
            <w:tcW w:type="dxa" w:w="2494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指标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设计目标</w:t>
            </w:r>
          </w:p>
        </w:tc>
        <w:tc>
          <w:tcPr>
            <w:tcW w:type="dxa" w:w="4139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验证方式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咳嗽事件检出 F1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≥ 0.85</w:t>
            </w:r>
          </w:p>
        </w:tc>
        <w:tc>
          <w:tcPr>
            <w:tcW w:type="dxa" w:w="413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留出测试集，事件级 ±1 秒容差匹配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喘息检出敏感度 / 特异度</w:t>
            </w:r>
          </w:p>
        </w:tc>
        <w:tc>
          <w:tcPr>
            <w:tcW w:type="dxa" w:w="249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≥ 0.80 / ≥ 0.85</w:t>
            </w:r>
          </w:p>
        </w:tc>
        <w:tc>
          <w:tcPr>
            <w:tcW w:type="dxa" w:w="4139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片段级评估，与医生标注对照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呼吸率误差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MAE ≤ 2 次/分</w:t>
            </w:r>
          </w:p>
        </w:tc>
        <w:tc>
          <w:tcPr>
            <w:tcW w:type="dxa" w:w="413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与参考设备同步采集，另以 RMSD &lt; 3 次/分为达成锚点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单窗推理延时</w:t>
            </w:r>
          </w:p>
        </w:tc>
        <w:tc>
          <w:tcPr>
            <w:tcW w:type="dxa" w:w="249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≤ 80 ms（P95）</w:t>
            </w:r>
          </w:p>
        </w:tc>
        <w:tc>
          <w:tcPr>
            <w:tcW w:type="dxa" w:w="4139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板端真实音频回放压测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整机功耗 / 续航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≤ 3.5 W / ≥ 8 小时</w:t>
            </w:r>
          </w:p>
        </w:tc>
        <w:tc>
          <w:tcPr>
            <w:tcW w:type="dxa" w:w="413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功率计实测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端侧隐私</w:t>
            </w:r>
          </w:p>
        </w:tc>
        <w:tc>
          <w:tcPr>
            <w:tcW w:type="dxa" w:w="249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原始音频不出户</w:t>
            </w:r>
          </w:p>
        </w:tc>
        <w:tc>
          <w:tcPr>
            <w:tcW w:type="dxa" w:w="4139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架构设计保证：云端仅接收指标与事件标签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表 4-3  核心性能设计目标（非实测结果，实测数据见样机测试报告）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4.6 患者端 APP 与记录可信度设计</w:t>
      </w:r>
    </w:p>
    <w:p>
      <w:pPr>
        <w:spacing w:after="80"/>
        <w:ind w:firstLine="420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患者端已确定产品名「息间」并完成功能方案与四张静态界面概念图。设计上以「晨间一句话结论」为信息入口，把完整细节留给按需展开，避免让患者面对一堆看不懂的波形。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w="9129" w:type="dxa"/>
        <w:tblLayout w:type="fixed"/>
      </w:tblPr>
      <w:tblGrid>
        <w:gridCol w:w="1361"/>
        <w:gridCol w:w="4082"/>
        <w:gridCol w:w="3686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设计维度</w:t>
            </w:r>
          </w:p>
        </w:tc>
        <w:tc>
          <w:tcPr>
            <w:tcW w:type="dxa" w:w="4082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当前方案</w:t>
            </w:r>
          </w:p>
        </w:tc>
        <w:tc>
          <w:tcPr>
            <w:tcW w:type="dxa" w:w="3685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设计考虑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产品名与视觉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患者端命名为「息间」，纯黑白灰配色，轮廓圆润、留白宽松；玻璃液晶质感仅用于主按钮与浮动导航</w:t>
            </w:r>
          </w:p>
        </w:tc>
        <w:tc>
          <w:tcPr>
            <w:tcW w:type="dxa" w:w="368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避免花哨装饰占用数据阅读空间；玻璃效果不用于正文与数据，保证可读性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底部导航</w:t>
            </w:r>
          </w:p>
        </w:tc>
        <w:tc>
          <w:tcPr>
            <w:tcW w:type="dxa" w:w="4082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今天 / 趋势 / 报告 / 我的 四个入口，「今天」随睡前、监测中与晨间改变内容</w:t>
            </w:r>
          </w:p>
        </w:tc>
        <w:tc>
          <w:tcPr>
            <w:tcW w:type="dxa" w:w="3685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入口数量克制，名称保持一致，降低学习成本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睡前场景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设备连接状态 + 手机摆位提示 + 收音检查，主按钮「开始今晚监测」</w:t>
            </w:r>
          </w:p>
        </w:tc>
        <w:tc>
          <w:tcPr>
            <w:tcW w:type="dxa" w:w="368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只在发生问题时显示具体处理入口；不展示未经校准的声压级等看似精确的数字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晨间场景</w:t>
            </w:r>
          </w:p>
        </w:tc>
        <w:tc>
          <w:tcPr>
            <w:tcW w:type="dxa" w:w="4082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一句话总结优先，其后为个人比较依据、核心指标、整夜时间轴、可回听片段</w:t>
            </w:r>
          </w:p>
        </w:tc>
        <w:tc>
          <w:tcPr>
            <w:tcW w:type="dxa" w:w="3685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一句话结论先回答「昨晚怎么样」，细节按需展开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事件回听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疑似咳嗽 / 疑似喘息的时间、片段时长、保存位置，播放与收藏；提供「识别有误」反馈入口</w:t>
            </w:r>
          </w:p>
        </w:tc>
        <w:tc>
          <w:tcPr>
            <w:tcW w:type="dxa" w:w="368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波形仅在真实音频可用时生成；反馈只作用于当前事件且可撤销，保留原始检测记录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轻量记录</w:t>
            </w:r>
          </w:p>
        </w:tc>
        <w:tc>
          <w:tcPr>
            <w:tcW w:type="dxa" w:w="4082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用药按「按原计划使用 / 有变化 / 未记录」快速记录，症状用简明选项</w:t>
            </w:r>
          </w:p>
        </w:tc>
        <w:tc>
          <w:tcPr>
            <w:tcW w:type="dxa" w:w="3685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以约 30 秒完成为设计目标，降低长期记录的依从性门槛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趋势与报告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趋势页共用日期轴呈现咳嗽频次、疑似喘息时段、用药与症状；报告可导出 PDF 并准备离线片段</w:t>
            </w:r>
          </w:p>
        </w:tc>
        <w:tc>
          <w:tcPr>
            <w:tcW w:type="dxa" w:w="368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跨午夜记录按同一晚归档；个人参照仅在可比样本足够时显示，并注明统计范围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表 4-4  患者端 APP 界面与交互设计要点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2299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concept_stri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29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图 4-2  息间患者端静态概念图：睡前准备 / 晨间概览 / 事件回听 / 复诊报告（图中的日期、声音片段与统计均为示例数据）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4.7 记录可信度标准</w:t>
      </w:r>
    </w:p>
    <w:p>
      <w:pPr>
        <w:spacing w:after="80"/>
        <w:ind w:firstLine="420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居家监测产品能否被医生采信，取决于它是否敢于如实呈现数据质量。本项目把记录可信度作为与检测精度同等重要的设计目标：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记录可信度指标：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有效监测时长、记录完整度（有效监测时长占开始至结束总时长的比例）、采集质量与缺失时段，全部呈现给用户——这是数据能否被医生采信的前提。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三类情况严格区分呈现：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无记录、无效数据、有效采集内未检出事件。缺失时段保留缺口，不计入有效时长分母，也不填成零事件。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咳嗽同时显示事件数与每有效小时频次，事件数经过合并与去重，不使用音频模型窗口数；频次的分母是有效监测时长。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个人比较使用一致的统计口径与可比监测时段，近期约 14 个有效夜晚作为待验证的参照方案，最低有效夜数与变化阈值需经算法与临床验证后确定。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文案纪律：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总结只描述监测记录中的现象（如「昨夜咳嗽频次接近平常」），不从声学事件直接推导疾病诊断或用药建议。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异常状态如实呈现：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外网断开、设备断连、麦克风被占用、质量不足、分析未完成、片段到期删除等各有独立状态与处理说明，不用「正在分析」掩盖真实缺口。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4.8 界面方案状态与待验证项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当前已交付：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产品功能方案与四张静态界面概念图（睡前准备、晨间概览、事件回听、复诊报告），以及交互与视觉规范。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待验证项：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手机锁屏与后台录音、夜间长时局域网传输、来电中断恢复、板端分析与短时缓冲机制、以及咳嗽与喘息检测的统计口径与个人参照阈值。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说明：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概念图中的日期、时间、声音片段与统计均为示例数据，不代表已经运行的监测结果；设备能力与算法效果仍需通过样机与临床验证确认。</w:t>
      </w:r>
    </w:p>
    <w:p>
      <w:pPr>
        <w:spacing w:after="80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正式版扩写方向：补充算法链路流程图、边缘端性能实测图表与硬件 BOM 明细。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1F4E79"/>
          <w:sz w:val="30"/>
        </w:rPr>
        <w:t>五、创新点与竞争壁垒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5.1 核心创新点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w="9129" w:type="dxa"/>
        <w:tblLayout w:type="fixed"/>
      </w:tblPr>
      <w:tblGrid>
        <w:gridCol w:w="1701"/>
        <w:gridCol w:w="3969"/>
        <w:gridCol w:w="3459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创新点</w:t>
            </w:r>
          </w:p>
        </w:tc>
        <w:tc>
          <w:tcPr>
            <w:tcW w:type="dxa" w:w="3969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内容</w:t>
            </w:r>
          </w:p>
        </w:tc>
        <w:tc>
          <w:tcPr>
            <w:tcW w:type="dxa" w:w="3458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解决的矛盾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算法与硬件协同架构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低功耗事件门控 + 强判别事件分类的两级级联，模型按 NPU 特性做量化友好设计</w:t>
            </w:r>
          </w:p>
        </w:tc>
        <w:tc>
          <w:tcPr>
            <w:tcW w:type="dxa" w:w="345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解决「高精度模型跑不动、跑得动的模型不准」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量化精度保障方法</w:t>
            </w:r>
          </w:p>
        </w:tc>
        <w:tc>
          <w:tcPr>
            <w:tcW w:type="dxa" w:w="3969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敏感层识别 → 混合精度保留 → 量化感知训练补偿 → 留出集精度红线校验</w:t>
            </w:r>
          </w:p>
        </w:tc>
        <w:tc>
          <w:tcPr>
            <w:tcW w:type="dxa" w:w="345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解决 INT8 量化后医疗声学模型精度显著下降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隐私优先的端侧推理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原始音频不出户、云端仅收指标、事件片段做人声抑制与小于 60 秒切分</w:t>
            </w:r>
          </w:p>
        </w:tc>
        <w:tc>
          <w:tcPr>
            <w:tcW w:type="dxa" w:w="345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把数据合规从「事后合规」变为「架构合规」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个体化基线预警</w:t>
            </w:r>
          </w:p>
        </w:tc>
        <w:tc>
          <w:tcPr>
            <w:tcW w:type="dxa" w:w="3969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以患者自身历史建立滚动基线，用偏离度与变化率触发预警</w:t>
            </w:r>
          </w:p>
        </w:tc>
        <w:tc>
          <w:tcPr>
            <w:tcW w:type="dxa" w:w="345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解决群体阈值对个体必然误报或漏报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版本可追溯机制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锁定模型 + 经验证的离线升级 + 回滚机制，每次发布绑定算法版本号</w:t>
            </w:r>
          </w:p>
        </w:tc>
        <w:tc>
          <w:tcPr>
            <w:tcW w:type="dxa" w:w="345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解决算法更新触发变更注册的合规约束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表 5-1  五项核心创新点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5.2 竞争格局</w:t>
      </w:r>
    </w:p>
    <w:p>
      <w:pPr>
        <w:spacing w:after="80"/>
        <w:ind w:firstLine="420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下表列出六类主要竞品。总体判断：当前时点尚无与本项目「国产边缘算力硬件 + 手机采集 + 居家长期监测 + 四维指标融合」组合直接对标的国产产品。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w="9129" w:type="dxa"/>
        <w:tblLayout w:type="fixed"/>
      </w:tblPr>
      <w:tblGrid>
        <w:gridCol w:w="1588"/>
        <w:gridCol w:w="1474"/>
        <w:gridCol w:w="1474"/>
        <w:gridCol w:w="1928"/>
        <w:gridCol w:w="2665"/>
      </w:tblGrid>
      <w:tr>
        <w:trPr>
          <w:tblHeader w:val="true"/>
          <w:cantSplit w:val="true"/>
        </w:trPr>
        <w:tc>
          <w:tcPr>
            <w:tcW w:type="dxa" w:w="1587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产品 / 公司</w:t>
            </w:r>
          </w:p>
        </w:tc>
        <w:tc>
          <w:tcPr>
            <w:tcW w:type="dxa" w:w="1474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传感方式</w:t>
            </w:r>
          </w:p>
        </w:tc>
        <w:tc>
          <w:tcPr>
            <w:tcW w:type="dxa" w:w="1474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核心功能</w:t>
            </w:r>
          </w:p>
        </w:tc>
        <w:tc>
          <w:tcPr>
            <w:tcW w:type="dxa" w:w="1928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器械认证</w:t>
            </w:r>
          </w:p>
        </w:tc>
        <w:tc>
          <w:tcPr>
            <w:tcW w:type="dxa" w:w="2665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与本项目的差异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Hyfe AI（美国）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手机 / 可穿戴，端侧推理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咳嗽频次与咳嗽发作统计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未见器械证，已作临床试验终点</w:t>
            </w:r>
          </w:p>
        </w:tc>
        <w:tc>
          <w:tcPr>
            <w:tcW w:type="dxa" w:w="266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无边缘算力硬件、无中国人群数据；其白皮书已主张端侧隐私架构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Strados Labs RESP（美国，被 Clario 收购）</w:t>
            </w:r>
          </w:p>
        </w:tc>
        <w:tc>
          <w:tcPr>
            <w:tcW w:type="dxa" w:w="147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胸部贴片式声学传感器</w:t>
            </w:r>
          </w:p>
        </w:tc>
        <w:tc>
          <w:tcPr>
            <w:tcW w:type="dxa" w:w="147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24 小时咳嗽频次、喘息</w:t>
            </w:r>
          </w:p>
        </w:tc>
        <w:tc>
          <w:tcPr>
            <w:tcW w:type="dxa" w:w="192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临床研究用途</w:t>
            </w:r>
          </w:p>
        </w:tc>
        <w:tc>
          <w:tcPr>
            <w:tcW w:type="dxa" w:w="2665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需佩戴耗材；隐私与端侧处理设计与本项目同构，可作技术对标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ResApp Health（澳大利亚）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手机麦克风 + 机器学习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咳嗽音辅助诊断呼吸疾病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曾获监管认可，被辉瑞以 1.79 亿美元收购</w:t>
            </w:r>
          </w:p>
        </w:tc>
        <w:tc>
          <w:tcPr>
            <w:tcW w:type="dxa" w:w="266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走诊断路线，注册与验证成本高；本项目从监测与随访切入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国内肺音 AI（山东朗朗等）</w:t>
            </w:r>
          </w:p>
        </w:tc>
        <w:tc>
          <w:tcPr>
            <w:tcW w:type="dxa" w:w="147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电子听诊器 / 专用设备</w:t>
            </w:r>
          </w:p>
        </w:tc>
        <w:tc>
          <w:tcPr>
            <w:tcW w:type="dxa" w:w="147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肺音采集与 AI 分析</w:t>
            </w:r>
          </w:p>
        </w:tc>
        <w:tc>
          <w:tcPr>
            <w:tcW w:type="dxa" w:w="192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二类：鲁械注准 20222210799，适用范围「供临床参考」</w:t>
            </w:r>
          </w:p>
        </w:tc>
        <w:tc>
          <w:tcPr>
            <w:tcW w:type="dxa" w:w="2665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院内单次检查场景、B/S 架构；无居家长期监测产品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TytoCare（以色列）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手持远程体检套件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远程查体含肺音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FDA 510(k)</w:t>
            </w:r>
          </w:p>
        </w:tc>
        <w:tc>
          <w:tcPr>
            <w:tcW w:type="dxa" w:w="266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设备约 299 美元 + 订阅，需自操作；本项目自动推理、非接触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Apple / 华为等消费电子</w:t>
            </w:r>
          </w:p>
        </w:tc>
        <w:tc>
          <w:tcPr>
            <w:tcW w:type="dxa" w:w="147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手表与手机内置传感器</w:t>
            </w:r>
          </w:p>
        </w:tc>
        <w:tc>
          <w:tcPr>
            <w:tcW w:type="dxa" w:w="147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睡眠呼吸暂停、呼吸率等健康趋势</w:t>
            </w:r>
          </w:p>
        </w:tc>
        <w:tc>
          <w:tcPr>
            <w:tcW w:type="dxa" w:w="192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Apple 已获睡眠呼吸暂停 510(k)，无咳嗽检测</w:t>
            </w:r>
          </w:p>
        </w:tc>
        <w:tc>
          <w:tcPr>
            <w:tcW w:type="dxa" w:w="2665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算法闭源、指标不可溯源；本项目面向临床与随访场景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表 5-2  主要竞品对比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5.3 竞争壁垒与自身短板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w="9129" w:type="dxa"/>
        <w:tblLayout w:type="fixed"/>
      </w:tblPr>
      <w:tblGrid>
        <w:gridCol w:w="1361"/>
        <w:gridCol w:w="794"/>
        <w:gridCol w:w="6974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壁垒</w:t>
            </w:r>
          </w:p>
        </w:tc>
        <w:tc>
          <w:tcPr>
            <w:tcW w:type="dxa" w:w="794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强度</w:t>
            </w:r>
          </w:p>
        </w:tc>
        <w:tc>
          <w:tcPr>
            <w:tcW w:type="dxa" w:w="6973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说明与风险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数据壁垒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中</w:t>
            </w:r>
          </w:p>
        </w:tc>
        <w:tc>
          <w:tcPr>
            <w:tcW w:type="dxa" w:w="697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中文人群居家纵向声学数据稀缺，但 Hyfe 已发布 73.4 万次咳嗽、2,143 名患者、7 国数据集，正面比拼数据量不现实；须走差异化数据集（中国儿童哮喘、慢阻肺急性加重、中医药干预前后对比）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边缘端工程能力</w:t>
            </w:r>
          </w:p>
        </w:tc>
        <w:tc>
          <w:tcPr>
            <w:tcW w:type="dxa" w:w="79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高</w:t>
            </w:r>
          </w:p>
        </w:tc>
        <w:tc>
          <w:tcPr>
            <w:tcW w:type="dxa" w:w="6973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把医疗级声学模型稳定跑在 6 TOPS 级国产 NPU 上，涉及量化、算子兼容、内存与功耗调度，属难以从论文获得的工程 know-how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合规与临床证据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高</w:t>
            </w:r>
          </w:p>
        </w:tc>
        <w:tc>
          <w:tcPr>
            <w:tcW w:type="dxa" w:w="697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真正的准入壁垒是注册证与临床证据；先以健康管理形态积累数据，同步启动一致性研究，形成时间差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成本结构</w:t>
            </w:r>
          </w:p>
        </w:tc>
        <w:tc>
          <w:tcPr>
            <w:tcW w:type="dxa" w:w="79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高</w:t>
            </w:r>
          </w:p>
        </w:tc>
        <w:tc>
          <w:tcPr>
            <w:tcW w:type="dxa" w:w="6973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基于国产芯片与消费级器件，可把硬件压至数百元量级，这是触达基层与家庭市场的唯一现实路径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渠道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低</w:t>
            </w:r>
          </w:p>
        </w:tc>
        <w:tc>
          <w:tcPr>
            <w:tcW w:type="dxa" w:w="697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鱼跃医疗 2024 年营收 75.66 亿元（呼吸治疗 25.97 亿元）、怡和嘉业已占主渠道，独立建渠道不现实，应定位为算法与方案供应商，与渠道商合作或被集成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表 5-3  竞争壁垒评估（含如实标注的短板）</w:t>
      </w:r>
    </w:p>
    <w:p>
      <w:pPr>
        <w:spacing w:after="80"/>
        <w:ind w:firstLine="420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我们选择如实呈现短板：数据壁垒仅属中等水平，渠道能力偏弱。这决定了我们的策略不是与巨头在渠道与数据量上正面竞争，而是以算法与方案供应商的定位，与渠道商合作、以临床证据与注册资质建立准入壁垒。</w:t>
      </w:r>
    </w:p>
    <w:p>
      <w:pPr>
        <w:spacing w:after="80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正式版扩写方向：补充护城河雷达图与四维指标覆盖对比图。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1F4E79"/>
          <w:sz w:val="30"/>
        </w:rPr>
        <w:t>六、商业模式与盈利路径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6.1 收入结构</w:t>
      </w:r>
    </w:p>
    <w:p>
      <w:pPr>
        <w:spacing w:after="80"/>
        <w:ind w:firstLine="420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项目采取「硬件建立入口、订阅产生复购、服务放大客单价」的三级结构，并用药企临床试验服务作为早期现金流来源，降低 C 端教育成本带来的资金压力。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w="9129" w:type="dxa"/>
        <w:tblLayout w:type="fixed"/>
      </w:tblPr>
      <w:tblGrid>
        <w:gridCol w:w="1361"/>
        <w:gridCol w:w="1701"/>
        <w:gridCol w:w="2495"/>
        <w:gridCol w:w="1814"/>
        <w:gridCol w:w="1758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收入线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目标客户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产品内容</w:t>
            </w:r>
          </w:p>
        </w:tc>
        <w:tc>
          <w:tcPr>
            <w:tcW w:type="dxa" w:w="1814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定价方式</w:t>
            </w:r>
          </w:p>
        </w:tc>
        <w:tc>
          <w:tcPr>
            <w:tcW w:type="dxa" w:w="1757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启动时间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硬件销售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医院科室、基层机构、C 端家庭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RK3576 边缘监测节点 + 拾音配件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一次性买断</w:t>
            </w:r>
          </w:p>
        </w:tc>
        <w:tc>
          <w:tcPr>
            <w:tcW w:type="dxa" w:w="175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第 2 年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SaaS 订阅</w:t>
            </w:r>
          </w:p>
        </w:tc>
        <w:tc>
          <w:tcPr>
            <w:tcW w:type="dxa" w:w="170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C 端患者与家庭</w:t>
            </w:r>
          </w:p>
        </w:tc>
        <w:tc>
          <w:tcPr>
            <w:tcW w:type="dxa" w:w="249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趋势分析、异常预警、随访报告、家属共享</w:t>
            </w:r>
          </w:p>
        </w:tc>
        <w:tc>
          <w:tcPr>
            <w:tcW w:type="dxa" w:w="181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年费订阅</w:t>
            </w:r>
          </w:p>
        </w:tc>
        <w:tc>
          <w:tcPr>
            <w:tcW w:type="dxa" w:w="1757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第 2 年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临床研究服务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药企、CRO、科研机构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客观咳嗽终点数据采集与统计交付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项目制收费</w:t>
            </w:r>
          </w:p>
        </w:tc>
        <w:tc>
          <w:tcPr>
            <w:tcW w:type="dxa" w:w="175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第 1–2 年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院内系统与数据服务</w:t>
            </w:r>
          </w:p>
        </w:tc>
        <w:tc>
          <w:tcPr>
            <w:tcW w:type="dxa" w:w="170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医院、区域慢病管理平台</w:t>
            </w:r>
          </w:p>
        </w:tc>
        <w:tc>
          <w:tcPr>
            <w:tcW w:type="dxa" w:w="249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医生端工作站、HIS 对接、区域数据看板</w:t>
            </w:r>
          </w:p>
        </w:tc>
        <w:tc>
          <w:tcPr>
            <w:tcW w:type="dxa" w:w="181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年度授权与服务费</w:t>
            </w:r>
          </w:p>
        </w:tc>
        <w:tc>
          <w:tcPr>
            <w:tcW w:type="dxa" w:w="1757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第 2–3 年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表 6-1  四条收入线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6.2 定价策略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w="9129" w:type="dxa"/>
        <w:tblLayout w:type="fixed"/>
      </w:tblPr>
      <w:tblGrid>
        <w:gridCol w:w="2268"/>
        <w:gridCol w:w="2948"/>
        <w:gridCol w:w="3912"/>
      </w:tblGrid>
      <w:tr>
        <w:trPr>
          <w:tblHeader w:val="true"/>
          <w:cantSplit w:val="true"/>
        </w:trPr>
        <w:tc>
          <w:tcPr>
            <w:tcW w:type="dxa" w:w="2268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产品 / 服务</w:t>
            </w:r>
          </w:p>
        </w:tc>
        <w:tc>
          <w:tcPr>
            <w:tcW w:type="dxa" w:w="2948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建议定价</w:t>
            </w:r>
          </w:p>
        </w:tc>
        <w:tc>
          <w:tcPr>
            <w:tcW w:type="dxa" w:w="3912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依据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边缘监测节点（家用版）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1,299 元/台</w:t>
            </w:r>
          </w:p>
        </w:tc>
        <w:tc>
          <w:tcPr>
            <w:tcW w:type="dxa" w:w="391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硬件成本约 400 元，参考家用医疗监测设备价格带与家庭支付能力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边缘监测节点（机构版）</w:t>
            </w:r>
          </w:p>
        </w:tc>
        <w:tc>
          <w:tcPr>
            <w:tcW w:type="dxa" w:w="294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1,999–2,999 元/台</w:t>
            </w:r>
          </w:p>
        </w:tc>
        <w:tc>
          <w:tcPr>
            <w:tcW w:type="dxa" w:w="3912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含更长质保、设备管理接口与批量部署支持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个人订阅服务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299 元/年（基础）/ 599 元/年（含报告与医生咨询）</w:t>
            </w:r>
          </w:p>
        </w:tc>
        <w:tc>
          <w:tcPr>
            <w:tcW w:type="dxa" w:w="391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对标健康类订阅价格带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科室年度服务包</w:t>
            </w:r>
          </w:p>
        </w:tc>
        <w:tc>
          <w:tcPr>
            <w:tcW w:type="dxa" w:w="294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5–20 万元/年</w:t>
            </w:r>
          </w:p>
        </w:tc>
        <w:tc>
          <w:tcPr>
            <w:tcW w:type="dxa" w:w="3912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按设备数量、医生端账号与数据服务范围分档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临床研究服务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50–200 万元/项目</w:t>
            </w:r>
          </w:p>
        </w:tc>
        <w:tc>
          <w:tcPr>
            <w:tcW w:type="dxa" w:w="391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按入组例数、监测周期、数据交付深度与统计分析工作量定价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表 6-2  定价与依据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6.3 单位经济模型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w="9129" w:type="dxa"/>
        <w:tblLayout w:type="fixed"/>
      </w:tblPr>
      <w:tblGrid>
        <w:gridCol w:w="2495"/>
        <w:gridCol w:w="1474"/>
        <w:gridCol w:w="1134"/>
        <w:gridCol w:w="4026"/>
      </w:tblGrid>
      <w:tr>
        <w:trPr>
          <w:tblHeader w:val="true"/>
          <w:cantSplit w:val="true"/>
        </w:trPr>
        <w:tc>
          <w:tcPr>
            <w:tcW w:type="dxa" w:w="2494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1474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金额</w:t>
            </w:r>
          </w:p>
        </w:tc>
        <w:tc>
          <w:tcPr>
            <w:tcW w:type="dxa" w:w="1134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占比</w:t>
            </w:r>
          </w:p>
        </w:tc>
        <w:tc>
          <w:tcPr>
            <w:tcW w:type="dxa" w:w="4025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硬件成本（BOM + 代工）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约 400 元</w:t>
            </w:r>
          </w:p>
        </w:tc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31%</w:t>
            </w:r>
          </w:p>
        </w:tc>
        <w:tc>
          <w:tcPr>
            <w:tcW w:type="dxa" w:w="402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小批量试产阶段，量产可降至 300 元以内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包装、认证与质保分摊</w:t>
            </w:r>
          </w:p>
        </w:tc>
        <w:tc>
          <w:tcPr>
            <w:tcW w:type="dxa" w:w="147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约 120 元</w:t>
            </w:r>
          </w:p>
        </w:tc>
        <w:tc>
          <w:tcPr>
            <w:tcW w:type="dxa" w:w="113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9%</w:t>
            </w:r>
          </w:p>
        </w:tc>
        <w:tc>
          <w:tcPr>
            <w:tcW w:type="dxa" w:w="4025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含器械版本标签、注册费用分摊与售后准备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渠道与获客成本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约 260 元</w:t>
            </w:r>
          </w:p>
        </w:tc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20%</w:t>
            </w:r>
          </w:p>
        </w:tc>
        <w:tc>
          <w:tcPr>
            <w:tcW w:type="dxa" w:w="402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按线上线下综合获客成本估算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软件与云服务（三年摊销）</w:t>
            </w:r>
          </w:p>
        </w:tc>
        <w:tc>
          <w:tcPr>
            <w:tcW w:type="dxa" w:w="147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约 80 元</w:t>
            </w:r>
          </w:p>
        </w:tc>
        <w:tc>
          <w:tcPr>
            <w:tcW w:type="dxa" w:w="113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6%</w:t>
            </w:r>
          </w:p>
        </w:tc>
        <w:tc>
          <w:tcPr>
            <w:tcW w:type="dxa" w:w="4025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按用户规模分摊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单台硬件收入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1,299 元</w:t>
            </w:r>
          </w:p>
        </w:tc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100%</w:t>
            </w:r>
          </w:p>
        </w:tc>
        <w:tc>
          <w:tcPr>
            <w:tcW w:type="dxa" w:w="402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家用版建议零售价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单台硬件毛利</w:t>
            </w:r>
          </w:p>
        </w:tc>
        <w:tc>
          <w:tcPr>
            <w:tcW w:type="dxa" w:w="147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约 439 元</w:t>
            </w:r>
          </w:p>
        </w:tc>
        <w:tc>
          <w:tcPr>
            <w:tcW w:type="dxa" w:w="113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34%</w:t>
            </w:r>
          </w:p>
        </w:tc>
        <w:tc>
          <w:tcPr>
            <w:tcW w:type="dxa" w:w="4025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未计入订阅收入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首年单用户综合毛利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约 738 元</w:t>
            </w:r>
          </w:p>
        </w:tc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402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含硬件毛利与基础订阅收入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表 6-3  单台 / 单用户单位经济</w:t>
      </w:r>
    </w:p>
    <w:p>
      <w:pPr>
        <w:spacing w:after="80"/>
        <w:ind w:firstLine="420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单台硬件毛利约 439 元（毛利率 34%），叠加基础订阅后首年单用户综合毛利约 738 元。订阅的边际成本极低，是提升整体毛利的关键；因此产品设计上必须让订阅具有不可替代的价值（随访报告、医生解读、家属共享）。</w:t>
      </w:r>
    </w:p>
    <w:p>
      <w:pPr>
        <w:spacing w:after="80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正式版扩写方向：补充收入线启动甘特图与单位经济瀑布图。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1F4E79"/>
          <w:sz w:val="30"/>
        </w:rPr>
        <w:t>七、市场推广与渠道策略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w="9129" w:type="dxa"/>
        <w:tblLayout w:type="fixed"/>
      </w:tblPr>
      <w:tblGrid>
        <w:gridCol w:w="1814"/>
        <w:gridCol w:w="2041"/>
        <w:gridCol w:w="3402"/>
        <w:gridCol w:w="1871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渠道</w:t>
            </w:r>
          </w:p>
        </w:tc>
        <w:tc>
          <w:tcPr>
            <w:tcW w:type="dxa" w:w="2041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目标客户</w:t>
            </w:r>
          </w:p>
        </w:tc>
        <w:tc>
          <w:tcPr>
            <w:tcW w:type="dxa" w:w="3402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切入点</w:t>
            </w:r>
          </w:p>
        </w:tc>
        <w:tc>
          <w:tcPr>
            <w:tcW w:type="dxa" w:w="1871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预期贡献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医院呼吸科合作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二三级医院呼吸科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以临床研究合作切入，用数据说服医生，再转化为科室采购</w:t>
            </w:r>
          </w:p>
        </w:tc>
        <w:tc>
          <w:tcPr>
            <w:tcW w:type="dxa" w:w="187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主要收入来源，兼具背书作用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基层医疗与家庭医生</w:t>
            </w:r>
          </w:p>
        </w:tc>
        <w:tc>
          <w:tcPr>
            <w:tcW w:type="dxa" w:w="204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社区卫生服务中心、乡镇卫生院</w:t>
            </w:r>
          </w:p>
        </w:tc>
        <w:tc>
          <w:tcPr>
            <w:tcW w:type="dxa" w:w="3402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以筛查与随访工具定位，配合区域慢病管理项目</w:t>
            </w:r>
          </w:p>
        </w:tc>
        <w:tc>
          <w:tcPr>
            <w:tcW w:type="dxa" w:w="187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规模放量渠道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药企与 CRO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药企临床研究部门、CRO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以客观咳嗽终点替代人工日记的价值主张切入</w:t>
            </w:r>
          </w:p>
        </w:tc>
        <w:tc>
          <w:tcPr>
            <w:tcW w:type="dxa" w:w="187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早期现金流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线上患者社群与新媒体</w:t>
            </w:r>
          </w:p>
        </w:tc>
        <w:tc>
          <w:tcPr>
            <w:tcW w:type="dxa" w:w="204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哮喘 / 慢阻肺患者与家长</w:t>
            </w:r>
          </w:p>
        </w:tc>
        <w:tc>
          <w:tcPr>
            <w:tcW w:type="dxa" w:w="3402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科普内容与患者互助社群，突出夜间监测价值</w:t>
            </w:r>
          </w:p>
        </w:tc>
        <w:tc>
          <w:tcPr>
            <w:tcW w:type="dxa" w:w="187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C 端获客主渠道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渠道商合作（OEM/被集成）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鱼跃、可孚等家用器械渠道商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以算法与方案供应商定位，借助其渠道快速铺开</w:t>
            </w:r>
          </w:p>
        </w:tc>
        <w:tc>
          <w:tcPr>
            <w:tcW w:type="dxa" w:w="187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规模化关键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表 7-1  渠道策略矩阵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7.1 推广节奏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第 1 年：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以临床研究合作与患者社群为主，目标是拿到医生背书与真实世界使用数据，不追求销量。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第 2 年：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注册受理后进入院内渠道试点，同步启动 C 端预售，验证付费意愿与价格点。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第 3 年：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与渠道商合作放量，重点开拓基层医疗与区域慢病管理项目。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7.2 合规红线</w:t>
      </w:r>
    </w:p>
    <w:p>
      <w:pPr>
        <w:spacing w:after="80"/>
        <w:ind w:firstLine="420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所有对外内容（含产品界面文案、宣传物料、应用商店描述、答辩演示界面）同步避免「诊断 / 筛查 / 确诊 / 预警急性加重」等表述，统一使用「记录、测量、趋势、提示关注」口径。这条纪律由临床与合规角色终审。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1F4E79"/>
          <w:sz w:val="30"/>
        </w:rPr>
        <w:t>八、运营与实施计划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w="9129" w:type="dxa"/>
        <w:tblLayout w:type="fixed"/>
      </w:tblPr>
      <w:tblGrid>
        <w:gridCol w:w="1474"/>
        <w:gridCol w:w="3062"/>
        <w:gridCol w:w="1474"/>
        <w:gridCol w:w="3118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阶段</w:t>
            </w:r>
          </w:p>
        </w:tc>
        <w:tc>
          <w:tcPr>
            <w:tcW w:type="dxa" w:w="3061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关键任务</w:t>
            </w:r>
          </w:p>
        </w:tc>
        <w:tc>
          <w:tcPr>
            <w:tcW w:type="dxa" w:w="1474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时间</w:t>
            </w:r>
          </w:p>
        </w:tc>
        <w:tc>
          <w:tcPr>
            <w:tcW w:type="dxa" w:w="3118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M1 全链路打通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手机采集—边缘推理—指标上云闭环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第 1–6 月</w:t>
            </w:r>
          </w:p>
        </w:tc>
        <w:tc>
          <w:tcPr>
            <w:tcW w:type="dxa" w:w="311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端到端跑通，离线测试集 F1 ≥ 0.75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M2 原理样机</w:t>
            </w:r>
          </w:p>
        </w:tc>
        <w:tc>
          <w:tcPr>
            <w:tcW w:type="dxa" w:w="306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边缘样机集成与 APP 联调</w:t>
            </w:r>
          </w:p>
        </w:tc>
        <w:tc>
          <w:tcPr>
            <w:tcW w:type="dxa" w:w="147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第 7–12 月</w:t>
            </w:r>
          </w:p>
        </w:tc>
        <w:tc>
          <w:tcPr>
            <w:tcW w:type="dxa" w:w="311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指标达设计目标，连续运行 ≥ 72 小时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M3 居家小样本验证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10–30 户居家实测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第 10–14 月</w:t>
            </w:r>
          </w:p>
        </w:tc>
        <w:tc>
          <w:tcPr>
            <w:tcW w:type="dxa" w:w="311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家庭环境 F1 ≥ 0.85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M4 临床一致性研究</w:t>
            </w:r>
          </w:p>
        </w:tc>
        <w:tc>
          <w:tcPr>
            <w:tcW w:type="dxa" w:w="306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合作医院前瞻性研究</w:t>
            </w:r>
          </w:p>
        </w:tc>
        <w:tc>
          <w:tcPr>
            <w:tcW w:type="dxa" w:w="147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第 13–24 月</w:t>
            </w:r>
          </w:p>
        </w:tc>
        <w:tc>
          <w:tcPr>
            <w:tcW w:type="dxa" w:w="311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完成入组与数据分析，输出研究报告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M5 注册申报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二类医疗器械注册申报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第 18–27 月</w:t>
            </w:r>
          </w:p>
        </w:tc>
        <w:tc>
          <w:tcPr>
            <w:tcW w:type="dxa" w:w="311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取得受理并推进至技术审评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M6 小批量试产</w:t>
            </w:r>
          </w:p>
        </w:tc>
        <w:tc>
          <w:tcPr>
            <w:tcW w:type="dxa" w:w="306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产线定型与首批量产</w:t>
            </w:r>
          </w:p>
        </w:tc>
        <w:tc>
          <w:tcPr>
            <w:tcW w:type="dxa" w:w="147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第 24–30 月</w:t>
            </w:r>
          </w:p>
        </w:tc>
        <w:tc>
          <w:tcPr>
            <w:tcW w:type="dxa" w:w="311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良率与一致性达标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M7 商业化放量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院内渠道 + C 端 + 药企项目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第 25–36 月</w:t>
            </w:r>
          </w:p>
        </w:tc>
        <w:tc>
          <w:tcPr>
            <w:tcW w:type="dxa" w:w="311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达成第 3 年营收目标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表 8-1  36 个月里程碑与验收标准</w:t>
      </w:r>
    </w:p>
    <w:p>
      <w:pPr>
        <w:spacing w:after="80"/>
        <w:ind w:firstLine="420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关键路径有两条：临床一致性研究（第 13–24 月）与器械注册（第 18–27 月）。两条路径都依赖外部机构配合，是进度风险的主要来源，因此采用「先回顾性研究验证假设、再投入前瞻性研究」的方式降低返工风险。</w:t>
      </w:r>
    </w:p>
    <w:p>
      <w:pPr>
        <w:spacing w:after="80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正式版扩写方向：补充甘特图与关键路径图，标注每个里程碑的负责人。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1F4E79"/>
          <w:sz w:val="30"/>
        </w:rPr>
        <w:t>九、团队介绍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w="9129" w:type="dxa"/>
        <w:tblLayout w:type="fixed"/>
      </w:tblPr>
      <w:tblGrid>
        <w:gridCol w:w="1474"/>
        <w:gridCol w:w="794"/>
        <w:gridCol w:w="6861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角色</w:t>
            </w:r>
          </w:p>
        </w:tc>
        <w:tc>
          <w:tcPr>
            <w:tcW w:type="dxa" w:w="794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人数</w:t>
            </w:r>
          </w:p>
        </w:tc>
        <w:tc>
          <w:tcPr>
            <w:tcW w:type="dxa" w:w="6860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核心职责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项目负责人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总体方案、进度与资源协调、对外合作与答辩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算法工程师</w:t>
            </w:r>
          </w:p>
        </w:tc>
        <w:tc>
          <w:tcPr>
            <w:tcW w:type="dxa" w:w="79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6860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声学前端、模型设计与训练、量化与性能评估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嵌入式工程师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RK3576 系统移植、RKNN 部署、功耗与稳定性优化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软件工程师</w:t>
            </w:r>
          </w:p>
        </w:tc>
        <w:tc>
          <w:tcPr>
            <w:tcW w:type="dxa" w:w="79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6860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手机 APP、云端服务、医生端工作站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硬件工程师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边缘节点电路、麦克风前端、结构与声学设计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临床与合规</w:t>
            </w:r>
          </w:p>
        </w:tc>
        <w:tc>
          <w:tcPr>
            <w:tcW w:type="dxa" w:w="79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6860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临床方案、伦理与注册材料、医学沟通与文案合规审查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市场与运营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用户调研、渠道拓展、商业模式与财务测算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表 9-1  团队构成与分工（8 人）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能力覆盖：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音频信号处理、深度学习工程、Linux 与 NPU 部署、移动端与后端、模拟音频与结构设计、医学与器械法规、市场与财务测算共七个方向，8 人无单点依赖。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能力缺口与补足方式：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医疗器械注册经验与临床资源为短板，通过与医院呼吸科、CRO 机构、注册代理机构合作补足；商业化渠道通过与家用器械渠道商合作解决。</w:t>
      </w:r>
    </w:p>
    <w:p>
      <w:pPr>
        <w:spacing w:after="80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正式版扩写方向：补充组织架构图、能力矩阵图与每位成员的一页简历（放附录）。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1F4E79"/>
          <w:sz w:val="30"/>
        </w:rPr>
        <w:t>十、财务预测与分析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10.1 三年预测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w="9129" w:type="dxa"/>
        <w:tblLayout w:type="fixed"/>
      </w:tblPr>
      <w:tblGrid>
        <w:gridCol w:w="2155"/>
        <w:gridCol w:w="1474"/>
        <w:gridCol w:w="1474"/>
        <w:gridCol w:w="1474"/>
        <w:gridCol w:w="2552"/>
      </w:tblGrid>
      <w:tr>
        <w:trPr>
          <w:tblHeader w:val="true"/>
          <w:cantSplit w:val="true"/>
        </w:trPr>
        <w:tc>
          <w:tcPr>
            <w:tcW w:type="dxa" w:w="2154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1474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第 1 年</w:t>
            </w:r>
          </w:p>
        </w:tc>
        <w:tc>
          <w:tcPr>
            <w:tcW w:type="dxa" w:w="1474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第 2 年</w:t>
            </w:r>
          </w:p>
        </w:tc>
        <w:tc>
          <w:tcPr>
            <w:tcW w:type="dxa" w:w="1474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第 3 年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关键假设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边缘节点销量（台）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100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2,000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8,000</w:t>
            </w:r>
          </w:p>
        </w:tc>
        <w:tc>
          <w:tcPr>
            <w:tcW w:type="dxa" w:w="255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第 2 年完成注册并进入院内渠道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硬件收入（万元）</w:t>
            </w:r>
          </w:p>
        </w:tc>
        <w:tc>
          <w:tcPr>
            <w:tcW w:type="dxa" w:w="147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13</w:t>
            </w:r>
          </w:p>
        </w:tc>
        <w:tc>
          <w:tcPr>
            <w:tcW w:type="dxa" w:w="147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260</w:t>
            </w:r>
          </w:p>
        </w:tc>
        <w:tc>
          <w:tcPr>
            <w:tcW w:type="dxa" w:w="147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1,040</w:t>
            </w:r>
          </w:p>
        </w:tc>
        <w:tc>
          <w:tcPr>
            <w:tcW w:type="dxa" w:w="255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均价 1,299 元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订阅与服务收入（万元）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20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110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420</w:t>
            </w:r>
          </w:p>
        </w:tc>
        <w:tc>
          <w:tcPr>
            <w:tcW w:type="dxa" w:w="255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药企项目第 1 年即启动，订阅续费率 60%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营业收入合计（万元）</w:t>
            </w:r>
          </w:p>
        </w:tc>
        <w:tc>
          <w:tcPr>
            <w:tcW w:type="dxa" w:w="147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33</w:t>
            </w:r>
          </w:p>
        </w:tc>
        <w:tc>
          <w:tcPr>
            <w:tcW w:type="dxa" w:w="147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370</w:t>
            </w:r>
          </w:p>
        </w:tc>
        <w:tc>
          <w:tcPr>
            <w:tcW w:type="dxa" w:w="147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1,460</w:t>
            </w:r>
          </w:p>
        </w:tc>
        <w:tc>
          <w:tcPr>
            <w:tcW w:type="dxa" w:w="255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净利润（万元）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-117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-40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512</w:t>
            </w:r>
          </w:p>
        </w:tc>
        <w:tc>
          <w:tcPr>
            <w:tcW w:type="dxa" w:w="255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第 3 年实现盈利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累计现金流（万元）</w:t>
            </w:r>
          </w:p>
        </w:tc>
        <w:tc>
          <w:tcPr>
            <w:tcW w:type="dxa" w:w="147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-117</w:t>
            </w:r>
          </w:p>
        </w:tc>
        <w:tc>
          <w:tcPr>
            <w:tcW w:type="dxa" w:w="147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-157</w:t>
            </w:r>
          </w:p>
        </w:tc>
        <w:tc>
          <w:tcPr>
            <w:tcW w:type="dxa" w:w="147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355</w:t>
            </w:r>
          </w:p>
        </w:tc>
        <w:tc>
          <w:tcPr>
            <w:tcW w:type="dxa" w:w="255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第 1–2 年依赖外部资金支持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表 10-1  三年财务预测（示意性预测，非承诺性财务数据）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10.2 关键假设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收入确认：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硬件按交付确认；订阅按服务期分摊；药企服务按项目里程碑确认。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成本假设：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单台硬件成本从第 1 年 400 元降至第 3 年 360 元（量产摊销）。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费用假设：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研发投入 120 / 180 / 260 万元；市场与销售 15 / 90 / 280 万元；管理与合规 10 / 60 / 120 万元。注册与体系费用计入管理与合规。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敏感性：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咳嗽检测 F1 若低于 0.80，产品需从「量化监测」下调为「变化提示」，收入结构将改变；订阅续费率从 60% 降至 30%，第 3 年订阅收入接近减半；注册每推迟 6 个月，院内收入约推迟一个销售周期。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以上为基于假设的示意性预测，非承诺性财务数据。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10.3 盈亏平衡</w:t>
      </w:r>
    </w:p>
    <w:p>
      <w:pPr>
        <w:spacing w:after="80"/>
        <w:ind w:firstLine="420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第 3 年在销量 8,000 台、订阅续费率 60% 的假设下实现盈利 512 万元、累计现金流转正。若注册进度推迟，盈亏平衡点相应后移，需以药企服务收入与 C 端硬件收入对冲。</w:t>
      </w:r>
    </w:p>
    <w:p>
      <w:pPr>
        <w:spacing w:after="80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正式版扩写方向：补充收入结构堆叠图、净利与现金流折线图、敏感性分析龙卷风图。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1F4E79"/>
          <w:sz w:val="30"/>
        </w:rPr>
        <w:t>十一、融资计划与资金用途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w="9129" w:type="dxa"/>
        <w:tblLayout w:type="fixed"/>
      </w:tblPr>
      <w:tblGrid>
        <w:gridCol w:w="1701"/>
        <w:gridCol w:w="3402"/>
        <w:gridCol w:w="4026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3402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内容</w:t>
            </w:r>
          </w:p>
        </w:tc>
        <w:tc>
          <w:tcPr>
            <w:tcW w:type="dxa" w:w="4025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融资金额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【待填写】万元</w:t>
            </w:r>
          </w:p>
        </w:tc>
        <w:tc>
          <w:tcPr>
            <w:tcW w:type="dxa" w:w="402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首轮，用于支撑至注册受理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出让股权</w:t>
            </w:r>
          </w:p>
        </w:tc>
        <w:tc>
          <w:tcPr>
            <w:tcW w:type="dxa" w:w="3402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【待填写】%</w:t>
            </w:r>
          </w:p>
        </w:tc>
        <w:tc>
          <w:tcPr>
            <w:tcW w:type="dxa" w:w="4025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对应投前估值【待填写】万元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资金用途一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临床验证与注册申报（约 40%）</w:t>
            </w:r>
          </w:p>
        </w:tc>
        <w:tc>
          <w:tcPr>
            <w:tcW w:type="dxa" w:w="402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一致性研究、注册检验、体系考核与代理服务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资金用途二</w:t>
            </w:r>
          </w:p>
        </w:tc>
        <w:tc>
          <w:tcPr>
            <w:tcW w:type="dxa" w:w="3402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产线定型与首批备料（约 30%）</w:t>
            </w:r>
          </w:p>
        </w:tc>
        <w:tc>
          <w:tcPr>
            <w:tcW w:type="dxa" w:w="4025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结构件开模、试产与关键器件备货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资金用途三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算法与嵌入式研发（约 20%）</w:t>
            </w:r>
          </w:p>
        </w:tc>
        <w:tc>
          <w:tcPr>
            <w:tcW w:type="dxa" w:w="402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量化精度优化、多机型一致性、性能调优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资金用途四</w:t>
            </w:r>
          </w:p>
        </w:tc>
        <w:tc>
          <w:tcPr>
            <w:tcW w:type="dxa" w:w="3402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市场推广与合规（约 10%）</w:t>
            </w:r>
          </w:p>
        </w:tc>
        <w:tc>
          <w:tcPr>
            <w:tcW w:type="dxa" w:w="4025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医生端推广、患者社群运营、合规咨询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用款节奏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按 M4（临床完成）、M5（注册受理）分期投入</w:t>
            </w:r>
          </w:p>
        </w:tc>
        <w:tc>
          <w:tcPr>
            <w:tcW w:type="dxa" w:w="402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降低一次性投入风险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表 11-1  融资需求与资金用途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11.1 投资人回报路径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路径一：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取得二类器械注册证与临床证据后，被家用呼吸器械龙头或药企战略并购。行业先例：ResApp Health 于 2022 年 9 月被辉瑞以 1.79 亿美元收购。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路径二：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独立进入院内随访与药企临床试验服务市场，形成稳定现金流后独立发展。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路径三：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以算法与方案供应商身份与渠道商深度绑定，按设备出货量收取算法授权费。</w:t>
      </w:r>
    </w:p>
    <w:p>
      <w:pPr>
        <w:spacing w:after="80"/>
        <w:ind w:firstLine="420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本计划书不承诺具体回报倍数。投资人回报的实现依赖上述里程碑的实际达成情况。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1F4E79"/>
          <w:sz w:val="30"/>
        </w:rPr>
        <w:t>十二、风险分析与应对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w="9129" w:type="dxa"/>
        <w:tblLayout w:type="fixed"/>
      </w:tblPr>
      <w:tblGrid>
        <w:gridCol w:w="907"/>
        <w:gridCol w:w="2608"/>
        <w:gridCol w:w="737"/>
        <w:gridCol w:w="4876"/>
      </w:tblGrid>
      <w:tr>
        <w:trPr>
          <w:tblHeader w:val="true"/>
          <w:cantSplit w:val="true"/>
        </w:trPr>
        <w:tc>
          <w:tcPr>
            <w:tcW w:type="dxa" w:w="907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类别</w:t>
            </w:r>
          </w:p>
        </w:tc>
        <w:tc>
          <w:tcPr>
            <w:tcW w:type="dxa" w:w="2608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风险</w:t>
            </w:r>
          </w:p>
        </w:tc>
        <w:tc>
          <w:tcPr>
            <w:tcW w:type="dxa" w:w="737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等级</w:t>
            </w:r>
          </w:p>
        </w:tc>
        <w:tc>
          <w:tcPr>
            <w:tcW w:type="dxa" w:w="4876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应对措施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技术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家庭噪声导致精度不达标，尤其说话声误判为咳嗽</w:t>
            </w:r>
          </w:p>
        </w:tc>
        <w:tc>
          <w:tcPr>
            <w:tcW w:type="dxa" w:w="7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高</w:t>
            </w:r>
          </w:p>
        </w:tc>
        <w:tc>
          <w:tcPr>
            <w:tcW w:type="dxa" w:w="4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两级级联 + 显式负样本训练 + 用户端环境噪声提示；噪声超限时提示而非强行输出指标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技术</w:t>
            </w:r>
          </w:p>
        </w:tc>
        <w:tc>
          <w:tcPr>
            <w:tcW w:type="dxa" w:w="260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INT8 量化后精度下降超出可接受范围</w:t>
            </w:r>
          </w:p>
        </w:tc>
        <w:tc>
          <w:tcPr>
            <w:tcW w:type="dxa" w:w="737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中</w:t>
            </w:r>
          </w:p>
        </w:tc>
        <w:tc>
          <w:tcPr>
            <w:tcW w:type="dxa" w:w="4876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敏感层混合精度、量化感知训练、精度红线回退机制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临床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一致性研究入组慢或结果不及预期</w:t>
            </w:r>
          </w:p>
        </w:tc>
        <w:tc>
          <w:tcPr>
            <w:tcW w:type="dxa" w:w="7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高</w:t>
            </w:r>
          </w:p>
        </w:tc>
        <w:tc>
          <w:tcPr>
            <w:tcW w:type="dxa" w:w="4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先做回顾性研究验证假设，再投入前瞻性研究；提前锁定合作医院与研究者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合规</w:t>
            </w:r>
          </w:p>
        </w:tc>
        <w:tc>
          <w:tcPr>
            <w:tcW w:type="dxa" w:w="260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注册周期长于预期导致现金流承压</w:t>
            </w:r>
          </w:p>
        </w:tc>
        <w:tc>
          <w:tcPr>
            <w:tcW w:type="dxa" w:w="737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高</w:t>
            </w:r>
          </w:p>
        </w:tc>
        <w:tc>
          <w:tcPr>
            <w:tcW w:type="dxa" w:w="4876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坚持分步合规：健康管理形态与药企服务先行产生收入，不依赖注册证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合规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算法更新触发变更注册要求</w:t>
            </w:r>
          </w:p>
        </w:tc>
        <w:tc>
          <w:tcPr>
            <w:tcW w:type="dxa" w:w="7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中</w:t>
            </w:r>
          </w:p>
        </w:tc>
        <w:tc>
          <w:tcPr>
            <w:tcW w:type="dxa" w:w="4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采用「锁定模型 + 经验证的离线版本升级 + 回滚机制」，不做在线持续学习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市场</w:t>
            </w:r>
          </w:p>
        </w:tc>
        <w:tc>
          <w:tcPr>
            <w:tcW w:type="dxa" w:w="260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消费电子大厂进入挤压 C 端</w:t>
            </w:r>
          </w:p>
        </w:tc>
        <w:tc>
          <w:tcPr>
            <w:tcW w:type="dxa" w:w="737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中</w:t>
            </w:r>
          </w:p>
        </w:tc>
        <w:tc>
          <w:tcPr>
            <w:tcW w:type="dxa" w:w="4876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重心放在需要临床证据与注册资质的院内与药企场景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市场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渠道能力弱</w:t>
            </w:r>
          </w:p>
        </w:tc>
        <w:tc>
          <w:tcPr>
            <w:tcW w:type="dxa" w:w="7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高</w:t>
            </w:r>
          </w:p>
        </w:tc>
        <w:tc>
          <w:tcPr>
            <w:tcW w:type="dxa" w:w="4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以算法与方案供应商定位，与鱼跃等渠道商合作或被集成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供应链</w:t>
            </w:r>
          </w:p>
        </w:tc>
        <w:tc>
          <w:tcPr>
            <w:tcW w:type="dxa" w:w="260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核心板供货或价格波动</w:t>
            </w:r>
          </w:p>
        </w:tc>
        <w:tc>
          <w:tcPr>
            <w:tcW w:type="dxa" w:w="737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低</w:t>
            </w:r>
          </w:p>
        </w:tc>
        <w:tc>
          <w:tcPr>
            <w:tcW w:type="dxa" w:w="4876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多厂商合作、预留替代型号、关键器件安全库存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表 12-1  主要风险与应对措施</w:t>
      </w:r>
    </w:p>
    <w:p>
      <w:pPr>
        <w:spacing w:after="80"/>
        <w:ind w:firstLine="420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四类风险中，合规与临床风险等级最高，直接决定项目能否从作品走向产品；技术风险中的家庭噪声问题决定产品核心价值是否成立。我们对这三项风险均设有具体的技术或流程动作，而非笼统的「加强管理」。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1F4E79"/>
          <w:sz w:val="30"/>
        </w:rPr>
        <w:t>附录 A  关键数据与来源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w="9129" w:type="dxa"/>
        <w:tblLayout w:type="fixed"/>
      </w:tblPr>
      <w:tblGrid>
        <w:gridCol w:w="1474"/>
        <w:gridCol w:w="3629"/>
        <w:gridCol w:w="4026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章节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主要数据</w:t>
            </w:r>
          </w:p>
        </w:tc>
        <w:tc>
          <w:tcPr>
            <w:tcW w:type="dxa" w:w="4025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来源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市场分析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慢阻肺 9,990 万、哮喘 4,570 万、未诊断比例</w:t>
            </w:r>
          </w:p>
        </w:tc>
        <w:tc>
          <w:tcPr>
            <w:tcW w:type="dxa" w:w="402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中国成人肺部健康研究，《柳叶刀》2019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市场分析</w:t>
            </w:r>
          </w:p>
        </w:tc>
        <w:tc>
          <w:tcPr>
            <w:tcW w:type="dxa" w:w="362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家用医械 1,982 亿元、线上占比 44.3%</w:t>
            </w:r>
          </w:p>
        </w:tc>
        <w:tc>
          <w:tcPr>
            <w:tcW w:type="dxa" w:w="4025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行业研究机构公开报告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市场分析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支付方 49% / 44% / 7.7%</w:t>
            </w:r>
          </w:p>
        </w:tc>
        <w:tc>
          <w:tcPr>
            <w:tcW w:type="dxa" w:w="402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《2025 中国创新药械多元支付白皮书》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产品与技术</w:t>
            </w:r>
          </w:p>
        </w:tc>
        <w:tc>
          <w:tcPr>
            <w:tcW w:type="dxa" w:w="362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RK3576 平台规格（6 TOPS NPU、5 路 SAI）</w:t>
            </w:r>
          </w:p>
        </w:tc>
        <w:tc>
          <w:tcPr>
            <w:tcW w:type="dxa" w:w="4025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瑞芯微官方产品页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产品与技术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患者端界面结构、记录可信度口径与四张概念图</w:t>
            </w:r>
          </w:p>
        </w:tc>
        <w:tc>
          <w:tcPr>
            <w:tcW w:type="dxa" w:w="402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《息间 · UI 与功能设计方案》V0.2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临床证据</w:t>
            </w:r>
          </w:p>
        </w:tc>
        <w:tc>
          <w:tcPr>
            <w:tcW w:type="dxa" w:w="362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手机咳嗽音检测慢阻肺：外部 AUC 0.94</w:t>
            </w:r>
          </w:p>
        </w:tc>
        <w:tc>
          <w:tcPr>
            <w:tcW w:type="dxa" w:w="4025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Cough Search 研究，NCT06082791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临床证据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咳嗽监测敏感度 90.4%、假阳性 1.03 次/小时</w:t>
            </w:r>
          </w:p>
        </w:tc>
        <w:tc>
          <w:tcPr>
            <w:tcW w:type="dxa" w:w="402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Hyfe 多中心验证，《Scientific Reports》2025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临床证据</w:t>
            </w:r>
          </w:p>
        </w:tc>
        <w:tc>
          <w:tcPr>
            <w:tcW w:type="dxa" w:w="362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主观与客观一致性 κ = 0.30</w:t>
            </w:r>
          </w:p>
        </w:tc>
        <w:tc>
          <w:tcPr>
            <w:tcW w:type="dxa" w:w="4025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Falconer 1993, Pediatr Pulmonol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合规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器械属性与分类判定依据</w:t>
            </w:r>
          </w:p>
        </w:tc>
        <w:tc>
          <w:tcPr>
            <w:tcW w:type="dxa" w:w="402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国家药监局 2021 年第 47 号通告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合规</w:t>
            </w:r>
          </w:p>
        </w:tc>
        <w:tc>
          <w:tcPr>
            <w:tcW w:type="dxa" w:w="362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算法更新与数据使用要求</w:t>
            </w:r>
          </w:p>
        </w:tc>
        <w:tc>
          <w:tcPr>
            <w:tcW w:type="dxa" w:w="4025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器审中心 2022 年第 8 号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合规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敏感个人信息处理要求</w:t>
            </w:r>
          </w:p>
        </w:tc>
        <w:tc>
          <w:tcPr>
            <w:tcW w:type="dxa" w:w="402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《个人信息保护法》第 28、29、31、55、56 条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竞争</w:t>
            </w:r>
          </w:p>
        </w:tc>
        <w:tc>
          <w:tcPr>
            <w:tcW w:type="dxa" w:w="362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ResApp 被辉瑞以 1.79 亿美元收购</w:t>
            </w:r>
          </w:p>
        </w:tc>
        <w:tc>
          <w:tcPr>
            <w:tcW w:type="dxa" w:w="4025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公开报道与公司公告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表 A-1  关键数据及其来源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1F4E79"/>
          <w:sz w:val="30"/>
        </w:rPr>
        <w:t>附录 B  核心术语表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w="9129" w:type="dxa"/>
        <w:tblLayout w:type="fixed"/>
      </w:tblPr>
      <w:tblGrid>
        <w:gridCol w:w="1712"/>
        <w:gridCol w:w="7417"/>
      </w:tblGrid>
      <w:tr>
        <w:trPr>
          <w:tblHeader w:val="true"/>
          <w:cantSplit w:val="true"/>
        </w:trPr>
        <w:tc>
          <w:tcPr>
            <w:tcW w:type="dxa" w:w="1711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术语</w:t>
            </w:r>
          </w:p>
        </w:tc>
        <w:tc>
          <w:tcPr>
            <w:tcW w:type="dxa" w:w="7416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171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COPD</w:t>
            </w:r>
          </w:p>
        </w:tc>
        <w:tc>
          <w:tcPr>
            <w:tcW w:type="dxa" w:w="741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慢性阻塞性肺疾病，以持续气流受限为特征</w:t>
            </w:r>
          </w:p>
        </w:tc>
      </w:tr>
      <w:tr>
        <w:trPr>
          <w:cantSplit w:val="true"/>
        </w:trPr>
        <w:tc>
          <w:tcPr>
            <w:tcW w:type="dxa" w:w="171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SaMD</w:t>
            </w:r>
          </w:p>
        </w:tc>
        <w:tc>
          <w:tcPr>
            <w:tcW w:type="dxa" w:w="7416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作为医疗器械的软件，独立软件形态</w:t>
            </w:r>
          </w:p>
        </w:tc>
      </w:tr>
      <w:tr>
        <w:trPr>
          <w:cantSplit w:val="true"/>
        </w:trPr>
        <w:tc>
          <w:tcPr>
            <w:tcW w:type="dxa" w:w="171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NPU</w:t>
            </w:r>
          </w:p>
        </w:tc>
        <w:tc>
          <w:tcPr>
            <w:tcW w:type="dxa" w:w="741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神经网络处理器，负责 AI 推理加速</w:t>
            </w:r>
          </w:p>
        </w:tc>
      </w:tr>
      <w:tr>
        <w:trPr>
          <w:cantSplit w:val="true"/>
        </w:trPr>
        <w:tc>
          <w:tcPr>
            <w:tcW w:type="dxa" w:w="171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RKNN</w:t>
            </w:r>
          </w:p>
        </w:tc>
        <w:tc>
          <w:tcPr>
            <w:tcW w:type="dxa" w:w="7416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瑞芯微 NPU 的模型格式与工具链体系</w:t>
            </w:r>
          </w:p>
        </w:tc>
      </w:tr>
      <w:tr>
        <w:trPr>
          <w:cantSplit w:val="true"/>
        </w:trPr>
        <w:tc>
          <w:tcPr>
            <w:tcW w:type="dxa" w:w="171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PTQ / QAT</w:t>
            </w:r>
          </w:p>
        </w:tc>
        <w:tc>
          <w:tcPr>
            <w:tcW w:type="dxa" w:w="741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训练后量化与量化感知训练，两种降低模型位宽的方法</w:t>
            </w:r>
          </w:p>
        </w:tc>
      </w:tr>
      <w:tr>
        <w:trPr>
          <w:cantSplit w:val="true"/>
        </w:trPr>
        <w:tc>
          <w:tcPr>
            <w:tcW w:type="dxa" w:w="171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梅尔谱</w:t>
            </w:r>
          </w:p>
        </w:tc>
        <w:tc>
          <w:tcPr>
            <w:tcW w:type="dxa" w:w="7416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符合人耳感知特性的时频表示，声学模型常用输入</w:t>
            </w:r>
          </w:p>
        </w:tc>
      </w:tr>
      <w:tr>
        <w:trPr>
          <w:cantSplit w:val="true"/>
        </w:trPr>
        <w:tc>
          <w:tcPr>
            <w:tcW w:type="dxa" w:w="171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VAD</w:t>
            </w:r>
          </w:p>
        </w:tc>
        <w:tc>
          <w:tcPr>
            <w:tcW w:type="dxa" w:w="741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语音活动检测，用于区分人声与非人声</w:t>
            </w:r>
          </w:p>
        </w:tc>
      </w:tr>
      <w:tr>
        <w:trPr>
          <w:cantSplit w:val="true"/>
        </w:trPr>
        <w:tc>
          <w:tcPr>
            <w:tcW w:type="dxa" w:w="171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喘息（Wheeze）</w:t>
            </w:r>
          </w:p>
        </w:tc>
        <w:tc>
          <w:tcPr>
            <w:tcW w:type="dxa" w:w="7416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气道狭窄产生的持续性高频附加音，哮喘与慢阻肺常见体征</w:t>
            </w:r>
          </w:p>
        </w:tc>
      </w:tr>
      <w:tr>
        <w:trPr>
          <w:cantSplit w:val="true"/>
        </w:trPr>
        <w:tc>
          <w:tcPr>
            <w:tcW w:type="dxa" w:w="171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ICC</w:t>
            </w:r>
          </w:p>
        </w:tc>
        <w:tc>
          <w:tcPr>
            <w:tcW w:type="dxa" w:w="741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组内相关系数，用于一致性评价</w:t>
            </w:r>
          </w:p>
        </w:tc>
      </w:tr>
      <w:tr>
        <w:trPr>
          <w:cantSplit w:val="true"/>
        </w:trPr>
        <w:tc>
          <w:tcPr>
            <w:tcW w:type="dxa" w:w="171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Bland-Altman</w:t>
            </w:r>
          </w:p>
        </w:tc>
        <w:tc>
          <w:tcPr>
            <w:tcW w:type="dxa" w:w="7416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评估两种测量方法一致性的统计方法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表 B-1  核心术语</w:t>
      </w:r>
    </w:p>
    <w:sectPr w:rsidR="00FC693F" w:rsidRPr="0006063C" w:rsidSect="00034616">
      <w:footerReference w:type="default" r:id="rId12"/>
      <w:pgSz w:w="11906" w:h="16838"/>
      <w:pgMar w:top="1361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i w:val="0"/>
        <w:color w:val="595959"/>
        <w:sz w:val="18"/>
      </w:rPr>
      <w:t xml:space="preserve">第 </w:t>
    </w:r>
    <w:fldSimple w:instr="PAGE">
      <w:r>
        <w:rPr>
          <w:rFonts w:ascii="宋体" w:hAnsi="宋体" w:eastAsia="宋体"/>
          <w:sz w:val="18"/>
        </w:rPr>
        <w:t>1</w:t>
      </w:r>
    </w:fldSimple>
    <w:r>
      <w:rPr>
        <w:rFonts w:ascii="宋体" w:hAnsi="宋体" w:eastAsia="宋体" w:cs="宋体"/>
        <w:b w:val="0"/>
        <w:i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300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300" w:lineRule="auto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300" w:lineRule="auto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2E74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