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 w:cs="宋体"/>
          <w:b w:val="0"/>
          <w:i w:val="0"/>
          <w:color w:val="000000"/>
          <w:sz w:val="24"/>
        </w:rPr>
      </w:r>
    </w:p>
    <w:p>
      <w:r>
        <w:rPr>
          <w:rFonts w:ascii="宋体" w:hAnsi="宋体" w:eastAsia="宋体" w:cs="宋体"/>
          <w:b w:val="0"/>
          <w:i w:val="0"/>
          <w:color w:val="000000"/>
          <w:sz w:val="24"/>
        </w:rPr>
      </w:r>
    </w:p>
    <w:p>
      <w:pPr>
        <w:spacing w:after="120"/>
        <w:jc w:val="center"/>
      </w:pPr>
      <w:r>
        <w:rPr>
          <w:rFonts w:ascii="宋体" w:hAnsi="宋体" w:eastAsia="宋体" w:cs="宋体"/>
          <w:b w:val="0"/>
          <w:i w:val="0"/>
          <w:color w:val="595959"/>
          <w:sz w:val="24"/>
        </w:rPr>
        <w:t>挑战杯项目 · 商业计划书撰写指引</w:t>
      </w:r>
    </w:p>
    <w:p>
      <w:pPr>
        <w:spacing w:before="200" w:after="80"/>
        <w:jc w:val="center"/>
      </w:pPr>
      <w:r>
        <w:rPr>
          <w:rFonts w:ascii="宋体" w:hAnsi="宋体" w:eastAsia="宋体" w:cs="宋体"/>
          <w:b/>
          <w:i w:val="0"/>
          <w:color w:val="1F4E79"/>
          <w:sz w:val="44"/>
        </w:rPr>
        <w:t>商业计划书</w:t>
      </w:r>
    </w:p>
    <w:p>
      <w:pPr>
        <w:spacing w:before="0" w:after="80"/>
        <w:jc w:val="center"/>
      </w:pPr>
      <w:r>
        <w:rPr>
          <w:rFonts w:ascii="宋体" w:hAnsi="宋体" w:eastAsia="宋体" w:cs="宋体"/>
          <w:b/>
          <w:i w:val="0"/>
          <w:color w:val="1F4E79"/>
          <w:sz w:val="44"/>
        </w:rPr>
        <w:t>设计纲要</w:t>
      </w:r>
    </w:p>
    <w:p>
      <w:pPr>
        <w:spacing w:after="360"/>
        <w:jc w:val="center"/>
      </w:pPr>
      <w:r>
        <w:rPr>
          <w:rFonts w:ascii="宋体" w:hAnsi="宋体" w:eastAsia="宋体" w:cs="宋体"/>
          <w:b w:val="0"/>
          <w:i w:val="0"/>
          <w:color w:val="2E74B5"/>
          <w:sz w:val="21"/>
        </w:rPr>
        <w:t>框架 · 写作要点 · 图表清单 · 数据来源 · 答辩口径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70" w:type="dxa"/>
          <w:left w:w="120" w:type="dxa"/>
          <w:bottom w:w="70" w:type="dxa"/>
          <w:right w:w="120" w:type="dxa"/>
        </w:tblCellMar>
        <w:tblW w:w="4876" w:type="dxa"/>
        <w:tblLayout w:type="fixed"/>
      </w:tblPr>
      <w:tblGrid>
        <w:gridCol w:w="1474"/>
        <w:gridCol w:w="3402"/>
      </w:tblGrid>
      <w:tr>
        <w:tc>
          <w:tcPr>
            <w:tcW w:type="dxa" w:w="1474"/>
            <w:shd w:val="clear" w:color="auto" w:fill="EDF3F9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1F4E79"/>
                <w:sz w:val="20"/>
              </w:rPr>
              <w:t>配套项目</w:t>
            </w:r>
          </w:p>
        </w:tc>
        <w:tc>
          <w:tcPr>
            <w:tcW w:type="dxa" w:w="3402"/>
          </w:tcPr>
          <w:p>
            <w:pPr>
              <w:spacing w:after="0" w:line="312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居家呼吸声学监测算法与 RK3576 边缘端部署平台</w:t>
            </w:r>
          </w:p>
        </w:tc>
      </w:tr>
      <w:tr>
        <w:tc>
          <w:tcPr>
            <w:tcW w:type="dxa" w:w="1474"/>
            <w:shd w:val="clear" w:color="auto" w:fill="EDF3F9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1F4E79"/>
                <w:sz w:val="20"/>
              </w:rPr>
              <w:t>文档类型</w:t>
            </w:r>
          </w:p>
        </w:tc>
        <w:tc>
          <w:tcPr>
            <w:tcW w:type="dxa" w:w="3402"/>
          </w:tcPr>
          <w:p>
            <w:pPr>
              <w:spacing w:after="0" w:line="312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商业计划书设计纲要（撰写指引）</w:t>
            </w:r>
          </w:p>
        </w:tc>
      </w:tr>
      <w:tr>
        <w:tc>
          <w:tcPr>
            <w:tcW w:type="dxa" w:w="1474"/>
            <w:shd w:val="clear" w:color="auto" w:fill="EDF3F9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1F4E79"/>
                <w:sz w:val="20"/>
              </w:rPr>
              <w:t>配套文件</w:t>
            </w:r>
          </w:p>
        </w:tc>
        <w:tc>
          <w:tcPr>
            <w:tcW w:type="dxa" w:w="3402"/>
          </w:tcPr>
          <w:p>
            <w:pPr>
              <w:spacing w:after="0" w:line="312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《商业计划书样板（简略版）》《项目简介》</w:t>
            </w:r>
          </w:p>
        </w:tc>
      </w:tr>
      <w:tr>
        <w:tc>
          <w:tcPr>
            <w:tcW w:type="dxa" w:w="1474"/>
            <w:shd w:val="clear" w:color="auto" w:fill="EDF3F9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1F4E79"/>
                <w:sz w:val="20"/>
              </w:rPr>
              <w:t>建议篇幅</w:t>
            </w:r>
          </w:p>
        </w:tc>
        <w:tc>
          <w:tcPr>
            <w:tcW w:type="dxa" w:w="3402"/>
          </w:tcPr>
          <w:p>
            <w:pPr>
              <w:spacing w:after="0" w:line="312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正式版 42–46 页，1.2 万–1.8 万字，图表 15–20 张</w:t>
            </w:r>
          </w:p>
        </w:tc>
      </w:tr>
      <w:tr>
        <w:tc>
          <w:tcPr>
            <w:tcW w:type="dxa" w:w="1474"/>
            <w:shd w:val="clear" w:color="auto" w:fill="EDF3F9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1F4E79"/>
                <w:sz w:val="20"/>
              </w:rPr>
              <w:t>团队人数</w:t>
            </w:r>
          </w:p>
        </w:tc>
        <w:tc>
          <w:tcPr>
            <w:tcW w:type="dxa" w:w="3402"/>
          </w:tcPr>
          <w:p>
            <w:pPr>
              <w:spacing w:after="0" w:line="312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8 人</w:t>
            </w:r>
          </w:p>
        </w:tc>
      </w:tr>
      <w:tr>
        <w:tc>
          <w:tcPr>
            <w:tcW w:type="dxa" w:w="1474"/>
            <w:shd w:val="clear" w:color="auto" w:fill="EDF3F9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1F4E79"/>
                <w:sz w:val="20"/>
              </w:rPr>
              <w:t>编制日期</w:t>
            </w:r>
          </w:p>
        </w:tc>
        <w:tc>
          <w:tcPr>
            <w:tcW w:type="dxa" w:w="3402"/>
          </w:tcPr>
          <w:p>
            <w:pPr>
              <w:spacing w:after="0" w:line="312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【待填写：年 月 日】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一、本纲要怎么用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本纲要给出商业计划书的</w:t>
      </w:r>
      <w:r>
        <w:rPr>
          <w:rFonts w:ascii="宋体" w:hAnsi="宋体" w:eastAsia="宋体" w:cs="宋体"/>
          <w:b/>
          <w:i w:val="0"/>
          <w:color w:val="1F4E79"/>
          <w:sz w:val="21"/>
        </w:rPr>
        <w:t>完整框架、每章写作要点、需要准备的图表、数据来源与答辩口径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，配套文件《商业计划书样板（简略版）》示范了实际写法，《项目简介》文档则提供全部论据与数据。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建议用法：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先用本纲要定框架 → 按「内容要点」从《项目简介》取数据填进样板 → 按「图表清单」做图 → 最后按「写作规范」和「自检清单」校对一遍。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全文的写作纪律：</w:t>
      </w:r>
      <w:r>
        <w:rPr>
          <w:rFonts w:ascii="宋体" w:hAnsi="宋体" w:eastAsia="宋体" w:cs="宋体"/>
          <w:b/>
          <w:i w:val="0"/>
          <w:color w:val="1F4E79"/>
          <w:sz w:val="21"/>
        </w:rPr>
        <w:t>每一句结论后面都要有数据或来源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；设计目标与实测结果严格区分；不确定的数据标注「待核实」而不是编造；涉及诊断与疗效的表述保持保守。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二、商业计划书总体框架与页数分配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下表是建议的完整框架。页数分配反映优先级：市场与技术合计占四分之一，因为这两部分是评委与投资人判断「能不能成」的主要依据。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567"/>
        <w:gridCol w:w="2495"/>
        <w:gridCol w:w="1021"/>
        <w:gridCol w:w="5046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章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章节名称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建议页数</w:t>
            </w:r>
          </w:p>
        </w:tc>
        <w:tc>
          <w:tcPr>
            <w:tcW w:type="dxa" w:w="5046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核心任务（用一句话回答）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封面 + 目录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50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项目叫什么、谁做的、这本文档包含什么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一</w:t>
            </w:r>
          </w:p>
        </w:tc>
        <w:tc>
          <w:tcPr>
            <w:tcW w:type="dxa" w:w="24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执行摘要</w:t>
            </w:r>
          </w:p>
        </w:tc>
        <w:tc>
          <w:tcPr>
            <w:tcW w:type="dxa" w:w="102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504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读完这两页，投资人是否愿意继续读下去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二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项目概况与愿景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50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我们要成为一家什么样的公司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三</w:t>
            </w:r>
          </w:p>
        </w:tc>
        <w:tc>
          <w:tcPr>
            <w:tcW w:type="dxa" w:w="24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行业与市场分析</w:t>
            </w:r>
          </w:p>
        </w:tc>
        <w:tc>
          <w:tcPr>
            <w:tcW w:type="dxa" w:w="102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504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这个市场有多大、为什么现在是最好的时机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四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产品与技术方案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50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我们做的是什么、技术上凭什么做得成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五</w:t>
            </w:r>
          </w:p>
        </w:tc>
        <w:tc>
          <w:tcPr>
            <w:tcW w:type="dxa" w:w="24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创新点与竞争壁垒</w:t>
            </w:r>
          </w:p>
        </w:tc>
        <w:tc>
          <w:tcPr>
            <w:tcW w:type="dxa" w:w="102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504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别人为什么抢不走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六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商业模式与盈利路径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50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钱从哪里来、单位经济模型是否成立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七</w:t>
            </w:r>
          </w:p>
        </w:tc>
        <w:tc>
          <w:tcPr>
            <w:tcW w:type="dxa" w:w="24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市场推广与渠道策略</w:t>
            </w:r>
          </w:p>
        </w:tc>
        <w:tc>
          <w:tcPr>
            <w:tcW w:type="dxa" w:w="102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504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怎么找到客户、怎么把产品卖出去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八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运营与实施计划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50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接下来 36 个月具体做什么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九</w:t>
            </w:r>
          </w:p>
        </w:tc>
        <w:tc>
          <w:tcPr>
            <w:tcW w:type="dxa" w:w="24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团队介绍</w:t>
            </w:r>
          </w:p>
        </w:tc>
        <w:tc>
          <w:tcPr>
            <w:tcW w:type="dxa" w:w="102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504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为什么是我们这群人做这件事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十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财务预测与分析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50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三年后的数字长什么样、假设是否站得住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十一</w:t>
            </w:r>
          </w:p>
        </w:tc>
        <w:tc>
          <w:tcPr>
            <w:tcW w:type="dxa" w:w="24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融资计划与资金用途</w:t>
            </w:r>
          </w:p>
        </w:tc>
        <w:tc>
          <w:tcPr>
            <w:tcW w:type="dxa" w:w="102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504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需要多少钱、花在哪、能给投资人什么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十二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风险分析与应对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50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可能死在哪里、我们准备了什么预案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4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附录</w:t>
            </w:r>
          </w:p>
        </w:tc>
        <w:tc>
          <w:tcPr>
            <w:tcW w:type="dxa" w:w="102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3–5</w:t>
            </w:r>
          </w:p>
        </w:tc>
        <w:tc>
          <w:tcPr>
            <w:tcW w:type="dxa" w:w="504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支撑正文的证据、证书、测算过程与团队简历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合计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42–46</w:t>
            </w:r>
          </w:p>
        </w:tc>
        <w:tc>
          <w:tcPr>
            <w:tcW w:type="dxa" w:w="50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2-1  商业计划书章节框架与建议页数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框架设计说明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页数分配的逻辑：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市场（5 页）与技术（6 页）合计占四分之一，因为这是评委与投资人判断「能不能成」的主要依据；团队、融资、风险各控制在 2 页，避免头重脚轻。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若参赛要求压缩到 20 页以内，保留一、三、四、六、十、十一这六章，其余合并进附录。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全篇建议控制在 1.2 万–1.8 万字，图表 15–20 张。图表比文字更能撑住答辩。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三、逐章设计要点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每一章都给出五个要素：核心任务、写作要点、图表清单、数据来源、常见陷阱。其中「常见陷阱」是答辩中真实容易被追问翻车的地方，务必逐条自查。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第一章  执行摘要（2 页）</w:t>
      </w:r>
    </w:p>
    <w:p>
      <w:pPr>
        <w:spacing w:after="60"/>
        <w:ind w:left="113"/>
      </w:pPr>
      <w:r>
        <w:rPr>
          <w:rFonts w:ascii="宋体" w:hAnsi="宋体" w:eastAsia="宋体" w:cs="宋体"/>
          <w:b/>
          <w:i w:val="0"/>
          <w:color w:val="1F4E79"/>
          <w:sz w:val="21"/>
        </w:rPr>
        <w:t>核心任务：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让读者在两页内看懂：解决什么问题、用什么方案、市场多大、商业模式、团队、融资需求。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写作要点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痛点一句话：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我国呼吸慢病患者超 1.5 亿，但院外时段几乎没有客观监测手段，医生只能依据患者回忆调药。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方案一句话：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手机采集 + RK3576 边缘端 AI 推理 + 云端趋势分析 + 三端应用，输出咳嗽频次、夜间咳嗽指数、喘息检出、呼吸率四类客观指标。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技术亮点：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两级级联声学模型量化部署到 6 TOPS NPU，原始音频不出户，离线可用。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市场机会：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家用医疗器械市场 1,982 亿元且线上占比升至 44.3%；药企临床试验终点监测是明确的早期付费方。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商业模式：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硬件销售 + 订阅服务 + 药企临床研究服务 + 院内系统授权四条收入线。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团队亮点：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8 人覆盖算法、嵌入式、硬件、软件、临床与市场，6 个专业方向无缺口。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融资需求：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首轮拟融资【待填写】万元，用于临床验证、注册申报与小批量试产。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图表清单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一张「痛点—方案—价值」三栏对比图（半页）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一张核心指标卡片（4 个数字：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患者数、市场、单价、目标营收）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数据来源与常见陷阱</w:t>
      </w:r>
    </w:p>
    <w:p>
      <w:pPr>
        <w:spacing w:after="40"/>
        <w:ind w:left="425"/>
      </w:pPr>
      <w:r>
        <w:rPr>
          <w:rFonts w:ascii="宋体" w:hAnsi="宋体" w:eastAsia="宋体" w:cs="宋体"/>
          <w:b/>
          <w:i w:val="0"/>
          <w:color w:val="000000"/>
          <w:sz w:val="21"/>
        </w:rPr>
        <w:t>数据来源：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《项目简介》1.1、1.2、1.3、8.1、9.1</w:t>
      </w:r>
    </w:p>
    <w:p>
      <w:pPr>
        <w:spacing w:after="120"/>
        <w:ind w:left="425"/>
      </w:pPr>
      <w:r>
        <w:rPr>
          <w:rFonts w:ascii="宋体" w:hAnsi="宋体" w:eastAsia="宋体" w:cs="宋体"/>
          <w:b/>
          <w:i w:val="0"/>
          <w:color w:val="1F4E79"/>
          <w:sz w:val="21"/>
        </w:rPr>
        <w:t>常见陷阱：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执行摘要不要写成目录的复述，要写成「结论的集合」——每一句都是一个判断。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第二章  项目概况与愿景（2 页）</w:t>
      </w:r>
    </w:p>
    <w:p>
      <w:pPr>
        <w:spacing w:after="60"/>
        <w:ind w:left="113"/>
      </w:pPr>
      <w:r>
        <w:rPr>
          <w:rFonts w:ascii="宋体" w:hAnsi="宋体" w:eastAsia="宋体" w:cs="宋体"/>
          <w:b/>
          <w:i w:val="0"/>
          <w:color w:val="1F4E79"/>
          <w:sz w:val="21"/>
        </w:rPr>
        <w:t>核心任务：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说明公司/项目主体、发展阶段、使命愿景与长期目标。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写作要点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项目主体：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项目名称、所属单位/拟设公司、成立时间、注册地【待填写】。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发展阶段：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当前处于原理样机与算法验证阶段（TRL 4–5），已完成全链路打通与离线评估。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使命：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让呼吸慢病的院外管理从「凭感觉」走向「凭数据」。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三年目标：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成为国内居家呼吸声学监测的算法与边缘部署方案供应商。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五年愿景：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推动声学指标进入呼吸慢病随访与药物临床试验的标准评价体系。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图表清单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一张发展时间轴（当前 → 三年 → 五年）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数据来源与常见陷阱</w:t>
      </w:r>
    </w:p>
    <w:p>
      <w:pPr>
        <w:spacing w:after="40"/>
        <w:ind w:left="425"/>
      </w:pPr>
      <w:r>
        <w:rPr>
          <w:rFonts w:ascii="宋体" w:hAnsi="宋体" w:eastAsia="宋体" w:cs="宋体"/>
          <w:b/>
          <w:i w:val="0"/>
          <w:color w:val="000000"/>
          <w:sz w:val="21"/>
        </w:rPr>
        <w:t>数据来源：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《项目简介》1.4、9.6 里程碑计划</w:t>
      </w:r>
    </w:p>
    <w:p>
      <w:pPr>
        <w:spacing w:after="120"/>
        <w:ind w:left="425"/>
      </w:pPr>
      <w:r>
        <w:rPr>
          <w:rFonts w:ascii="宋体" w:hAnsi="宋体" w:eastAsia="宋体" w:cs="宋体"/>
          <w:b/>
          <w:i w:val="0"/>
          <w:color w:val="1F4E79"/>
          <w:sz w:val="21"/>
        </w:rPr>
        <w:t>常见陷阱：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愿景要具体到可验证的节点，避免「成为行业领导者」这类空话。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第三章  行业与市场分析（5 页）</w:t>
      </w:r>
    </w:p>
    <w:p>
      <w:pPr>
        <w:spacing w:after="60"/>
        <w:ind w:left="113"/>
      </w:pPr>
      <w:r>
        <w:rPr>
          <w:rFonts w:ascii="宋体" w:hAnsi="宋体" w:eastAsia="宋体" w:cs="宋体"/>
          <w:b/>
          <w:i w:val="0"/>
          <w:color w:val="1F4E79"/>
          <w:sz w:val="21"/>
        </w:rPr>
        <w:t>核心任务：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证明这是一个真实、足够大、且窗口期正在打开的市场。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写作要点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患病人群：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成人慢阻肺 9,990 万（20 岁以上患病率 8.6%，40 岁以上 13.7%）、成人哮喘 4,570 万（4.2%）、儿童哮喘超 1,000 万，合计超 1.5 亿。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诊断与管理双重缺口：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哮喘 71.2% 从未被医生诊断、仅 5.6% 接受规范吸入激素治疗；慢阻肺不足 3% 知晓患病、90% 从未获明确诊断、约 60% 无明显症状。这决定了市场不只是「已确诊患者的长期管理」，还包括「症状学早筛与转诊触发」。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为什么必须客观监测：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儿童常年性哮喘连续 7 夜录音研究显示，家长报告 66% 的夜晚有咳嗽、录音实测 90%，一致性 Cohen's κ 仅 0.30；26 例稳定期慢阻肺患者的主观评分与客观咳嗽计数相关系数仅 0.37–0.50。主观描述不能替代客观测量。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夜间症状的临床价值：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94 例成人哮喘、2,212 个夜晚的监测显示 86% 的咳嗽成簇出现、躺下后前 30 分钟咳嗽频次是其余夜间时段的 4.5 倍；另有研究证实夜间咳嗽结合睡眠质量可提前最多 5 天预测急性发作。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市场规模：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慢病管理市场（广义）2024 年约 5.99 万亿元、线上 5,540 亿元；家用医疗器械 2019 年 1,224 亿元 → 2024 年 1,982 亿元，线上占比 25% → 44.3%。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支付方现实：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个人自付 49%、基本医保 44%、商业健康险 7.7%；数字疗法市场仅 8.2 亿元，说明纯软件订阅在国内尚未跑通，必须以硬件为载体收费。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政策窗口：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健康中国行动呼吸专项行动（2024—2030）、十四五医疗装备产业发展规划（明确支持院前家庭健康管理）、医保发〔2020〕45 号（互联网+ 慢病复诊支付）。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图表清单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三类人群患病数量与未诊断比例的对比柱状图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家用医疗器械市场规模与线上占比的双轴图（2019 → 2024 → 2030）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支付方结构饼图（自付 49% / 医保 44% / 商保 7.7%）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数据来源与常见陷阱</w:t>
      </w:r>
    </w:p>
    <w:p>
      <w:pPr>
        <w:spacing w:after="40"/>
        <w:ind w:left="425"/>
      </w:pPr>
      <w:r>
        <w:rPr>
          <w:rFonts w:ascii="宋体" w:hAnsi="宋体" w:eastAsia="宋体" w:cs="宋体"/>
          <w:b/>
          <w:i w:val="0"/>
          <w:color w:val="000000"/>
          <w:sz w:val="21"/>
        </w:rPr>
        <w:t>数据来源：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《项目简介》2.1、7.1、8.1</w:t>
      </w:r>
    </w:p>
    <w:p>
      <w:pPr>
        <w:spacing w:after="120"/>
        <w:ind w:left="425"/>
      </w:pPr>
      <w:r>
        <w:rPr>
          <w:rFonts w:ascii="宋体" w:hAnsi="宋体" w:eastAsia="宋体" w:cs="宋体"/>
          <w:b/>
          <w:i w:val="0"/>
          <w:color w:val="1F4E79"/>
          <w:sz w:val="21"/>
        </w:rPr>
        <w:t>常见陷阱：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不要直接引用口径不清的行业报告数字。5.99 万亿是含药品与诊疗的广义口径，不能当 TAM；应像《项目简介》8.1.2 那样用「目标客户数 × 客单价」自下而上测算可服务市场。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第四章  产品与技术方案（6 页）</w:t>
      </w:r>
    </w:p>
    <w:p>
      <w:pPr>
        <w:spacing w:after="60"/>
        <w:ind w:left="113"/>
      </w:pPr>
      <w:r>
        <w:rPr>
          <w:rFonts w:ascii="宋体" w:hAnsi="宋体" w:eastAsia="宋体" w:cs="宋体"/>
          <w:b/>
          <w:i w:val="0"/>
          <w:color w:val="1F4E79"/>
          <w:sz w:val="21"/>
        </w:rPr>
        <w:t>核心任务：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讲清产品形态、系统架构、算法链路与边缘部署，让懂技术的人认可可行性。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写作要点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产品形态：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床头放置的边缘监测节点（RK3576 核心板 + 音频前端）+ 手机 APP + 医生端工作站；另设 USB/蓝牙拾音配件作为选配。不要求患者佩戴任何设备。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四层架构：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采集层（手机/配件）→ 边缘层（RK3576）→ 云端层（指标与模型平台）→ 应用层（三端）。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算法链路：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音频前端（16 kHz、对数梅尔谱、降噪与归一化）→ 声学事件检测（轻量 CNN 常听门控）→ 事件分类（咳嗽/喘息/说话/噪声）→ 指标估计（呼吸率、咳嗽频次、夜间咳嗽指数）→ 个体化基线与预警。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边缘部署：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PyTorch → ONNX → RKNN-Toolkit2 量化 → RKNN Runtime；以 INT8 为主、敏感层保留 FP16，设定「量化后精度下降超过 2 个百分点即回退」的红线。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选型依据：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RK3576 具备 8 核 CPU、6 TOPS NPU、5 路 SAI 音频接口（合计 7 发 7 收通道）与国产供应链优势，音频接口资源是选择该平台的关键原因。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性能目标：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咳嗽事件 F1 ≥ 0.85、喘息敏感度 ≥ 0.80、呼吸率 MAE ≤ 2 次/分、单窗推理 ≤ 80 ms、整机功耗 ≤ 3.5 W、续航 ≥ 8 小时。</w:t>
      </w:r>
      <w:r>
        <w:rPr>
          <w:rFonts w:ascii="宋体" w:hAnsi="宋体" w:eastAsia="宋体" w:cs="宋体"/>
          <w:b/>
          <w:i w:val="0"/>
          <w:color w:val="1F4E79"/>
          <w:sz w:val="21"/>
        </w:rPr>
        <w:t>须标注为设计目标。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隐私架构：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原始音频不出户，云端仅接收指标与事件标签，事件片段做人声抑制与小于 60 秒切分。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产品命名与界面：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患者端产品名为「息间」，已产出功能方案与四张静态界面概念图（睡前准备、晨间概览、事件回听、复诊报告），视觉限定黑白灰、玻璃质感仅用于主按钮。面向用户时把 RK3576 称为「本地分析设备」，型号与模型版本放在设备详情与报告追溯信息中。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记录可信度设计（差异化加分项）：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主动呈现有效监测时长、记录完整度、采集质量与缺失时段；严格区分「无记录 / 无效数据 / 未检出事件」三种情况；咳嗽同时给出事件数与每有效小时频次，且事件数经过合并去重。这是数据能被医生采信的前提，也是与消费级产品的重要区别。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图表清单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系统四层架构图（直接取用 architecture.png）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算法链路流程图（L0–L4 五级）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边缘端性能指标卡片（延时、功耗、模型体积、F1）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患者端四屏概念图（直接取用 ui_concept_strip.png）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数据来源与常见陷阱</w:t>
      </w:r>
    </w:p>
    <w:p>
      <w:pPr>
        <w:spacing w:after="40"/>
        <w:ind w:left="425"/>
      </w:pPr>
      <w:r>
        <w:rPr>
          <w:rFonts w:ascii="宋体" w:hAnsi="宋体" w:eastAsia="宋体" w:cs="宋体"/>
          <w:b/>
          <w:i w:val="0"/>
          <w:color w:val="000000"/>
          <w:sz w:val="21"/>
        </w:rPr>
        <w:t>数据来源：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《项目简介》第三章、第四章、第五章</w:t>
      </w:r>
    </w:p>
    <w:p>
      <w:pPr>
        <w:spacing w:after="120"/>
        <w:ind w:left="425"/>
      </w:pPr>
      <w:r>
        <w:rPr>
          <w:rFonts w:ascii="宋体" w:hAnsi="宋体" w:eastAsia="宋体" w:cs="宋体"/>
          <w:b/>
          <w:i w:val="0"/>
          <w:color w:val="1F4E79"/>
          <w:sz w:val="21"/>
        </w:rPr>
        <w:t>常见陷阱：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把「设计目标」写成「已实现指标」是答辩最容易被击穿的点。样机实测后请替换为真实数据并注明测试条件。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第五章  创新点与竞争壁垒（4 页）</w:t>
      </w:r>
    </w:p>
    <w:p>
      <w:pPr>
        <w:spacing w:after="60"/>
        <w:ind w:left="113"/>
      </w:pPr>
      <w:r>
        <w:rPr>
          <w:rFonts w:ascii="宋体" w:hAnsi="宋体" w:eastAsia="宋体" w:cs="宋体"/>
          <w:b/>
          <w:i w:val="0"/>
          <w:color w:val="1F4E79"/>
          <w:sz w:val="21"/>
        </w:rPr>
        <w:t>核心任务：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回答「别人为什么抢不走」，并给出与竞品的清晰差异。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写作要点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竞品格局（9 家，7 个维度对比）：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Hyfe AI（美国，手机端侧推理+药企合作）、Strados Labs RESP（已被 Clario 收购，贴片式）、ResApp Health（被辉瑞以 1.79 亿美元收购）、TytoCare（约 299 美元 + 订阅）、山东朗朗「肺音数据处理软件」（鲁械注准 20222210799，二类，适用范围为「供临床参考」，B/S 架构、无居家长期监测产品）、Apple（已获睡眠呼吸暂停 510(k)，尚无咳嗽检测）、华为（肺功能评估被官方承认可能不准确）、瑞思迈、鱼跃医疗（2024 年营收 75.66 亿元）。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差异化一：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独立边缘算力硬件解决「手机机型碎片化导致信号不可比」这一临床终点监测的致命问题，并可同时常驻多个模型。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差异化二：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四维指标融合（咳嗽频次 + 夜间咳嗽指数 + 喘息 + 呼吸率），而竞品多为单一指标；夜间咳嗽指数直接对应指南锚点（PEF 早晚变异率 &gt;13% 预示发作、儿童哮喘行动计划黄色警示区含「咳嗽、胸闷」）。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差异化三：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国产化成本结构，使产品能下沉到基层与家庭，匹配个人自付 49% 的真实支付能力。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壁垒与风险并存（必须如实写）：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数据壁垒【中】——Hyfe 已发布 73.4 万次咳嗽、2,143 名患者、7 国数据集，且其白皮书已占据「端侧隐私」话语权，因此本项目不能把隐私当作独有卖点；渠道壁垒【低】——鱼跃、怡和嘉业已占据家用呼吸渠道，独立建渠道不现实，应定位为算法与方案供应商，与渠道商合作或被集成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图表清单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竞品对比矩阵（9 家 × 7 维，用符号标注有/无）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护城河评估雷达图（数据、成本、隐私合规、国产替代、渠道五项）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四维指标与竞品单指标的能力覆盖对比图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数据来源与常见陷阱</w:t>
      </w:r>
    </w:p>
    <w:p>
      <w:pPr>
        <w:spacing w:after="40"/>
        <w:ind w:left="425"/>
      </w:pPr>
      <w:r>
        <w:rPr>
          <w:rFonts w:ascii="宋体" w:hAnsi="宋体" w:eastAsia="宋体" w:cs="宋体"/>
          <w:b/>
          <w:i w:val="0"/>
          <w:color w:val="000000"/>
          <w:sz w:val="21"/>
        </w:rPr>
        <w:t>数据来源：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《项目简介》第六章、8.2、8.3、8.4</w:t>
      </w:r>
    </w:p>
    <w:p>
      <w:pPr>
        <w:spacing w:after="120"/>
        <w:ind w:left="425"/>
      </w:pPr>
      <w:r>
        <w:rPr>
          <w:rFonts w:ascii="宋体" w:hAnsi="宋体" w:eastAsia="宋体" w:cs="宋体"/>
          <w:b/>
          <w:i w:val="0"/>
          <w:color w:val="1F4E79"/>
          <w:sz w:val="21"/>
        </w:rPr>
        <w:t>常见陷阱：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护城河要敢于写「渠道弱、数据壁垒中等」。评委更信任能识别自身弱点的团队；把弱点写成优势反而会被追问到崩。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第六章  商业模式与盈利路径（4 页）</w:t>
      </w:r>
    </w:p>
    <w:p>
      <w:pPr>
        <w:spacing w:after="60"/>
        <w:ind w:left="113"/>
      </w:pPr>
      <w:r>
        <w:rPr>
          <w:rFonts w:ascii="宋体" w:hAnsi="宋体" w:eastAsia="宋体" w:cs="宋体"/>
          <w:b/>
          <w:i w:val="0"/>
          <w:color w:val="1F4E79"/>
          <w:sz w:val="21"/>
        </w:rPr>
        <w:t>核心任务：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讲清四条收入线、定价逻辑与单位经济模型。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写作要点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收入线一（硬件销售）：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家用版建议 1,299 元/台，机构版 1,999–2,999 元/台；单台 BOM 约 318–510 元。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收入线二（订阅服务）：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个人订阅 299 元/年（基础）、599 元/年（含报告与医生咨询）；参考数字疗法市场仅 8.2 亿元，说明订阅必须绑定硬件，不能单独售卖。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收入线三（药企临床研究服务）：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50–200 万元/项目。这是最确定的早期现金流来源，已有真实先例——勃林格殷格翰特发性肺纤维化咳嗽监测研究（NL-OMON51409）以「咳嗽频次（次/小时），12 周内 4 次 24 小时记录」为主要终点。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收入线四（院内系统与数据服务）：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科室年度服务包 5–20 万元/年。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单位经济：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单台硬件毛利约 439 元（毛利率 34%），加基础订阅后首年单用户综合毛利约 738 元。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成本结构：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硬件约 400 元、包装与认证摊销约 120 元、渠道获客约 260 元、软件与云服务摊销约 80 元。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商业化节奏：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C 端自费起量 → 基层医疗政策驱动放量 → 医院呼吸科（持二类证）→ 药企临床试验终点服务（高价值、中期目标）。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图表清单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收入线结构与启动时间甘特图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单台/单用户单位经济瀑布图（收入 1,299 → 各项成本 → 毛利）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药企临床试验终点服务的价值链示意（药企—CRO—本项目）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数据来源与常见陷阱</w:t>
      </w:r>
    </w:p>
    <w:p>
      <w:pPr>
        <w:spacing w:after="40"/>
        <w:ind w:left="425"/>
      </w:pPr>
      <w:r>
        <w:rPr>
          <w:rFonts w:ascii="宋体" w:hAnsi="宋体" w:eastAsia="宋体" w:cs="宋体"/>
          <w:b/>
          <w:i w:val="0"/>
          <w:color w:val="000000"/>
          <w:sz w:val="21"/>
        </w:rPr>
        <w:t>数据来源：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《项目简介》第八章、9.1–9.5</w:t>
      </w:r>
    </w:p>
    <w:p>
      <w:pPr>
        <w:spacing w:after="120"/>
        <w:ind w:left="425"/>
      </w:pPr>
      <w:r>
        <w:rPr>
          <w:rFonts w:ascii="宋体" w:hAnsi="宋体" w:eastAsia="宋体" w:cs="宋体"/>
          <w:b/>
          <w:i w:val="0"/>
          <w:color w:val="1F4E79"/>
          <w:sz w:val="21"/>
        </w:rPr>
        <w:t>常见陷阱：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定价必须有依据。参考区间：TytoCare 约 299 美元 + 订阅；国产呼吸机数千元；Hyfe、Vitalograph、Strados 均不公开报价。不要编造竞品价格。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第七章  市场推广与渠道策略（3 页）</w:t>
      </w:r>
    </w:p>
    <w:p>
      <w:pPr>
        <w:spacing w:after="60"/>
        <w:ind w:left="113"/>
      </w:pPr>
      <w:r>
        <w:rPr>
          <w:rFonts w:ascii="宋体" w:hAnsi="宋体" w:eastAsia="宋体" w:cs="宋体"/>
          <w:b/>
          <w:i w:val="0"/>
          <w:color w:val="1F4E79"/>
          <w:sz w:val="21"/>
        </w:rPr>
        <w:t>核心任务：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说明获客路径、渠道合作方式与推广节奏。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写作要点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医院呼吸科：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以临床研究合作切入，用数据说服医生，再转化为科室采购；兼具背书作用。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基层医疗与家庭医生：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以筛查与随访工具定位，配合区域慢病管理项目，是规模放量渠道。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药企与 CRO：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以「客观咳嗽终点替代人工日记」的价值主张切入，决策链相对短、单笔金额大。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线上患者社群与新媒体：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以夜间监测价值为内容核心，是 C 端获客主渠道。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渠道合作（重点）：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与鱼跃医疗、可孚等家用器械渠道商合作或被集成，避免自建渠道。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品牌与合规：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所有对外内容避免「诊断/筛查/确诊/预警」表述，统一使用「记录、测量、趋势、提示关注」口径——演示界面文案同样属于宣称。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图表清单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渠道矩阵图（渠道 × 客户 × 切入点 × 预期贡献）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获客成本与转化漏斗示意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数据来源与常见陷阱</w:t>
      </w:r>
    </w:p>
    <w:p>
      <w:pPr>
        <w:spacing w:after="40"/>
        <w:ind w:left="425"/>
      </w:pPr>
      <w:r>
        <w:rPr>
          <w:rFonts w:ascii="宋体" w:hAnsi="宋体" w:eastAsia="宋体" w:cs="宋体"/>
          <w:b/>
          <w:i w:val="0"/>
          <w:color w:val="000000"/>
          <w:sz w:val="21"/>
        </w:rPr>
        <w:t>数据来源：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《项目简介》9.4、8.3、7.5</w:t>
      </w:r>
    </w:p>
    <w:p>
      <w:pPr>
        <w:spacing w:after="120"/>
        <w:ind w:left="425"/>
      </w:pPr>
      <w:r>
        <w:rPr>
          <w:rFonts w:ascii="宋体" w:hAnsi="宋体" w:eastAsia="宋体" w:cs="宋体"/>
          <w:b/>
          <w:i w:val="0"/>
          <w:color w:val="1F4E79"/>
          <w:sz w:val="21"/>
        </w:rPr>
        <w:t>常见陷阱：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不要把「与医院合作」写成已签约。合作意向与已落地协议要分开表述。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第八章  运营与实施计划（3 页）</w:t>
      </w:r>
    </w:p>
    <w:p>
      <w:pPr>
        <w:spacing w:after="60"/>
        <w:ind w:left="113"/>
      </w:pPr>
      <w:r>
        <w:rPr>
          <w:rFonts w:ascii="宋体" w:hAnsi="宋体" w:eastAsia="宋体" w:cs="宋体"/>
          <w:b/>
          <w:i w:val="0"/>
          <w:color w:val="1F4E79"/>
          <w:sz w:val="21"/>
        </w:rPr>
        <w:t>核心任务：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给出 36 个月的可执行里程碑与资源安排。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写作要点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M1（1–6 月）全链路打通：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手机采集—边缘推理—指标上云闭环，离线测试集 F1 ≥ 0.75。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M2（7–12 月）原理样机：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指标达设计目标，连续运行 ≥ 72 小时。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M3（10–14 月）居家小样本验证：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10–30 户实测，家庭环境 F1 ≥ 0.85。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M4（13–24 月）临床一致性研究：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合作医院前瞻性研究，完成入组与数据分析。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M5（18–27 月）注册申报：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按第二类医疗器械路径申报（需先申请分类界定确认）。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M6（24–30 月）小批量试产：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产线定型与首批量产。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M7（25–36 月）商业化放量：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院内渠道 + C 端 + 药企项目，达成第三年营收目标。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供应链：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与多家核心板厂商建立合作、预留替代型号、关键器件保持安全库存。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图表清单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36 个月里程碑甘特图（含负责人与验收标准）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关键路径图（标注注册与临床两个最长路径）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数据来源与常见陷阱</w:t>
      </w:r>
    </w:p>
    <w:p>
      <w:pPr>
        <w:spacing w:after="40"/>
        <w:ind w:left="425"/>
      </w:pPr>
      <w:r>
        <w:rPr>
          <w:rFonts w:ascii="宋体" w:hAnsi="宋体" w:eastAsia="宋体" w:cs="宋体"/>
          <w:b/>
          <w:i w:val="0"/>
          <w:color w:val="000000"/>
          <w:sz w:val="21"/>
        </w:rPr>
        <w:t>数据来源：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《项目简介》9.6、4.1.3、第十章</w:t>
      </w:r>
    </w:p>
    <w:p>
      <w:pPr>
        <w:spacing w:after="120"/>
        <w:ind w:left="425"/>
      </w:pPr>
      <w:r>
        <w:rPr>
          <w:rFonts w:ascii="宋体" w:hAnsi="宋体" w:eastAsia="宋体" w:cs="宋体"/>
          <w:b/>
          <w:i w:val="0"/>
          <w:color w:val="1F4E79"/>
          <w:sz w:val="21"/>
        </w:rPr>
        <w:t>常见陷阱：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里程碑必须带验收标准。「完成算法优化」不是里程碑，「离线测试集 F1 ≥ 0.75」才是。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第九章  团队介绍（2 页）</w:t>
      </w:r>
    </w:p>
    <w:p>
      <w:pPr>
        <w:spacing w:after="60"/>
        <w:ind w:left="113"/>
      </w:pPr>
      <w:r>
        <w:rPr>
          <w:rFonts w:ascii="宋体" w:hAnsi="宋体" w:eastAsia="宋体" w:cs="宋体"/>
          <w:b/>
          <w:i w:val="0"/>
          <w:color w:val="1F4E79"/>
          <w:sz w:val="21"/>
        </w:rPr>
        <w:t>核心任务：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证明团队具备把这件事做成的复合能力，且没有致命的能力缺口。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写作要点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团队构成（8 人）：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项目负责人 1、算法工程师 2、嵌入式工程师 1、软件工程师 1、硬件工程师 1、临床与合规 1、市场与运营 1。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能力覆盖：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音频信号处理、深度学习工程、Linux/NPU 部署、移动端与后端、模拟音频与结构设计、医学与器械法规、市场与财务测算。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指导与顾问资源：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医学顾问（呼吸科）、器械注册顾问【待填写】。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能力缺口的应对：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注册经验与临床资源通过与医院、CRO、注册代理机构合作补足。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团队简历：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每位成员一页简版简历放附录（教育背景、相关项目经历、成果）。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图表清单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组织架构与分工图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能力矩阵图（成员 × 6 项核心能力）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数据来源与常见陷阱</w:t>
      </w:r>
    </w:p>
    <w:p>
      <w:pPr>
        <w:spacing w:after="40"/>
        <w:ind w:left="425"/>
      </w:pPr>
      <w:r>
        <w:rPr>
          <w:rFonts w:ascii="宋体" w:hAnsi="宋体" w:eastAsia="宋体" w:cs="宋体"/>
          <w:b/>
          <w:i w:val="0"/>
          <w:color w:val="000000"/>
          <w:sz w:val="21"/>
        </w:rPr>
        <w:t>数据来源：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《项目简介》附录 C、9.7</w:t>
      </w:r>
    </w:p>
    <w:p>
      <w:pPr>
        <w:spacing w:after="120"/>
        <w:ind w:left="425"/>
      </w:pPr>
      <w:r>
        <w:rPr>
          <w:rFonts w:ascii="宋体" w:hAnsi="宋体" w:eastAsia="宋体" w:cs="宋体"/>
          <w:b/>
          <w:i w:val="0"/>
          <w:color w:val="1F4E79"/>
          <w:sz w:val="21"/>
        </w:rPr>
        <w:t>常见陷阱：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不要列出与项目无关的头衔。评委关注的是「谁负责算法、谁负责注册」。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第十章  财务预测与分析（4 页）</w:t>
      </w:r>
    </w:p>
    <w:p>
      <w:pPr>
        <w:spacing w:after="60"/>
        <w:ind w:left="113"/>
      </w:pPr>
      <w:r>
        <w:rPr>
          <w:rFonts w:ascii="宋体" w:hAnsi="宋体" w:eastAsia="宋体" w:cs="宋体"/>
          <w:b/>
          <w:i w:val="0"/>
          <w:color w:val="1F4E79"/>
          <w:sz w:val="21"/>
        </w:rPr>
        <w:t>核心任务：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用可检验的假设推出三年财务结果，并说明关键假设的敏感性。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写作要点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三年收入：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第 1 年约 33 万元、第 2 年约 370 万元、第 3 年约 1,460 万元（详见《项目简介》9.5）。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销量假设：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边缘节点第 1 年 100 台、第 2 年 2,000 台、第 3 年 8,000 台，前提是第 2 年完成注册并进入院内渠道。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成本假设：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单台成本从 400 元降至 360 元；研发投入 120 / 180 / 260 万元；市场与销售费用 15 / 90 / 280 万元；管理与合规费用 10 / 60 / 120 万元。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利润与现金流：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净利润 -117 / -40 / 512 万元；累计现金流 -117 / -157 / +355 万元，第 1–2 年依赖外部资金支持，第 3 年实现盈利。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敏感性分析：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咳嗽检测 F1 若低于 0.80 需把定位从「量化监测」下调为「变化提示」；订阅续费率从 60% 降至 30% 将使第 3 年订阅收入接近减半；注册每推迟 6 个月，院内收入约推迟一个销售周期。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本量利分析：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给出盈亏平衡点（台数/订阅数），说明第 3 年盈利的临界条件。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图表清单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三年收入结构堆叠柱状图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净利润与累计现金流折线图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敏感性分析龙卷风图（F1、续费率、注册进度、硬件成本四项）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数据来源与常见陷阱</w:t>
      </w:r>
    </w:p>
    <w:p>
      <w:pPr>
        <w:spacing w:after="40"/>
        <w:ind w:left="425"/>
      </w:pPr>
      <w:r>
        <w:rPr>
          <w:rFonts w:ascii="宋体" w:hAnsi="宋体" w:eastAsia="宋体" w:cs="宋体"/>
          <w:b/>
          <w:i w:val="0"/>
          <w:color w:val="000000"/>
          <w:sz w:val="21"/>
        </w:rPr>
        <w:t>数据来源：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《项目简介》9.3、9.5、10.1，附录 B 数据说明</w:t>
      </w:r>
    </w:p>
    <w:p>
      <w:pPr>
        <w:spacing w:after="120"/>
        <w:ind w:left="425"/>
      </w:pPr>
      <w:r>
        <w:rPr>
          <w:rFonts w:ascii="宋体" w:hAnsi="宋体" w:eastAsia="宋体" w:cs="宋体"/>
          <w:b/>
          <w:i w:val="0"/>
          <w:color w:val="1F4E79"/>
          <w:sz w:val="21"/>
        </w:rPr>
        <w:t>常见陷阱：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财务预测必须标注为「基于假设的示意性预测，非承诺性财务数据」。同时给出关键假设，否则数字会被当作编造。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第十一章  融资计划与资金用途（2 页）</w:t>
      </w:r>
    </w:p>
    <w:p>
      <w:pPr>
        <w:spacing w:after="60"/>
        <w:ind w:left="113"/>
      </w:pPr>
      <w:r>
        <w:rPr>
          <w:rFonts w:ascii="宋体" w:hAnsi="宋体" w:eastAsia="宋体" w:cs="宋体"/>
          <w:b/>
          <w:i w:val="0"/>
          <w:color w:val="1F4E79"/>
          <w:sz w:val="21"/>
        </w:rPr>
        <w:t>核心任务：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说明需要多少钱、怎么花、投资人如何退出。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写作要点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融资金额与轮次：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首轮拟融资【待填写】万元，出让【待填写】% 股权，对应投前估值【待填写】万元。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资金用途拆分：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临床验证与注册申报【约 40%】、硬件产线定型与首批备料【约 30%】、算法与嵌入式研发【约 20%】、市场推广与合规【约 10%】。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里程碑式用款：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资金按 M4（临床研究完成）、M5（注册受理）两个节点分期投入。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投资人回报路径：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器械注册证与临床证据形成后，可被家用呼吸器械龙头（如鱼跃、怡和嘉业）或药企战略并购，亦可独立进入院内与药企服务市场。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备选方案：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若注册进度慢于预期，以药企临床研究服务与 C 端硬件收入维持现金流。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图表清单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资金用途饼图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融资里程碑与估值阶梯图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数据来源与常见陷阱</w:t>
      </w:r>
    </w:p>
    <w:p>
      <w:pPr>
        <w:spacing w:after="40"/>
        <w:ind w:left="425"/>
      </w:pPr>
      <w:r>
        <w:rPr>
          <w:rFonts w:ascii="宋体" w:hAnsi="宋体" w:eastAsia="宋体" w:cs="宋体"/>
          <w:b/>
          <w:i w:val="0"/>
          <w:color w:val="000000"/>
          <w:sz w:val="21"/>
        </w:rPr>
        <w:t>数据来源：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《项目简介》9.5、9.6、第十章</w:t>
      </w:r>
    </w:p>
    <w:p>
      <w:pPr>
        <w:spacing w:after="120"/>
        <w:ind w:left="425"/>
      </w:pPr>
      <w:r>
        <w:rPr>
          <w:rFonts w:ascii="宋体" w:hAnsi="宋体" w:eastAsia="宋体" w:cs="宋体"/>
          <w:b/>
          <w:i w:val="0"/>
          <w:color w:val="1F4E79"/>
          <w:sz w:val="21"/>
        </w:rPr>
        <w:t>常见陷阱：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不要承诺具体的回报倍数。给出可验证的里程碑与行业并购先例（ResApp 被辉瑞以 1.79 亿美元收购）即可。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第十二章  风险分析与应对（2 页）</w:t>
      </w:r>
    </w:p>
    <w:p>
      <w:pPr>
        <w:spacing w:after="60"/>
        <w:ind w:left="113"/>
      </w:pPr>
      <w:r>
        <w:rPr>
          <w:rFonts w:ascii="宋体" w:hAnsi="宋体" w:eastAsia="宋体" w:cs="宋体"/>
          <w:b/>
          <w:i w:val="0"/>
          <w:color w:val="1F4E79"/>
          <w:sz w:val="21"/>
        </w:rPr>
        <w:t>核心任务：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主动暴露风险并给出预案，用坦诚换取信任。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写作要点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技术风险（高）：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家庭噪声导致精度不达标，尤其说话声误判为咳嗽 → 两级级联 + 显式负样本训练 + 环境噪声提示，噪声超限时提示而非强行输出指标。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临床风险（高）：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入组慢或结果不及预期 → 先做回顾性研究验证假设，再投入前瞻性研究。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合规风险（高）：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注册周期长于预期导致现金流承压 → 坚持分步合规，健康管理形态与药企服务先行产生收入。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市场风险（中）：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消费电子大厂进入 → 重心放在需要临床证据与注册资质的院内与药企场景。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供应链风险（低）：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核心板供货波动 → 多家厂商合作 + 预留替代型号。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合规特别提示：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算法更新须按指导原则判定是否属重大更新；本项目采用「锁定模型 + 经验证的离线版本升级 + 回滚机制」，不做在线持续学习。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图表清单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风险矩阵图（概率 × 影响，标注四类风险位置）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风险应对措施表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E74B5"/>
          <w:sz w:val="22"/>
        </w:rPr>
        <w:t>数据来源与常见陷阱</w:t>
      </w:r>
    </w:p>
    <w:p>
      <w:pPr>
        <w:spacing w:after="40"/>
        <w:ind w:left="425"/>
      </w:pPr>
      <w:r>
        <w:rPr>
          <w:rFonts w:ascii="宋体" w:hAnsi="宋体" w:eastAsia="宋体" w:cs="宋体"/>
          <w:b/>
          <w:i w:val="0"/>
          <w:color w:val="000000"/>
          <w:sz w:val="21"/>
        </w:rPr>
        <w:t>数据来源：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《项目简介》第十章、7.4、7.5</w:t>
      </w:r>
    </w:p>
    <w:p>
      <w:pPr>
        <w:spacing w:after="120"/>
        <w:ind w:left="425"/>
      </w:pPr>
      <w:r>
        <w:rPr>
          <w:rFonts w:ascii="宋体" w:hAnsi="宋体" w:eastAsia="宋体" w:cs="宋体"/>
          <w:b/>
          <w:i w:val="0"/>
          <w:color w:val="1F4E79"/>
          <w:sz w:val="21"/>
        </w:rPr>
        <w:t>常见陷阱：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风险章不能写成「风险可控」四个字。每一条风险都必须配一个具体动作。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四、附录设计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附录是商业计划书的证据库。正文放判断，附录放证据——这样正文保持简洁，而答辩被追问时能立刻翻到出处。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1141"/>
        <w:gridCol w:w="2536"/>
        <w:gridCol w:w="5452"/>
      </w:tblGrid>
      <w:tr>
        <w:trPr>
          <w:tblHeader w:val="true"/>
          <w:cantSplit w:val="true"/>
        </w:trPr>
        <w:tc>
          <w:tcPr>
            <w:tcW w:type="dxa" w:w="1141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附录</w:t>
            </w:r>
          </w:p>
        </w:tc>
        <w:tc>
          <w:tcPr>
            <w:tcW w:type="dxa" w:w="2535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5451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1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附录 A</w:t>
            </w:r>
          </w:p>
        </w:tc>
        <w:tc>
          <w:tcPr>
            <w:tcW w:type="dxa" w:w="2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临床证据与文献清单</w:t>
            </w:r>
          </w:p>
        </w:tc>
        <w:tc>
          <w:tcPr>
            <w:tcW w:type="dxa" w:w="545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按「流行病学 / 临床证据 / 监管合规 / 数据合规」分组，每条含文献名称、关键数据、期刊年份、DOI 或 PMID</w:t>
            </w:r>
          </w:p>
        </w:tc>
      </w:tr>
      <w:tr>
        <w:trPr>
          <w:cantSplit w:val="true"/>
        </w:trPr>
        <w:tc>
          <w:tcPr>
            <w:tcW w:type="dxa" w:w="114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附录 B</w:t>
            </w:r>
          </w:p>
        </w:tc>
        <w:tc>
          <w:tcPr>
            <w:tcW w:type="dxa" w:w="253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技术验证与测试报告</w:t>
            </w:r>
          </w:p>
        </w:tc>
        <w:tc>
          <w:tcPr>
            <w:tcW w:type="dxa" w:w="545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离线评估结果、板端性能实测（延时分布、功耗曲线）、鲁棒性分层测试结果</w:t>
            </w:r>
          </w:p>
        </w:tc>
      </w:tr>
      <w:tr>
        <w:trPr>
          <w:cantSplit w:val="true"/>
        </w:trPr>
        <w:tc>
          <w:tcPr>
            <w:tcW w:type="dxa" w:w="11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附录 C</w:t>
            </w:r>
          </w:p>
        </w:tc>
        <w:tc>
          <w:tcPr>
            <w:tcW w:type="dxa" w:w="2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专利与知识产权清单</w:t>
            </w:r>
          </w:p>
        </w:tc>
        <w:tc>
          <w:tcPr>
            <w:tcW w:type="dxa" w:w="545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发明专利申请号、软著登记号、商标申请状态</w:t>
            </w:r>
          </w:p>
        </w:tc>
      </w:tr>
      <w:tr>
        <w:trPr>
          <w:cantSplit w:val="true"/>
        </w:trPr>
        <w:tc>
          <w:tcPr>
            <w:tcW w:type="dxa" w:w="114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附录 D</w:t>
            </w:r>
          </w:p>
        </w:tc>
        <w:tc>
          <w:tcPr>
            <w:tcW w:type="dxa" w:w="253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资质与合作证明</w:t>
            </w:r>
          </w:p>
        </w:tc>
        <w:tc>
          <w:tcPr>
            <w:tcW w:type="dxa" w:w="545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伦理批件、合作意向书、检测报告、器械注册受理通知书</w:t>
            </w:r>
          </w:p>
        </w:tc>
      </w:tr>
      <w:tr>
        <w:trPr>
          <w:cantSplit w:val="true"/>
        </w:trPr>
        <w:tc>
          <w:tcPr>
            <w:tcW w:type="dxa" w:w="11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附录 E</w:t>
            </w:r>
          </w:p>
        </w:tc>
        <w:tc>
          <w:tcPr>
            <w:tcW w:type="dxa" w:w="2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财务测算明细</w:t>
            </w:r>
          </w:p>
        </w:tc>
        <w:tc>
          <w:tcPr>
            <w:tcW w:type="dxa" w:w="545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三年预测的完整假设表与计算过程，含本量利分析</w:t>
            </w:r>
          </w:p>
        </w:tc>
      </w:tr>
      <w:tr>
        <w:trPr>
          <w:cantSplit w:val="true"/>
        </w:trPr>
        <w:tc>
          <w:tcPr>
            <w:tcW w:type="dxa" w:w="114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附录 F</w:t>
            </w:r>
          </w:p>
        </w:tc>
        <w:tc>
          <w:tcPr>
            <w:tcW w:type="dxa" w:w="2535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团队简历</w:t>
            </w:r>
          </w:p>
        </w:tc>
        <w:tc>
          <w:tcPr>
            <w:tcW w:type="dxa" w:w="545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每位成员一页：教育背景、相关项目、成果与职责</w:t>
            </w:r>
          </w:p>
        </w:tc>
      </w:tr>
      <w:tr>
        <w:trPr>
          <w:cantSplit w:val="true"/>
        </w:trPr>
        <w:tc>
          <w:tcPr>
            <w:tcW w:type="dxa" w:w="11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附录 G</w:t>
            </w:r>
          </w:p>
        </w:tc>
        <w:tc>
          <w:tcPr>
            <w:tcW w:type="dxa" w:w="2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核心术语表</w:t>
            </w:r>
          </w:p>
        </w:tc>
        <w:tc>
          <w:tcPr>
            <w:tcW w:type="dxa" w:w="545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COPD、SaMD、NPU、RKNN、梅尔谱、VAD、喘息、ICC、Bland-Altman 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4-1  附录结构与内容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五、配套答辩 / 路演 PPT 结构（24 页）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商业计划书与 PPT 是同一套论据的两种呈现。建议先定稿商业计划书，再从中提炼 PPT——这样每一页都有出处，不会出现「PPT 上的数字文档里找不到」的情况。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548"/>
        <w:gridCol w:w="2069"/>
        <w:gridCol w:w="3895"/>
        <w:gridCol w:w="2617"/>
      </w:tblGrid>
      <w:tr>
        <w:trPr>
          <w:tblHeader w:val="true"/>
          <w:cantSplit w:val="true"/>
        </w:trPr>
        <w:tc>
          <w:tcPr>
            <w:tcW w:type="dxa" w:w="548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页</w:t>
            </w:r>
          </w:p>
        </w:tc>
        <w:tc>
          <w:tcPr>
            <w:tcW w:type="dxa" w:w="2069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页面主题</w:t>
            </w:r>
          </w:p>
        </w:tc>
        <w:tc>
          <w:tcPr>
            <w:tcW w:type="dxa" w:w="389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一句话要点</w:t>
            </w:r>
          </w:p>
        </w:tc>
        <w:tc>
          <w:tcPr>
            <w:tcW w:type="dxa" w:w="2617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配图建议</w:t>
            </w:r>
          </w:p>
        </w:tc>
      </w:tr>
      <w:tr>
        <w:trPr>
          <w:cantSplit w:val="true"/>
        </w:trPr>
        <w:tc>
          <w:tcPr>
            <w:tcW w:type="dxa" w:w="5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0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封面</w:t>
            </w:r>
          </w:p>
        </w:tc>
        <w:tc>
          <w:tcPr>
            <w:tcW w:type="dxa" w:w="38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项目名称 + 一句话定位 + 团队与日期</w:t>
            </w:r>
          </w:p>
        </w:tc>
        <w:tc>
          <w:tcPr>
            <w:tcW w:type="dxa" w:w="26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产品实拍图或应用场景图</w:t>
            </w:r>
          </w:p>
        </w:tc>
      </w:tr>
      <w:tr>
        <w:trPr>
          <w:cantSplit w:val="true"/>
        </w:trPr>
        <w:tc>
          <w:tcPr>
            <w:tcW w:type="dxa" w:w="5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06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问题</w:t>
            </w:r>
          </w:p>
        </w:tc>
        <w:tc>
          <w:tcPr>
            <w:tcW w:type="dxa" w:w="38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1.5 亿患者，院外是监测盲区</w:t>
            </w:r>
          </w:p>
        </w:tc>
        <w:tc>
          <w:tcPr>
            <w:tcW w:type="dxa" w:w="261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患者数与未诊断比例柱状图</w:t>
            </w:r>
          </w:p>
        </w:tc>
      </w:tr>
      <w:tr>
        <w:trPr>
          <w:cantSplit w:val="true"/>
        </w:trPr>
        <w:tc>
          <w:tcPr>
            <w:tcW w:type="dxa" w:w="5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0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现有手段的四个痛点</w:t>
            </w:r>
          </w:p>
        </w:tc>
        <w:tc>
          <w:tcPr>
            <w:tcW w:type="dxa" w:w="38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日记不可靠、肺功能不连续、PSG 太贵、听诊太瞬时</w:t>
            </w:r>
          </w:p>
        </w:tc>
        <w:tc>
          <w:tcPr>
            <w:tcW w:type="dxa" w:w="26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四象限对比图</w:t>
            </w:r>
          </w:p>
        </w:tc>
      </w:tr>
      <w:tr>
        <w:trPr>
          <w:cantSplit w:val="true"/>
        </w:trPr>
        <w:tc>
          <w:tcPr>
            <w:tcW w:type="dxa" w:w="5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06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解决方案总览</w:t>
            </w:r>
          </w:p>
        </w:tc>
        <w:tc>
          <w:tcPr>
            <w:tcW w:type="dxa" w:w="38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手机采集 + RK3576 边缘推理 + 云端 + 三端</w:t>
            </w:r>
          </w:p>
        </w:tc>
        <w:tc>
          <w:tcPr>
            <w:tcW w:type="dxa" w:w="261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系统架构图（一页讲清）</w:t>
            </w:r>
          </w:p>
        </w:tc>
      </w:tr>
      <w:tr>
        <w:trPr>
          <w:cantSplit w:val="true"/>
        </w:trPr>
        <w:tc>
          <w:tcPr>
            <w:tcW w:type="dxa" w:w="5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0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产品形态与使用场景</w:t>
            </w:r>
          </w:p>
        </w:tc>
        <w:tc>
          <w:tcPr>
            <w:tcW w:type="dxa" w:w="38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床头放置、零佩戴、整夜连续</w:t>
            </w:r>
          </w:p>
        </w:tc>
        <w:tc>
          <w:tcPr>
            <w:tcW w:type="dxa" w:w="26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产品渲染图 + 卧室场景图</w:t>
            </w:r>
          </w:p>
        </w:tc>
      </w:tr>
      <w:tr>
        <w:trPr>
          <w:cantSplit w:val="true"/>
        </w:trPr>
        <w:tc>
          <w:tcPr>
            <w:tcW w:type="dxa" w:w="5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206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硬件方案</w:t>
            </w:r>
          </w:p>
        </w:tc>
        <w:tc>
          <w:tcPr>
            <w:tcW w:type="dxa" w:w="38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RK3576：6 TOPS NPU + 7 发 7 收音频通道</w:t>
            </w:r>
          </w:p>
        </w:tc>
        <w:tc>
          <w:tcPr>
            <w:tcW w:type="dxa" w:w="261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核心板照片 + 接口框图</w:t>
            </w:r>
          </w:p>
        </w:tc>
      </w:tr>
      <w:tr>
        <w:trPr>
          <w:cantSplit w:val="true"/>
        </w:trPr>
        <w:tc>
          <w:tcPr>
            <w:tcW w:type="dxa" w:w="5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20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算法链路</w:t>
            </w:r>
          </w:p>
        </w:tc>
        <w:tc>
          <w:tcPr>
            <w:tcW w:type="dxa" w:w="38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两级级联：先门控、再分类，兼顾功耗与精度</w:t>
            </w:r>
          </w:p>
        </w:tc>
        <w:tc>
          <w:tcPr>
            <w:tcW w:type="dxa" w:w="26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算法流程图</w:t>
            </w:r>
          </w:p>
        </w:tc>
      </w:tr>
      <w:tr>
        <w:trPr>
          <w:cantSplit w:val="true"/>
        </w:trPr>
        <w:tc>
          <w:tcPr>
            <w:tcW w:type="dxa" w:w="5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06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边缘部署与性能</w:t>
            </w:r>
          </w:p>
        </w:tc>
        <w:tc>
          <w:tcPr>
            <w:tcW w:type="dxa" w:w="38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INT8 量化，单窗 ≤ 80 ms，整机 ≤ 3.5 W</w:t>
            </w:r>
          </w:p>
        </w:tc>
        <w:tc>
          <w:tcPr>
            <w:tcW w:type="dxa" w:w="261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指标卡片 + 延时分布图</w:t>
            </w:r>
          </w:p>
        </w:tc>
      </w:tr>
      <w:tr>
        <w:trPr>
          <w:cantSplit w:val="true"/>
        </w:trPr>
        <w:tc>
          <w:tcPr>
            <w:tcW w:type="dxa" w:w="5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20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核心创新点</w:t>
            </w:r>
          </w:p>
        </w:tc>
        <w:tc>
          <w:tcPr>
            <w:tcW w:type="dxa" w:w="38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四条创新，逐条对应技术或模式</w:t>
            </w:r>
          </w:p>
        </w:tc>
        <w:tc>
          <w:tcPr>
            <w:tcW w:type="dxa" w:w="26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创新点对照表</w:t>
            </w:r>
          </w:p>
        </w:tc>
      </w:tr>
      <w:tr>
        <w:trPr>
          <w:cantSplit w:val="true"/>
        </w:trPr>
        <w:tc>
          <w:tcPr>
            <w:tcW w:type="dxa" w:w="5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206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临床证据</w:t>
            </w:r>
          </w:p>
        </w:tc>
        <w:tc>
          <w:tcPr>
            <w:tcW w:type="dxa" w:w="38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Cough Search 外部 AUC 0.94；Hyfe 敏感度 90.4%</w:t>
            </w:r>
          </w:p>
        </w:tc>
        <w:tc>
          <w:tcPr>
            <w:tcW w:type="dxa" w:w="261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证据表格（带出处）</w:t>
            </w:r>
          </w:p>
        </w:tc>
      </w:tr>
      <w:tr>
        <w:trPr>
          <w:cantSplit w:val="true"/>
        </w:trPr>
        <w:tc>
          <w:tcPr>
            <w:tcW w:type="dxa" w:w="5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20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临床验证方案</w:t>
            </w:r>
          </w:p>
        </w:tc>
        <w:tc>
          <w:tcPr>
            <w:tcW w:type="dxa" w:w="38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阶段 A/B/C，ICC ≥ 0.90，RMSD &lt; 3 次/分</w:t>
            </w:r>
          </w:p>
        </w:tc>
        <w:tc>
          <w:tcPr>
            <w:tcW w:type="dxa" w:w="26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三阶段路线图</w:t>
            </w:r>
          </w:p>
        </w:tc>
      </w:tr>
      <w:tr>
        <w:trPr>
          <w:cantSplit w:val="true"/>
        </w:trPr>
        <w:tc>
          <w:tcPr>
            <w:tcW w:type="dxa" w:w="5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206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合规路径</w:t>
            </w:r>
          </w:p>
        </w:tc>
        <w:tc>
          <w:tcPr>
            <w:tcW w:type="dxa" w:w="38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倾向二类（21-03），需申请分类界定确认</w:t>
            </w:r>
          </w:p>
        </w:tc>
        <w:tc>
          <w:tcPr>
            <w:tcW w:type="dxa" w:w="261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合规路径流程图</w:t>
            </w:r>
          </w:p>
        </w:tc>
      </w:tr>
      <w:tr>
        <w:trPr>
          <w:cantSplit w:val="true"/>
        </w:trPr>
        <w:tc>
          <w:tcPr>
            <w:tcW w:type="dxa" w:w="5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20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市场空间</w:t>
            </w:r>
          </w:p>
        </w:tc>
        <w:tc>
          <w:tcPr>
            <w:tcW w:type="dxa" w:w="38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家用医械 1,982 亿元，线上占比 44.3%</w:t>
            </w:r>
          </w:p>
        </w:tc>
        <w:tc>
          <w:tcPr>
            <w:tcW w:type="dxa" w:w="26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市场规模与线上占比双轴图</w:t>
            </w:r>
          </w:p>
        </w:tc>
      </w:tr>
      <w:tr>
        <w:trPr>
          <w:cantSplit w:val="true"/>
        </w:trPr>
        <w:tc>
          <w:tcPr>
            <w:tcW w:type="dxa" w:w="5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14</w:t>
            </w:r>
          </w:p>
        </w:tc>
        <w:tc>
          <w:tcPr>
            <w:tcW w:type="dxa" w:w="206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政策利好</w:t>
            </w:r>
          </w:p>
        </w:tc>
        <w:tc>
          <w:tcPr>
            <w:tcW w:type="dxa" w:w="38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分级诊疗、互联网+、国产替代三重驱动</w:t>
            </w:r>
          </w:p>
        </w:tc>
        <w:tc>
          <w:tcPr>
            <w:tcW w:type="dxa" w:w="261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政策文件清单</w:t>
            </w:r>
          </w:p>
        </w:tc>
      </w:tr>
      <w:tr>
        <w:trPr>
          <w:cantSplit w:val="true"/>
        </w:trPr>
        <w:tc>
          <w:tcPr>
            <w:tcW w:type="dxa" w:w="5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15</w:t>
            </w:r>
          </w:p>
        </w:tc>
        <w:tc>
          <w:tcPr>
            <w:tcW w:type="dxa" w:w="20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竞品对比</w:t>
            </w:r>
          </w:p>
        </w:tc>
        <w:tc>
          <w:tcPr>
            <w:tcW w:type="dxa" w:w="38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9 家竞品，无直接对标的国产居家方案</w:t>
            </w:r>
          </w:p>
        </w:tc>
        <w:tc>
          <w:tcPr>
            <w:tcW w:type="dxa" w:w="26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竞品矩阵图</w:t>
            </w:r>
          </w:p>
        </w:tc>
      </w:tr>
      <w:tr>
        <w:trPr>
          <w:cantSplit w:val="true"/>
        </w:trPr>
        <w:tc>
          <w:tcPr>
            <w:tcW w:type="dxa" w:w="5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16</w:t>
            </w:r>
          </w:p>
        </w:tc>
        <w:tc>
          <w:tcPr>
            <w:tcW w:type="dxa" w:w="206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差异化与护城河</w:t>
            </w:r>
          </w:p>
        </w:tc>
        <w:tc>
          <w:tcPr>
            <w:tcW w:type="dxa" w:w="38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边缘算力 + 四维指标 + 国产成本</w:t>
            </w:r>
          </w:p>
        </w:tc>
        <w:tc>
          <w:tcPr>
            <w:tcW w:type="dxa" w:w="261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护城河雷达图</w:t>
            </w:r>
          </w:p>
        </w:tc>
      </w:tr>
      <w:tr>
        <w:trPr>
          <w:cantSplit w:val="true"/>
        </w:trPr>
        <w:tc>
          <w:tcPr>
            <w:tcW w:type="dxa" w:w="5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17</w:t>
            </w:r>
          </w:p>
        </w:tc>
        <w:tc>
          <w:tcPr>
            <w:tcW w:type="dxa" w:w="20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商业模式</w:t>
            </w:r>
          </w:p>
        </w:tc>
        <w:tc>
          <w:tcPr>
            <w:tcW w:type="dxa" w:w="38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四条收入线，药企服务是早期现金流</w:t>
            </w:r>
          </w:p>
        </w:tc>
        <w:tc>
          <w:tcPr>
            <w:tcW w:type="dxa" w:w="26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收入结构图</w:t>
            </w:r>
          </w:p>
        </w:tc>
      </w:tr>
      <w:tr>
        <w:trPr>
          <w:cantSplit w:val="true"/>
        </w:trPr>
        <w:tc>
          <w:tcPr>
            <w:tcW w:type="dxa" w:w="5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18</w:t>
            </w:r>
          </w:p>
        </w:tc>
        <w:tc>
          <w:tcPr>
            <w:tcW w:type="dxa" w:w="206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单位经济与定价</w:t>
            </w:r>
          </w:p>
        </w:tc>
        <w:tc>
          <w:tcPr>
            <w:tcW w:type="dxa" w:w="38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单台毛利 439 元，首年单用户综合毛利 738 元</w:t>
            </w:r>
          </w:p>
        </w:tc>
        <w:tc>
          <w:tcPr>
            <w:tcW w:type="dxa" w:w="261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瀑布图</w:t>
            </w:r>
          </w:p>
        </w:tc>
      </w:tr>
      <w:tr>
        <w:trPr>
          <w:cantSplit w:val="true"/>
        </w:trPr>
        <w:tc>
          <w:tcPr>
            <w:tcW w:type="dxa" w:w="5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19</w:t>
            </w:r>
          </w:p>
        </w:tc>
        <w:tc>
          <w:tcPr>
            <w:tcW w:type="dxa" w:w="20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三年财务预测</w:t>
            </w:r>
          </w:p>
        </w:tc>
        <w:tc>
          <w:tcPr>
            <w:tcW w:type="dxa" w:w="38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第 3 年营收约 1,460 万元并实现盈利</w:t>
            </w:r>
          </w:p>
        </w:tc>
        <w:tc>
          <w:tcPr>
            <w:tcW w:type="dxa" w:w="26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收入与净利组合图</w:t>
            </w:r>
          </w:p>
        </w:tc>
      </w:tr>
      <w:tr>
        <w:trPr>
          <w:cantSplit w:val="true"/>
        </w:trPr>
        <w:tc>
          <w:tcPr>
            <w:tcW w:type="dxa" w:w="5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20</w:t>
            </w:r>
          </w:p>
        </w:tc>
        <w:tc>
          <w:tcPr>
            <w:tcW w:type="dxa" w:w="206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里程碑</w:t>
            </w:r>
          </w:p>
        </w:tc>
        <w:tc>
          <w:tcPr>
            <w:tcW w:type="dxa" w:w="38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七个里程碑，带验收标准</w:t>
            </w:r>
          </w:p>
        </w:tc>
        <w:tc>
          <w:tcPr>
            <w:tcW w:type="dxa" w:w="261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甘特图</w:t>
            </w:r>
          </w:p>
        </w:tc>
      </w:tr>
      <w:tr>
        <w:trPr>
          <w:cantSplit w:val="true"/>
        </w:trPr>
        <w:tc>
          <w:tcPr>
            <w:tcW w:type="dxa" w:w="5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21</w:t>
            </w:r>
          </w:p>
        </w:tc>
        <w:tc>
          <w:tcPr>
            <w:tcW w:type="dxa" w:w="20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团队</w:t>
            </w:r>
          </w:p>
        </w:tc>
        <w:tc>
          <w:tcPr>
            <w:tcW w:type="dxa" w:w="38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8 人覆盖 6 个专业方向</w:t>
            </w:r>
          </w:p>
        </w:tc>
        <w:tc>
          <w:tcPr>
            <w:tcW w:type="dxa" w:w="26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组织架构图 + 能力矩阵</w:t>
            </w:r>
          </w:p>
        </w:tc>
      </w:tr>
      <w:tr>
        <w:trPr>
          <w:cantSplit w:val="true"/>
        </w:trPr>
        <w:tc>
          <w:tcPr>
            <w:tcW w:type="dxa" w:w="5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22</w:t>
            </w:r>
          </w:p>
        </w:tc>
        <w:tc>
          <w:tcPr>
            <w:tcW w:type="dxa" w:w="206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风险与应对</w:t>
            </w:r>
          </w:p>
        </w:tc>
        <w:tc>
          <w:tcPr>
            <w:tcW w:type="dxa" w:w="38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每类风险配具体动作</w:t>
            </w:r>
          </w:p>
        </w:tc>
        <w:tc>
          <w:tcPr>
            <w:tcW w:type="dxa" w:w="261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风险矩阵图</w:t>
            </w:r>
          </w:p>
        </w:tc>
      </w:tr>
      <w:tr>
        <w:trPr>
          <w:cantSplit w:val="true"/>
        </w:trPr>
        <w:tc>
          <w:tcPr>
            <w:tcW w:type="dxa" w:w="5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23</w:t>
            </w:r>
          </w:p>
        </w:tc>
        <w:tc>
          <w:tcPr>
            <w:tcW w:type="dxa" w:w="20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融资需求</w:t>
            </w:r>
          </w:p>
        </w:tc>
        <w:tc>
          <w:tcPr>
            <w:tcW w:type="dxa" w:w="38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金额、用途、里程碑式用款</w:t>
            </w:r>
          </w:p>
        </w:tc>
        <w:tc>
          <w:tcPr>
            <w:tcW w:type="dxa" w:w="26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资金用途饼图</w:t>
            </w:r>
          </w:p>
        </w:tc>
      </w:tr>
      <w:tr>
        <w:trPr>
          <w:cantSplit w:val="true"/>
        </w:trPr>
        <w:tc>
          <w:tcPr>
            <w:tcW w:type="dxa" w:w="5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24</w:t>
            </w:r>
          </w:p>
        </w:tc>
        <w:tc>
          <w:tcPr>
            <w:tcW w:type="dxa" w:w="2069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愿景收尾</w:t>
            </w:r>
          </w:p>
        </w:tc>
        <w:tc>
          <w:tcPr>
            <w:tcW w:type="dxa" w:w="389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让每一次咳嗽都被听见</w:t>
            </w:r>
          </w:p>
        </w:tc>
        <w:tc>
          <w:tcPr>
            <w:tcW w:type="dxa" w:w="2617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品牌视觉页 + 联系方式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5-1  答辩 PPT 逐页结构与配图建议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2E74B5"/>
          <w:sz w:val="25"/>
        </w:rPr>
        <w:t>PPT 设计要点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答辩 PPT 与融资 PPT 的区别：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答辩版把「技术实现」与「合规路径」加重，融资版把「市场规模」与「财务预测」加重；模板可共用，删减不同页面即可。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每页只讲一个判断，标题直接写成结论（如「院外是监测盲区」而不是「项目背景」）。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数据页必须标出处，评委常问「这个数字哪来的」。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准备 3 张备用页放在最后：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详细的 RK3576 部署参数、完整的竞品对比表、临床验证样本量计算过程，用于回答追问而不占用正片时间。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六、论据与数据备份清单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答辩现场真正决定成败的，是能不能立刻答出「这个数字哪来的」。下表把全部关键论据、数据、来源与核实状态列在一起，建议打印一份随身带进答辩现场。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1648"/>
        <w:gridCol w:w="3550"/>
        <w:gridCol w:w="2916"/>
        <w:gridCol w:w="1014"/>
      </w:tblGrid>
      <w:tr>
        <w:trPr>
          <w:tblHeader w:val="true"/>
          <w:cantSplit w:val="true"/>
        </w:trPr>
        <w:tc>
          <w:tcPr>
            <w:tcW w:type="dxa" w:w="1648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论据</w:t>
            </w:r>
          </w:p>
        </w:tc>
        <w:tc>
          <w:tcPr>
            <w:tcW w:type="dxa" w:w="3550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关键数据</w:t>
            </w:r>
          </w:p>
        </w:tc>
        <w:tc>
          <w:tcPr>
            <w:tcW w:type="dxa" w:w="2916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来源</w:t>
            </w:r>
          </w:p>
        </w:tc>
        <w:tc>
          <w:tcPr>
            <w:tcW w:type="dxa" w:w="101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6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呼吸慢病人群规模</w:t>
            </w:r>
          </w:p>
        </w:tc>
        <w:tc>
          <w:tcPr>
            <w:tcW w:type="dxa" w:w="35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慢阻肺 9,990 万、哮喘 4,570 万、儿童哮喘超 1,000 万</w:t>
            </w:r>
          </w:p>
        </w:tc>
        <w:tc>
          <w:tcPr>
            <w:tcW w:type="dxa" w:w="29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中国成人肺部健康研究（《柳叶刀》）</w:t>
            </w:r>
          </w:p>
        </w:tc>
        <w:tc>
          <w:tcPr>
            <w:tcW w:type="dxa" w:w="10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诊断缺口</w:t>
            </w:r>
          </w:p>
        </w:tc>
        <w:tc>
          <w:tcPr>
            <w:tcW w:type="dxa" w:w="355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哮喘 71.2% 未诊断、仅 5.6% 规范治疗；慢阻肺 90% 未诊断、不足 3% 知晓</w:t>
            </w:r>
          </w:p>
        </w:tc>
        <w:tc>
          <w:tcPr>
            <w:tcW w:type="dxa" w:w="29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同上</w:t>
            </w:r>
          </w:p>
        </w:tc>
        <w:tc>
          <w:tcPr>
            <w:tcW w:type="dxa" w:w="101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主观描述不可靠</w:t>
            </w:r>
          </w:p>
        </w:tc>
        <w:tc>
          <w:tcPr>
            <w:tcW w:type="dxa" w:w="35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家长报告 66% vs 录音 90%，Cohen's κ = 0.30</w:t>
            </w:r>
          </w:p>
        </w:tc>
        <w:tc>
          <w:tcPr>
            <w:tcW w:type="dxa" w:w="29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Falconer 1993, Pediatr Pulmonol</w:t>
            </w:r>
          </w:p>
        </w:tc>
        <w:tc>
          <w:tcPr>
            <w:tcW w:type="dxa" w:w="10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客观计数的必要性</w:t>
            </w:r>
          </w:p>
        </w:tc>
        <w:tc>
          <w:tcPr>
            <w:tcW w:type="dxa" w:w="355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主观评分与客观咳嗽计数相关 r = 0.37–0.50</w:t>
            </w:r>
          </w:p>
        </w:tc>
        <w:tc>
          <w:tcPr>
            <w:tcW w:type="dxa" w:w="29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Smith 2006, Chest</w:t>
            </w:r>
          </w:p>
        </w:tc>
        <w:tc>
          <w:tcPr>
            <w:tcW w:type="dxa" w:w="101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夜间咳嗽特征</w:t>
            </w:r>
          </w:p>
        </w:tc>
        <w:tc>
          <w:tcPr>
            <w:tcW w:type="dxa" w:w="35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86% 咳嗽成簇；睡前 30 分钟为其余时段 4.5 倍</w:t>
            </w:r>
          </w:p>
        </w:tc>
        <w:tc>
          <w:tcPr>
            <w:tcW w:type="dxa" w:w="29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Rassouli 2020, J Asthma Allergy</w:t>
            </w:r>
          </w:p>
        </w:tc>
        <w:tc>
          <w:tcPr>
            <w:tcW w:type="dxa" w:w="10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夜间咳嗽可预测发作</w:t>
            </w:r>
          </w:p>
        </w:tc>
        <w:tc>
          <w:tcPr>
            <w:tcW w:type="dxa" w:w="355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BAC 71%，可提前最多 5 天</w:t>
            </w:r>
          </w:p>
        </w:tc>
        <w:tc>
          <w:tcPr>
            <w:tcW w:type="dxa" w:w="29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Tinschert 2020, J Asthma Allergy</w:t>
            </w:r>
          </w:p>
        </w:tc>
        <w:tc>
          <w:tcPr>
            <w:tcW w:type="dxa" w:w="101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国内同类研究</w:t>
            </w:r>
          </w:p>
        </w:tc>
        <w:tc>
          <w:tcPr>
            <w:tcW w:type="dxa" w:w="35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手机咳嗽音检测 COPD：外部 AUC 0.94、敏感度 92%、特异度 86%</w:t>
            </w:r>
          </w:p>
        </w:tc>
        <w:tc>
          <w:tcPr>
            <w:tcW w:type="dxa" w:w="29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Cough Search, NCT06082791</w:t>
            </w:r>
          </w:p>
        </w:tc>
        <w:tc>
          <w:tcPr>
            <w:tcW w:type="dxa" w:w="10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咳嗽监测设备性能标杆</w:t>
            </w:r>
          </w:p>
        </w:tc>
        <w:tc>
          <w:tcPr>
            <w:tcW w:type="dxa" w:w="355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敏感度 90.4%、假阳性 1.03 次/小时、r = 0.99</w:t>
            </w:r>
          </w:p>
        </w:tc>
        <w:tc>
          <w:tcPr>
            <w:tcW w:type="dxa" w:w="29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Hyfe 多中心验证, Sci Rep 2025</w:t>
            </w:r>
          </w:p>
        </w:tc>
        <w:tc>
          <w:tcPr>
            <w:tcW w:type="dxa" w:w="101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重测信度标杆</w:t>
            </w:r>
          </w:p>
        </w:tc>
        <w:tc>
          <w:tcPr>
            <w:tcW w:type="dxa" w:w="35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个体内 ICC = 0.9（Leicester Cough Monitor）</w:t>
            </w:r>
          </w:p>
        </w:tc>
        <w:tc>
          <w:tcPr>
            <w:tcW w:type="dxa" w:w="29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Birring 2008, Eur Respir J</w:t>
            </w:r>
          </w:p>
        </w:tc>
        <w:tc>
          <w:tcPr>
            <w:tcW w:type="dxa" w:w="10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呼吸率精度锚点</w:t>
            </w:r>
          </w:p>
        </w:tc>
        <w:tc>
          <w:tcPr>
            <w:tcW w:type="dxa" w:w="355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RMSD &lt; 3 次/分</w:t>
            </w:r>
          </w:p>
        </w:tc>
        <w:tc>
          <w:tcPr>
            <w:tcW w:type="dxa" w:w="29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AcuPebble 验证, J Clin Med 2024</w:t>
            </w:r>
          </w:p>
        </w:tc>
        <w:tc>
          <w:tcPr>
            <w:tcW w:type="dxa" w:w="101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咳嗽终点的监管地位</w:t>
            </w:r>
          </w:p>
        </w:tc>
        <w:tc>
          <w:tcPr>
            <w:tcW w:type="dxa" w:w="35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已用作注册试验主要终点的测量方法；FDA 顾问委员会 12:1 反对其独立支持获批</w:t>
            </w:r>
          </w:p>
        </w:tc>
        <w:tc>
          <w:tcPr>
            <w:tcW w:type="dxa" w:w="29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COUGH-1/COUGH-2；FDA AdComm 2023</w:t>
            </w:r>
          </w:p>
        </w:tc>
        <w:tc>
          <w:tcPr>
            <w:tcW w:type="dxa" w:w="10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药企终点需求</w:t>
            </w:r>
          </w:p>
        </w:tc>
        <w:tc>
          <w:tcPr>
            <w:tcW w:type="dxa" w:w="355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IPF 咳嗽监测研究以咳嗽频次为主要终点</w:t>
            </w:r>
          </w:p>
        </w:tc>
        <w:tc>
          <w:tcPr>
            <w:tcW w:type="dxa" w:w="29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勃林格殷格翰 NL-OMON51409</w:t>
            </w:r>
          </w:p>
        </w:tc>
        <w:tc>
          <w:tcPr>
            <w:tcW w:type="dxa" w:w="101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器械属性判定依据</w:t>
            </w:r>
          </w:p>
        </w:tc>
        <w:tc>
          <w:tcPr>
            <w:tcW w:type="dxa" w:w="35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按预期用途判定；仅测量输出 → 倾向二类（21-03）</w:t>
            </w:r>
          </w:p>
        </w:tc>
        <w:tc>
          <w:tcPr>
            <w:tcW w:type="dxa" w:w="29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国家药监局 2021 年第 47 号通告</w:t>
            </w:r>
          </w:p>
        </w:tc>
        <w:tc>
          <w:tcPr>
            <w:tcW w:type="dxa" w:w="10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算法更新约束</w:t>
            </w:r>
          </w:p>
        </w:tc>
        <w:tc>
          <w:tcPr>
            <w:tcW w:type="dxa" w:w="355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算法驱动型更新通常属重大更新需变更注册；公开库不得作测评数据库</w:t>
            </w:r>
          </w:p>
        </w:tc>
        <w:tc>
          <w:tcPr>
            <w:tcW w:type="dxa" w:w="29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器审中心 2022 年第 8 号</w:t>
            </w:r>
          </w:p>
        </w:tc>
        <w:tc>
          <w:tcPr>
            <w:tcW w:type="dxa" w:w="101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国内注册先例</w:t>
            </w:r>
          </w:p>
        </w:tc>
        <w:tc>
          <w:tcPr>
            <w:tcW w:type="dxa" w:w="35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鲁械注准 20222210799，二类，适用范围「供临床参考」</w:t>
            </w:r>
          </w:p>
        </w:tc>
        <w:tc>
          <w:tcPr>
            <w:tcW w:type="dxa" w:w="29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山东朗朗智能科技</w:t>
            </w:r>
          </w:p>
        </w:tc>
        <w:tc>
          <w:tcPr>
            <w:tcW w:type="dxa" w:w="10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并购估值锚点</w:t>
            </w:r>
          </w:p>
        </w:tc>
        <w:tc>
          <w:tcPr>
            <w:tcW w:type="dxa" w:w="355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ResApp 被辉瑞以 1.79 亿美元收购（2022 年 9 月）</w:t>
            </w:r>
          </w:p>
        </w:tc>
        <w:tc>
          <w:tcPr>
            <w:tcW w:type="dxa" w:w="29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昆士兰大学 / 公开报道</w:t>
            </w:r>
          </w:p>
        </w:tc>
        <w:tc>
          <w:tcPr>
            <w:tcW w:type="dxa" w:w="101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渠道壁垒</w:t>
            </w:r>
          </w:p>
        </w:tc>
        <w:tc>
          <w:tcPr>
            <w:tcW w:type="dxa" w:w="35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鱼跃医疗 2024 年营收 75.66 亿元（呼吸治疗 25.97 亿元）</w:t>
            </w:r>
          </w:p>
        </w:tc>
        <w:tc>
          <w:tcPr>
            <w:tcW w:type="dxa" w:w="29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上市公司年报</w:t>
            </w:r>
          </w:p>
        </w:tc>
        <w:tc>
          <w:tcPr>
            <w:tcW w:type="dxa" w:w="10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市场规模</w:t>
            </w:r>
          </w:p>
        </w:tc>
        <w:tc>
          <w:tcPr>
            <w:tcW w:type="dxa" w:w="355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家用医械 2024 年 1,982 亿元、线上占比 44.3%</w:t>
            </w:r>
          </w:p>
        </w:tc>
        <w:tc>
          <w:tcPr>
            <w:tcW w:type="dxa" w:w="29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行业研究机构</w:t>
            </w:r>
          </w:p>
        </w:tc>
        <w:tc>
          <w:tcPr>
            <w:tcW w:type="dxa" w:w="101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支付方结构</w:t>
            </w:r>
          </w:p>
        </w:tc>
        <w:tc>
          <w:tcPr>
            <w:tcW w:type="dxa" w:w="35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自付 49% / 医保 44% / 商保 7.7%</w:t>
            </w:r>
          </w:p>
        </w:tc>
        <w:tc>
          <w:tcPr>
            <w:tcW w:type="dxa" w:w="29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《2025 中国创新药械多元支付白皮书》</w:t>
            </w:r>
          </w:p>
        </w:tc>
        <w:tc>
          <w:tcPr>
            <w:tcW w:type="dxa" w:w="10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已核实</w:t>
            </w:r>
          </w:p>
        </w:tc>
      </w:tr>
      <w:tr>
        <w:trPr>
          <w:cantSplit w:val="true"/>
        </w:trPr>
        <w:tc>
          <w:tcPr>
            <w:tcW w:type="dxa" w:w="16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竞品定价</w:t>
            </w:r>
          </w:p>
        </w:tc>
        <w:tc>
          <w:tcPr>
            <w:tcW w:type="dxa" w:w="355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TytoCare 约 299 美元 + 订阅；Hyfe 等不公开报价</w:t>
            </w:r>
          </w:p>
        </w:tc>
        <w:tc>
          <w:tcPr>
            <w:tcW w:type="dxa" w:w="29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公开资料</w:t>
            </w:r>
          </w:p>
        </w:tc>
        <w:tc>
          <w:tcPr>
            <w:tcW w:type="dxa" w:w="101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部分待核实</w:t>
            </w:r>
          </w:p>
        </w:tc>
      </w:tr>
      <w:tr>
        <w:trPr>
          <w:cantSplit w:val="true"/>
        </w:trPr>
        <w:tc>
          <w:tcPr>
            <w:tcW w:type="dxa" w:w="16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医院采购客单价</w:t>
            </w:r>
          </w:p>
        </w:tc>
        <w:tc>
          <w:tcPr>
            <w:tcW w:type="dxa" w:w="35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数万元/套（估算）</w:t>
            </w:r>
          </w:p>
        </w:tc>
        <w:tc>
          <w:tcPr>
            <w:tcW w:type="dxa" w:w="29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需实地调研</w:t>
            </w:r>
          </w:p>
        </w:tc>
        <w:tc>
          <w:tcPr>
            <w:tcW w:type="dxa" w:w="10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待核实</w:t>
            </w:r>
          </w:p>
        </w:tc>
      </w:tr>
      <w:tr>
        <w:trPr>
          <w:cantSplit w:val="true"/>
        </w:trPr>
        <w:tc>
          <w:tcPr>
            <w:tcW w:type="dxa" w:w="1648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阶段 B 样本量</w:t>
            </w:r>
          </w:p>
        </w:tc>
        <w:tc>
          <w:tcPr>
            <w:tcW w:type="dxa" w:w="3550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40–50 例（ICC 路径）、≥35 例阳性（二分类路径）</w:t>
            </w:r>
          </w:p>
        </w:tc>
        <w:tc>
          <w:tcPr>
            <w:tcW w:type="dxa" w:w="2916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需统计师最终核定</w:t>
            </w:r>
          </w:p>
        </w:tc>
        <w:tc>
          <w:tcPr>
            <w:tcW w:type="dxa" w:w="101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待核实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6-1  关键论据与数据来源清单（含核实状态）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七、写作规范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数据纪律：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每一个数字都要能指出来源。无法核实的标「待核实」，绝不编造——答辩时被问到一个编造的数字，整份材料的可信度都会崩塌。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区分三类数字：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客观事实（芯片规格、法规条文）、文献报道值（他人研究结果）、本项目目标值（设计目标与预测）。三者绝不能混写。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保守表述：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涉及诊断、疗效、预警的表述主动降级。例如不写「可诊断哮喘」，写「输出客观声学指标供临床参考」。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结论前置：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每段第一句就是判断，后面才是论证。评委平均只读标题。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自下而上测算：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市场规模用「目标客户数 × 客单价」推算，不用口径不清的行业报告总额。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成本与定价必须一致：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单位经济模型里的成本项要与 BOM 表、财务预测表能对上。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风险章必须有动作：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每条风险后面跟一个可执行的具体措施，不能只写「加强管理」。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图表优先：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能用一张图说清的不用三段话。全文图表 15–20 张。</w:t>
      </w:r>
    </w:p>
    <w:p>
      <w:pPr>
        <w:spacing w:after="40" w:line="324" w:lineRule="auto"/>
        <w:ind w:left="425" w:hanging="283"/>
      </w:pPr>
      <w:r>
        <w:rPr>
          <w:rFonts w:ascii="宋体" w:hAnsi="宋体" w:eastAsia="宋体" w:cs="宋体"/>
          <w:b w:val="0"/>
          <w:i w:val="0"/>
          <w:color w:val="2E74B5"/>
          <w:sz w:val="18"/>
        </w:rPr>
        <w:t xml:space="preserve">● </w:t>
      </w:r>
      <w:r>
        <w:rPr>
          <w:rFonts w:ascii="宋体" w:hAnsi="宋体" w:eastAsia="宋体" w:cs="宋体"/>
          <w:b/>
          <w:i w:val="0"/>
          <w:color w:val="000000"/>
          <w:sz w:val="21"/>
        </w:rPr>
        <w:t>版本管理：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每次修改保留版本号与日期，答辩前锁定版本，避免现场材料与讲解不一致。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八、定稿前自检清单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以下 12 项全部打勾后再定稿。任何一项答不上来，都可能在答辩现场被放大。</w:t>
      </w:r>
    </w:p>
    <w:p>
      <w:pPr>
        <w:spacing w:after="40" w:line="324" w:lineRule="auto"/>
        <w:ind w:left="425" w:hanging="425"/>
      </w:pPr>
      <w:r>
        <w:rPr>
          <w:rFonts w:ascii="宋体" w:hAnsi="宋体" w:eastAsia="宋体" w:cs="宋体"/>
          <w:b w:val="0"/>
          <w:i w:val="0"/>
          <w:color w:val="2E74B5"/>
          <w:sz w:val="21"/>
        </w:rPr>
        <w:t xml:space="preserve">□  1.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执行摘要能否在两页内让外行看懂「做什么、给谁、怎么赚钱」？</w:t>
      </w:r>
    </w:p>
    <w:p>
      <w:pPr>
        <w:spacing w:after="40" w:line="324" w:lineRule="auto"/>
        <w:ind w:left="425" w:hanging="425"/>
      </w:pPr>
      <w:r>
        <w:rPr>
          <w:rFonts w:ascii="宋体" w:hAnsi="宋体" w:eastAsia="宋体" w:cs="宋体"/>
          <w:b w:val="0"/>
          <w:i w:val="0"/>
          <w:color w:val="2E74B5"/>
          <w:sz w:val="21"/>
        </w:rPr>
        <w:t xml:space="preserve">□  2.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每个市场规模数字是否都有来源，且区分了广义口径与可服务市场？</w:t>
      </w:r>
    </w:p>
    <w:p>
      <w:pPr>
        <w:spacing w:after="40" w:line="324" w:lineRule="auto"/>
        <w:ind w:left="425" w:hanging="425"/>
      </w:pPr>
      <w:r>
        <w:rPr>
          <w:rFonts w:ascii="宋体" w:hAnsi="宋体" w:eastAsia="宋体" w:cs="宋体"/>
          <w:b w:val="0"/>
          <w:i w:val="0"/>
          <w:color w:val="2E74B5"/>
          <w:sz w:val="21"/>
        </w:rPr>
        <w:t xml:space="preserve">□  3.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技术性能是写了「设计目标」还是冒充「实测结果」？</w:t>
      </w:r>
    </w:p>
    <w:p>
      <w:pPr>
        <w:spacing w:after="40" w:line="324" w:lineRule="auto"/>
        <w:ind w:left="425" w:hanging="425"/>
      </w:pPr>
      <w:r>
        <w:rPr>
          <w:rFonts w:ascii="宋体" w:hAnsi="宋体" w:eastAsia="宋体" w:cs="宋体"/>
          <w:b w:val="0"/>
          <w:i w:val="0"/>
          <w:color w:val="2E74B5"/>
          <w:sz w:val="21"/>
        </w:rPr>
        <w:t xml:space="preserve">□  4.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竞品对比是否覆盖了最强对手（Hyfe、Strados、ResApp、国内肺音 AI、消费电子）？</w:t>
      </w:r>
    </w:p>
    <w:p>
      <w:pPr>
        <w:spacing w:after="40" w:line="324" w:lineRule="auto"/>
        <w:ind w:left="425" w:hanging="425"/>
      </w:pPr>
      <w:r>
        <w:rPr>
          <w:rFonts w:ascii="宋体" w:hAnsi="宋体" w:eastAsia="宋体" w:cs="宋体"/>
          <w:b w:val="0"/>
          <w:i w:val="0"/>
          <w:color w:val="2E74B5"/>
          <w:sz w:val="21"/>
        </w:rPr>
        <w:t xml:space="preserve">□  5.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是否如实写了自身弱点（数据壁垒中等、渠道弱）并给出应对？</w:t>
      </w:r>
    </w:p>
    <w:p>
      <w:pPr>
        <w:spacing w:after="40" w:line="324" w:lineRule="auto"/>
        <w:ind w:left="425" w:hanging="425"/>
      </w:pPr>
      <w:r>
        <w:rPr>
          <w:rFonts w:ascii="宋体" w:hAnsi="宋体" w:eastAsia="宋体" w:cs="宋体"/>
          <w:b w:val="0"/>
          <w:i w:val="0"/>
          <w:color w:val="2E74B5"/>
          <w:sz w:val="21"/>
        </w:rPr>
        <w:t xml:space="preserve">□  6.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合规路径是否写明「需申请分类界定确认」而不是自行认定？</w:t>
      </w:r>
    </w:p>
    <w:p>
      <w:pPr>
        <w:spacing w:after="40" w:line="324" w:lineRule="auto"/>
        <w:ind w:left="425" w:hanging="425"/>
      </w:pPr>
      <w:r>
        <w:rPr>
          <w:rFonts w:ascii="宋体" w:hAnsi="宋体" w:eastAsia="宋体" w:cs="宋体"/>
          <w:b w:val="0"/>
          <w:i w:val="0"/>
          <w:color w:val="2E74B5"/>
          <w:sz w:val="21"/>
        </w:rPr>
        <w:t xml:space="preserve">□  7.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有没有出现「诊断」「筛查」「确诊」等越界宣称？</w:t>
      </w:r>
    </w:p>
    <w:p>
      <w:pPr>
        <w:spacing w:after="40" w:line="324" w:lineRule="auto"/>
        <w:ind w:left="425" w:hanging="425"/>
      </w:pPr>
      <w:r>
        <w:rPr>
          <w:rFonts w:ascii="宋体" w:hAnsi="宋体" w:eastAsia="宋体" w:cs="宋体"/>
          <w:b w:val="0"/>
          <w:i w:val="0"/>
          <w:color w:val="2E74B5"/>
          <w:sz w:val="21"/>
        </w:rPr>
        <w:t xml:space="preserve">□  8.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财务预测是否附了关键假设，并标注为示意性预测？</w:t>
      </w:r>
    </w:p>
    <w:p>
      <w:pPr>
        <w:spacing w:after="40" w:line="324" w:lineRule="auto"/>
        <w:ind w:left="425" w:hanging="425"/>
      </w:pPr>
      <w:r>
        <w:rPr>
          <w:rFonts w:ascii="宋体" w:hAnsi="宋体" w:eastAsia="宋体" w:cs="宋体"/>
          <w:b w:val="0"/>
          <w:i w:val="0"/>
          <w:color w:val="2E74B5"/>
          <w:sz w:val="21"/>
        </w:rPr>
        <w:t xml:space="preserve">□  9.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团队分工是否覆盖算法、嵌入式、注册三个关键角色？</w:t>
      </w:r>
    </w:p>
    <w:p>
      <w:pPr>
        <w:spacing w:after="40" w:line="324" w:lineRule="auto"/>
        <w:ind w:left="425" w:hanging="425"/>
      </w:pPr>
      <w:r>
        <w:rPr>
          <w:rFonts w:ascii="宋体" w:hAnsi="宋体" w:eastAsia="宋体" w:cs="宋体"/>
          <w:b w:val="0"/>
          <w:i w:val="0"/>
          <w:color w:val="2E74B5"/>
          <w:sz w:val="21"/>
        </w:rPr>
        <w:t xml:space="preserve">□ 10.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每条风险是否都配了具体应对动作？</w:t>
      </w:r>
    </w:p>
    <w:p>
      <w:pPr>
        <w:spacing w:after="40" w:line="324" w:lineRule="auto"/>
        <w:ind w:left="425" w:hanging="425"/>
      </w:pPr>
      <w:r>
        <w:rPr>
          <w:rFonts w:ascii="宋体" w:hAnsi="宋体" w:eastAsia="宋体" w:cs="宋体"/>
          <w:b w:val="0"/>
          <w:i w:val="0"/>
          <w:color w:val="2E74B5"/>
          <w:sz w:val="21"/>
        </w:rPr>
        <w:t xml:space="preserve">□ 11.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PPT 每页标题是不是一个结论，而不是一个话题？</w:t>
      </w:r>
    </w:p>
    <w:p>
      <w:pPr>
        <w:spacing w:after="40" w:line="324" w:lineRule="auto"/>
        <w:ind w:left="425" w:hanging="425"/>
      </w:pPr>
      <w:r>
        <w:rPr>
          <w:rFonts w:ascii="宋体" w:hAnsi="宋体" w:eastAsia="宋体" w:cs="宋体"/>
          <w:b w:val="0"/>
          <w:i w:val="0"/>
          <w:color w:val="2E74B5"/>
          <w:sz w:val="21"/>
        </w:rPr>
        <w:t xml:space="preserve">□ 12. </w:t>
      </w:r>
      <w:r>
        <w:rPr>
          <w:rFonts w:ascii="宋体" w:hAnsi="宋体" w:eastAsia="宋体" w:cs="宋体"/>
          <w:b w:val="0"/>
          <w:i w:val="0"/>
          <w:color w:val="000000"/>
          <w:sz w:val="21"/>
        </w:rPr>
        <w:t>所有引用文献是否核对了卷期、页码与在线发表状态？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1F4E79"/>
          <w:sz w:val="30"/>
        </w:rPr>
        <w:t>九、三份文件的分工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w="9129" w:type="dxa"/>
        <w:tblLayout w:type="fixed"/>
      </w:tblPr>
      <w:tblGrid>
        <w:gridCol w:w="3024"/>
        <w:gridCol w:w="3024"/>
        <w:gridCol w:w="3081"/>
      </w:tblGrid>
      <w:tr>
        <w:trPr>
          <w:tblHeader w:val="true"/>
          <w:cantSplit w:val="true"/>
        </w:trPr>
        <w:tc>
          <w:tcPr>
            <w:tcW w:type="dxa" w:w="302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本文档（纲要）</w:t>
            </w:r>
          </w:p>
        </w:tc>
        <w:tc>
          <w:tcPr>
            <w:tcW w:type="dxa" w:w="3024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样板（简略版）</w:t>
            </w:r>
          </w:p>
        </w:tc>
        <w:tc>
          <w:tcPr>
            <w:tcW w:type="dxa" w:w="3081"/>
            <w:shd w:val="clear" w:color="auto" w:fill="1F4E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9"/>
              </w:rPr>
              <w:t>项目简介文档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给出章节框架与写作要点</w:t>
            </w:r>
          </w:p>
        </w:tc>
        <w:tc>
          <w:tcPr>
            <w:tcW w:type="dxa" w:w="302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示范实际写法与篇幅</w:t>
            </w:r>
          </w:p>
        </w:tc>
        <w:tc>
          <w:tcPr>
            <w:tcW w:type="dxa" w:w="30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提供全部论据、数据与来源</w:t>
            </w:r>
          </w:p>
        </w:tc>
      </w:tr>
      <w:tr>
        <w:trPr>
          <w:cantSplit w:val="true"/>
        </w:trPr>
        <w:tc>
          <w:tcPr>
            <w:tcW w:type="dxa" w:w="302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图表清单与配图建议</w:t>
            </w:r>
          </w:p>
        </w:tc>
        <w:tc>
          <w:tcPr>
            <w:tcW w:type="dxa" w:w="3024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含 2 张示意图与核心表格</w:t>
            </w:r>
          </w:p>
        </w:tc>
        <w:tc>
          <w:tcPr>
            <w:tcW w:type="dxa" w:w="3081"/>
            <w:shd w:val="clear" w:color="auto" w:fill="EDF3F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含 39 张表格与 1 张架构图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自检清单与答辩口径</w:t>
            </w:r>
          </w:p>
        </w:tc>
        <w:tc>
          <w:tcPr>
            <w:tcW w:type="dxa" w:w="302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可在此基础上扩写为正式版</w:t>
            </w:r>
          </w:p>
        </w:tc>
        <w:tc>
          <w:tcPr>
            <w:tcW w:type="dxa" w:w="30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支撑商业计划书与 PPT 的数据底座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 w:cs="宋体"/>
          <w:b w:val="0"/>
          <w:i w:val="0"/>
          <w:color w:val="595959"/>
          <w:sz w:val="18"/>
        </w:rPr>
        <w:t>表 9-1  设计纲要、样板与项目简介的分工</w:t>
      </w:r>
    </w:p>
    <w:p>
      <w:pPr>
        <w:spacing w:after="80"/>
        <w:ind w:firstLine="420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建议的写作顺序：先读《项目简介》掌握论据 → 按本纲要搭框架 → 参照《样板（简略版）》的写法扩写为正式版 → 按第八节自检清单校对 → 从定稿的商业计划书提炼 PPT。</w:t>
      </w:r>
    </w:p>
    <w:sectPr w:rsidR="00FC693F" w:rsidRPr="0006063C" w:rsidSect="00034616">
      <w:footerReference w:type="default" r:id="rId9"/>
      <w:pgSz w:w="11906" w:h="16838"/>
      <w:pgMar w:top="1361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i w:val="0"/>
        <w:color w:val="595959"/>
        <w:sz w:val="18"/>
      </w:rPr>
      <w:t xml:space="preserve">第 </w:t>
    </w:r>
    <w:fldSimple w:instr="PAGE">
      <w:r>
        <w:rPr>
          <w:rFonts w:ascii="宋体" w:hAnsi="宋体" w:eastAsia="宋体"/>
          <w:sz w:val="18"/>
        </w:rPr>
        <w:t>1</w:t>
      </w:r>
    </w:fldSimple>
    <w:r>
      <w:rPr>
        <w:rFonts w:ascii="宋体" w:hAnsi="宋体" w:eastAsia="宋体" w:cs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0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300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00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2E74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