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rFonts w:ascii="宋体" w:hAnsi="宋体" w:eastAsia="宋体" w:cs="宋体"/>
          <w:b w:val="0"/>
          <w:i w:val="0"/>
          <w:color w:val="000000"/>
          <w:sz w:val="24"/>
        </w:rPr>
      </w:r>
    </w:p>
    <w:p>
      <w:r>
        <w:rPr>
          <w:rFonts w:ascii="宋体" w:hAnsi="宋体" w:eastAsia="宋体" w:cs="宋体"/>
          <w:b w:val="0"/>
          <w:i w:val="0"/>
          <w:color w:val="000000"/>
          <w:sz w:val="24"/>
        </w:rPr>
      </w:r>
    </w:p>
    <w:p>
      <w:pPr>
        <w:spacing w:after="120"/>
        <w:jc w:val="center"/>
      </w:pPr>
      <w:r>
        <w:rPr>
          <w:rFonts w:ascii="宋体" w:hAnsi="宋体" w:eastAsia="宋体" w:cs="宋体"/>
          <w:b w:val="0"/>
          <w:i w:val="0"/>
          <w:color w:val="595959"/>
          <w:sz w:val="24"/>
        </w:rPr>
        <w:t>中国大学生“挑战杯”系列竞赛</w:t>
      </w:r>
    </w:p>
    <w:p>
      <w:pPr>
        <w:spacing w:after="40"/>
        <w:jc w:val="center"/>
      </w:pPr>
      <w:r>
        <w:rPr>
          <w:rFonts w:ascii="宋体" w:hAnsi="宋体" w:eastAsia="宋体" w:cs="宋体"/>
          <w:b/>
          <w:i w:val="0"/>
          <w:color w:val="1F4E79"/>
          <w:sz w:val="32"/>
        </w:rPr>
        <w:t>参赛项目简介</w:t>
      </w:r>
    </w:p>
    <w:p>
      <w:pPr>
        <w:spacing w:before="200" w:after="80"/>
        <w:jc w:val="center"/>
      </w:pPr>
      <w:r>
        <w:rPr>
          <w:rFonts w:ascii="宋体" w:hAnsi="宋体" w:eastAsia="宋体" w:cs="宋体"/>
          <w:b/>
          <w:i w:val="0"/>
          <w:color w:val="1F4E79"/>
          <w:sz w:val="40"/>
        </w:rPr>
        <w:t>居家呼吸声学监测算法</w:t>
      </w:r>
    </w:p>
    <w:p>
      <w:pPr>
        <w:spacing w:after="160"/>
        <w:jc w:val="center"/>
      </w:pPr>
      <w:r>
        <w:rPr>
          <w:rFonts w:ascii="宋体" w:hAnsi="宋体" w:eastAsia="宋体" w:cs="宋体"/>
          <w:b/>
          <w:i w:val="0"/>
          <w:color w:val="1F4E79"/>
          <w:sz w:val="40"/>
        </w:rPr>
        <w:t>与 RK3576 边缘端部署平台</w:t>
      </w:r>
    </w:p>
    <w:p>
      <w:pPr>
        <w:spacing w:after="80"/>
        <w:jc w:val="center"/>
      </w:pPr>
      <w:r>
        <w:rPr>
          <w:rFonts w:ascii="宋体" w:hAnsi="宋体" w:eastAsia="宋体" w:cs="宋体"/>
          <w:b w:val="0"/>
          <w:i w:val="0"/>
          <w:color w:val="2E74B5"/>
          <w:sz w:val="21"/>
        </w:rPr>
        <w:t>——让每一次咳嗽都被听见，让呼吸慢病管理有据可依</w:t>
      </w:r>
    </w:p>
    <w:p>
      <w:pPr>
        <w:spacing w:before="120" w:after="360"/>
        <w:jc w:val="center"/>
      </w:pPr>
      <w:r>
        <w:rPr>
          <w:rFonts w:ascii="宋体" w:hAnsi="宋体" w:eastAsia="宋体" w:cs="宋体"/>
          <w:b w:val="0"/>
          <w:i w:val="0"/>
          <w:color w:val="595959"/>
          <w:sz w:val="20"/>
        </w:rPr>
        <w:t>面向哮喘 / 慢阻肺 / 儿童喘息的院外长程声学监测与急性加重预警</w:t>
      </w:r>
    </w:p>
    <w:tbl>
      <w:tblPr>
        <w:tblStyle w:val="TableGrid"/>
        <w:jc w:val="center"/>
        <w:tblLook w:firstColumn="1" w:firstRow="1" w:lastColumn="0" w:lastRow="0" w:noHBand="0" w:noVBand="1" w:val="04A0"/>
        <w:tblCellMar>
          <w:top w:w="70" w:type="dxa"/>
          <w:left w:w="120" w:type="dxa"/>
          <w:bottom w:w="70" w:type="dxa"/>
          <w:right w:w="120" w:type="dxa"/>
        </w:tblCellMar>
        <w:tblW w:w="4876" w:type="dxa"/>
        <w:tblLayout w:type="fixed"/>
      </w:tblPr>
      <w:tblGrid>
        <w:gridCol w:w="1474"/>
        <w:gridCol w:w="3402"/>
      </w:tblGrid>
      <w:tr>
        <w:tc>
          <w:tcPr>
            <w:tcW w:type="dxa" w:w="1474"/>
            <w:shd w:val="clear" w:color="auto" w:fill="EDF3F9"/>
          </w:tcPr>
          <w:p>
            <w:pPr>
              <w:spacing w:after="0" w:line="312" w:lineRule="auto"/>
              <w:jc w:val="center"/>
            </w:pPr>
            <w:r/>
            <w:r>
              <w:rPr>
                <w:rFonts w:ascii="宋体" w:hAnsi="宋体" w:eastAsia="宋体" w:cs="宋体"/>
                <w:b/>
                <w:i w:val="0"/>
                <w:color w:val="1F4E79"/>
                <w:sz w:val="20"/>
              </w:rPr>
              <w:t>项目名称</w:t>
            </w:r>
          </w:p>
        </w:tc>
        <w:tc>
          <w:tcPr>
            <w:tcW w:type="dxa" w:w="3402"/>
          </w:tcPr>
          <w:p>
            <w:pPr>
              <w:spacing w:after="0" w:line="312" w:lineRule="auto"/>
            </w:pPr>
            <w:r/>
            <w:r>
              <w:rPr>
                <w:rFonts w:ascii="宋体" w:hAnsi="宋体" w:eastAsia="宋体" w:cs="宋体"/>
                <w:b w:val="0"/>
                <w:i w:val="0"/>
                <w:color w:val="000000"/>
                <w:sz w:val="20"/>
              </w:rPr>
              <w:t>居家呼吸声学监测算法与 RK3576 边缘端部署平台</w:t>
            </w:r>
          </w:p>
        </w:tc>
      </w:tr>
      <w:tr>
        <w:tc>
          <w:tcPr>
            <w:tcW w:type="dxa" w:w="1474"/>
            <w:shd w:val="clear" w:color="auto" w:fill="EDF3F9"/>
          </w:tcPr>
          <w:p>
            <w:pPr>
              <w:spacing w:after="0" w:line="312" w:lineRule="auto"/>
              <w:jc w:val="center"/>
            </w:pPr>
            <w:r/>
            <w:r>
              <w:rPr>
                <w:rFonts w:ascii="宋体" w:hAnsi="宋体" w:eastAsia="宋体" w:cs="宋体"/>
                <w:b/>
                <w:i w:val="0"/>
                <w:color w:val="1F4E79"/>
                <w:sz w:val="20"/>
              </w:rPr>
              <w:t>项目类别</w:t>
            </w:r>
          </w:p>
        </w:tc>
        <w:tc>
          <w:tcPr>
            <w:tcW w:type="dxa" w:w="3402"/>
          </w:tcPr>
          <w:p>
            <w:pPr>
              <w:spacing w:after="0" w:line="312" w:lineRule="auto"/>
            </w:pPr>
            <w:r/>
            <w:r>
              <w:rPr>
                <w:rFonts w:ascii="宋体" w:hAnsi="宋体" w:eastAsia="宋体" w:cs="宋体"/>
                <w:b w:val="0"/>
                <w:i w:val="0"/>
                <w:color w:val="000000"/>
                <w:sz w:val="20"/>
              </w:rPr>
              <w:t>科技发明制作 / 信息技术与人工智能</w:t>
            </w:r>
          </w:p>
        </w:tc>
      </w:tr>
      <w:tr>
        <w:tc>
          <w:tcPr>
            <w:tcW w:type="dxa" w:w="1474"/>
            <w:shd w:val="clear" w:color="auto" w:fill="EDF3F9"/>
          </w:tcPr>
          <w:p>
            <w:pPr>
              <w:spacing w:after="0" w:line="312" w:lineRule="auto"/>
              <w:jc w:val="center"/>
            </w:pPr>
            <w:r/>
            <w:r>
              <w:rPr>
                <w:rFonts w:ascii="宋体" w:hAnsi="宋体" w:eastAsia="宋体" w:cs="宋体"/>
                <w:b/>
                <w:i w:val="0"/>
                <w:color w:val="1F4E79"/>
                <w:sz w:val="20"/>
              </w:rPr>
              <w:t>团队人数</w:t>
            </w:r>
          </w:p>
        </w:tc>
        <w:tc>
          <w:tcPr>
            <w:tcW w:type="dxa" w:w="3402"/>
          </w:tcPr>
          <w:p>
            <w:pPr>
              <w:spacing w:after="0" w:line="312" w:lineRule="auto"/>
            </w:pPr>
            <w:r/>
            <w:r>
              <w:rPr>
                <w:rFonts w:ascii="宋体" w:hAnsi="宋体" w:eastAsia="宋体" w:cs="宋体"/>
                <w:b w:val="0"/>
                <w:i w:val="0"/>
                <w:color w:val="000000"/>
                <w:sz w:val="20"/>
              </w:rPr>
              <w:t>8 人</w:t>
            </w:r>
          </w:p>
        </w:tc>
      </w:tr>
      <w:tr>
        <w:tc>
          <w:tcPr>
            <w:tcW w:type="dxa" w:w="1474"/>
            <w:shd w:val="clear" w:color="auto" w:fill="EDF3F9"/>
          </w:tcPr>
          <w:p>
            <w:pPr>
              <w:spacing w:after="0" w:line="312" w:lineRule="auto"/>
              <w:jc w:val="center"/>
            </w:pPr>
            <w:r/>
            <w:r>
              <w:rPr>
                <w:rFonts w:ascii="宋体" w:hAnsi="宋体" w:eastAsia="宋体" w:cs="宋体"/>
                <w:b/>
                <w:i w:val="0"/>
                <w:color w:val="1F4E79"/>
                <w:sz w:val="20"/>
              </w:rPr>
              <w:t>所属单位</w:t>
            </w:r>
          </w:p>
        </w:tc>
        <w:tc>
          <w:tcPr>
            <w:tcW w:type="dxa" w:w="3402"/>
          </w:tcPr>
          <w:p>
            <w:pPr>
              <w:spacing w:after="0" w:line="312" w:lineRule="auto"/>
            </w:pPr>
            <w:r/>
            <w:r>
              <w:rPr>
                <w:rFonts w:ascii="宋体" w:hAnsi="宋体" w:eastAsia="宋体" w:cs="宋体"/>
                <w:b w:val="0"/>
                <w:i w:val="0"/>
                <w:color w:val="000000"/>
                <w:sz w:val="20"/>
              </w:rPr>
              <w:t>【待填写：学校 / 学院】</w:t>
            </w:r>
          </w:p>
        </w:tc>
      </w:tr>
      <w:tr>
        <w:tc>
          <w:tcPr>
            <w:tcW w:type="dxa" w:w="1474"/>
            <w:shd w:val="clear" w:color="auto" w:fill="EDF3F9"/>
          </w:tcPr>
          <w:p>
            <w:pPr>
              <w:spacing w:after="0" w:line="312" w:lineRule="auto"/>
              <w:jc w:val="center"/>
            </w:pPr>
            <w:r/>
            <w:r>
              <w:rPr>
                <w:rFonts w:ascii="宋体" w:hAnsi="宋体" w:eastAsia="宋体" w:cs="宋体"/>
                <w:b/>
                <w:i w:val="0"/>
                <w:color w:val="1F4E79"/>
                <w:sz w:val="20"/>
              </w:rPr>
              <w:t>指导教师</w:t>
            </w:r>
          </w:p>
        </w:tc>
        <w:tc>
          <w:tcPr>
            <w:tcW w:type="dxa" w:w="3402"/>
          </w:tcPr>
          <w:p>
            <w:pPr>
              <w:spacing w:after="0" w:line="312" w:lineRule="auto"/>
            </w:pPr>
            <w:r/>
            <w:r>
              <w:rPr>
                <w:rFonts w:ascii="宋体" w:hAnsi="宋体" w:eastAsia="宋体" w:cs="宋体"/>
                <w:b w:val="0"/>
                <w:i w:val="0"/>
                <w:color w:val="000000"/>
                <w:sz w:val="20"/>
              </w:rPr>
              <w:t>【待填写：姓名 / 职称】</w:t>
            </w:r>
          </w:p>
        </w:tc>
      </w:tr>
      <w:tr>
        <w:tc>
          <w:tcPr>
            <w:tcW w:type="dxa" w:w="1474"/>
            <w:shd w:val="clear" w:color="auto" w:fill="EDF3F9"/>
          </w:tcPr>
          <w:p>
            <w:pPr>
              <w:spacing w:after="0" w:line="312" w:lineRule="auto"/>
              <w:jc w:val="center"/>
            </w:pPr>
            <w:r/>
            <w:r>
              <w:rPr>
                <w:rFonts w:ascii="宋体" w:hAnsi="宋体" w:eastAsia="宋体" w:cs="宋体"/>
                <w:b/>
                <w:i w:val="0"/>
                <w:color w:val="1F4E79"/>
                <w:sz w:val="20"/>
              </w:rPr>
              <w:t>团队负责人</w:t>
            </w:r>
          </w:p>
        </w:tc>
        <w:tc>
          <w:tcPr>
            <w:tcW w:type="dxa" w:w="3402"/>
          </w:tcPr>
          <w:p>
            <w:pPr>
              <w:spacing w:after="0" w:line="312" w:lineRule="auto"/>
            </w:pPr>
            <w:r/>
            <w:r>
              <w:rPr>
                <w:rFonts w:ascii="宋体" w:hAnsi="宋体" w:eastAsia="宋体" w:cs="宋体"/>
                <w:b w:val="0"/>
                <w:i w:val="0"/>
                <w:color w:val="000000"/>
                <w:sz w:val="20"/>
              </w:rPr>
              <w:t>【待填写：姓名 / 联系方式】</w:t>
            </w:r>
          </w:p>
        </w:tc>
      </w:tr>
      <w:tr>
        <w:tc>
          <w:tcPr>
            <w:tcW w:type="dxa" w:w="1474"/>
            <w:shd w:val="clear" w:color="auto" w:fill="EDF3F9"/>
          </w:tcPr>
          <w:p>
            <w:pPr>
              <w:spacing w:after="0" w:line="312" w:lineRule="auto"/>
              <w:jc w:val="center"/>
            </w:pPr>
            <w:r/>
            <w:r>
              <w:rPr>
                <w:rFonts w:ascii="宋体" w:hAnsi="宋体" w:eastAsia="宋体" w:cs="宋体"/>
                <w:b/>
                <w:i w:val="0"/>
                <w:color w:val="1F4E79"/>
                <w:sz w:val="20"/>
              </w:rPr>
              <w:t>项目阶段</w:t>
            </w:r>
          </w:p>
        </w:tc>
        <w:tc>
          <w:tcPr>
            <w:tcW w:type="dxa" w:w="3402"/>
          </w:tcPr>
          <w:p>
            <w:pPr>
              <w:spacing w:after="0" w:line="312" w:lineRule="auto"/>
            </w:pPr>
            <w:r/>
            <w:r>
              <w:rPr>
                <w:rFonts w:ascii="宋体" w:hAnsi="宋体" w:eastAsia="宋体" w:cs="宋体"/>
                <w:b w:val="0"/>
                <w:i w:val="0"/>
                <w:color w:val="000000"/>
                <w:sz w:val="20"/>
              </w:rPr>
              <w:t>原理样机与算法验证阶段（TRL 4–5）</w:t>
            </w:r>
          </w:p>
        </w:tc>
      </w:tr>
      <w:tr>
        <w:tc>
          <w:tcPr>
            <w:tcW w:type="dxa" w:w="1474"/>
            <w:shd w:val="clear" w:color="auto" w:fill="EDF3F9"/>
          </w:tcPr>
          <w:p>
            <w:pPr>
              <w:spacing w:after="0" w:line="312" w:lineRule="auto"/>
              <w:jc w:val="center"/>
            </w:pPr>
            <w:r/>
            <w:r>
              <w:rPr>
                <w:rFonts w:ascii="宋体" w:hAnsi="宋体" w:eastAsia="宋体" w:cs="宋体"/>
                <w:b/>
                <w:i w:val="0"/>
                <w:color w:val="1F4E79"/>
                <w:sz w:val="20"/>
              </w:rPr>
              <w:t>文档版本</w:t>
            </w:r>
          </w:p>
        </w:tc>
        <w:tc>
          <w:tcPr>
            <w:tcW w:type="dxa" w:w="3402"/>
          </w:tcPr>
          <w:p>
            <w:pPr>
              <w:spacing w:after="0" w:line="312" w:lineRule="auto"/>
            </w:pPr>
            <w:r/>
            <w:r>
              <w:rPr>
                <w:rFonts w:ascii="宋体" w:hAnsi="宋体" w:eastAsia="宋体" w:cs="宋体"/>
                <w:b w:val="0"/>
                <w:i w:val="0"/>
                <w:color w:val="000000"/>
                <w:sz w:val="20"/>
              </w:rPr>
              <w:t>V1.0</w:t>
            </w:r>
          </w:p>
        </w:tc>
      </w:tr>
      <w:tr>
        <w:tc>
          <w:tcPr>
            <w:tcW w:type="dxa" w:w="1474"/>
            <w:shd w:val="clear" w:color="auto" w:fill="EDF3F9"/>
          </w:tcPr>
          <w:p>
            <w:pPr>
              <w:spacing w:after="0" w:line="312" w:lineRule="auto"/>
              <w:jc w:val="center"/>
            </w:pPr>
            <w:r/>
            <w:r>
              <w:rPr>
                <w:rFonts w:ascii="宋体" w:hAnsi="宋体" w:eastAsia="宋体" w:cs="宋体"/>
                <w:b/>
                <w:i w:val="0"/>
                <w:color w:val="1F4E79"/>
                <w:sz w:val="20"/>
              </w:rPr>
              <w:t>编制日期</w:t>
            </w:r>
          </w:p>
        </w:tc>
        <w:tc>
          <w:tcPr>
            <w:tcW w:type="dxa" w:w="3402"/>
          </w:tcPr>
          <w:p>
            <w:pPr>
              <w:spacing w:after="0" w:line="312" w:lineRule="auto"/>
            </w:pPr>
            <w:r/>
            <w:r>
              <w:rPr>
                <w:rFonts w:ascii="宋体" w:hAnsi="宋体" w:eastAsia="宋体" w:cs="宋体"/>
                <w:b w:val="0"/>
                <w:i w:val="0"/>
                <w:color w:val="000000"/>
                <w:sz w:val="20"/>
              </w:rPr>
              <w:t>【待填写：年 月 日】</w:t>
            </w:r>
          </w:p>
        </w:tc>
      </w:tr>
    </w:tbl>
    <w:p>
      <w:r>
        <w:br w:type="page"/>
      </w:r>
    </w:p>
    <w:p>
      <w:pPr>
        <w:pStyle w:val="Heading1"/>
      </w:pPr>
      <w:r>
        <w:rPr>
          <w:rFonts w:ascii="宋体" w:hAnsi="宋体" w:eastAsia="宋体" w:cs="宋体"/>
          <w:b/>
          <w:i w:val="0"/>
          <w:color w:val="1F4E79"/>
          <w:sz w:val="30"/>
        </w:rPr>
        <w:t>文档使用说明：如何从本文档写出商业计划书与 PPT</w:t>
      </w:r>
    </w:p>
    <w:p>
      <w:pPr>
        <w:spacing w:after="80"/>
        <w:ind w:firstLine="420"/>
      </w:pPr>
      <w:r>
        <w:rPr>
          <w:rFonts w:ascii="宋体" w:hAnsi="宋体" w:eastAsia="宋体" w:cs="宋体"/>
          <w:b w:val="0"/>
          <w:i w:val="0"/>
          <w:color w:val="000000"/>
          <w:sz w:val="21"/>
        </w:rPr>
        <w:t>本文档是项目的“总纲式”材料：它同时承载技术方案、临床依据、市场判断、商业模式与合规路径五条主线。读者读完本文档即可独立完成一份完整的商业计划书与一套答辩 PPT，无需再补充背景调研。建议按下面的映射关系使用。</w:t>
      </w:r>
    </w:p>
    <w:p>
      <w:pPr>
        <w:pStyle w:val="Heading2"/>
      </w:pPr>
      <w:r>
        <w:rPr>
          <w:rFonts w:ascii="宋体" w:hAnsi="宋体" w:eastAsia="宋体" w:cs="宋体"/>
          <w:b/>
          <w:i w:val="0"/>
          <w:color w:val="2E74B5"/>
          <w:sz w:val="25"/>
        </w:rPr>
        <w:t>一、商业计划书章节映射</w:t>
      </w:r>
    </w:p>
    <w:tbl>
      <w:tblPr>
        <w:tblStyle w:val="TableGrid"/>
        <w:jc w:val="center"/>
        <w:tblLook w:firstColumn="1" w:firstRow="1" w:lastColumn="0" w:lastRow="0" w:noHBand="0" w:noVBand="1" w:val="04A0"/>
        <w:tblCellMar>
          <w:top w:w="60" w:type="dxa"/>
          <w:left w:w="90" w:type="dxa"/>
          <w:bottom w:w="60" w:type="dxa"/>
          <w:right w:w="90" w:type="dxa"/>
        </w:tblCellMar>
        <w:tblW w:w="9129" w:type="dxa"/>
        <w:tblLayout w:type="fixed"/>
      </w:tblPr>
      <w:tblGrid>
        <w:gridCol w:w="2054"/>
        <w:gridCol w:w="2054"/>
        <w:gridCol w:w="5021"/>
      </w:tblGrid>
      <w:tr>
        <w:trPr>
          <w:tblHeader w:val="true"/>
        </w:trPr>
        <w:tc>
          <w:tcPr>
            <w:tcW w:type="dxa" w:w="2054"/>
            <w:shd w:val="clear" w:color="auto" w:fill="1F4E79"/>
          </w:tcPr>
          <w:p>
            <w:pPr>
              <w:spacing w:after="0" w:line="276" w:lineRule="auto"/>
              <w:jc w:val="center"/>
            </w:pPr>
            <w:r/>
            <w:r>
              <w:rPr>
                <w:rFonts w:ascii="宋体" w:hAnsi="宋体" w:eastAsia="宋体" w:cs="宋体"/>
                <w:b/>
                <w:i w:val="0"/>
                <w:color w:val="FFFFFF"/>
                <w:sz w:val="19"/>
              </w:rPr>
              <w:t>商业计划书章节</w:t>
            </w:r>
          </w:p>
        </w:tc>
        <w:tc>
          <w:tcPr>
            <w:tcW w:type="dxa" w:w="2054"/>
            <w:shd w:val="clear" w:color="auto" w:fill="1F4E79"/>
          </w:tcPr>
          <w:p>
            <w:pPr>
              <w:spacing w:after="0" w:line="276" w:lineRule="auto"/>
              <w:jc w:val="center"/>
            </w:pPr>
            <w:r/>
            <w:r>
              <w:rPr>
                <w:rFonts w:ascii="宋体" w:hAnsi="宋体" w:eastAsia="宋体" w:cs="宋体"/>
                <w:b/>
                <w:i w:val="0"/>
                <w:color w:val="FFFFFF"/>
                <w:sz w:val="19"/>
              </w:rPr>
              <w:t>本文档对应章节</w:t>
            </w:r>
          </w:p>
        </w:tc>
        <w:tc>
          <w:tcPr>
            <w:tcW w:type="dxa" w:w="5020"/>
            <w:shd w:val="clear" w:color="auto" w:fill="1F4E79"/>
          </w:tcPr>
          <w:p>
            <w:pPr>
              <w:spacing w:after="0" w:line="276" w:lineRule="auto"/>
              <w:jc w:val="center"/>
            </w:pPr>
            <w:r/>
            <w:r>
              <w:rPr>
                <w:rFonts w:ascii="宋体" w:hAnsi="宋体" w:eastAsia="宋体" w:cs="宋体"/>
                <w:b/>
                <w:i w:val="0"/>
                <w:color w:val="FFFFFF"/>
                <w:sz w:val="19"/>
              </w:rPr>
              <w:t>可直接改写的内容</w:t>
            </w:r>
          </w:p>
        </w:tc>
      </w:tr>
      <w:tr>
        <w:tc>
          <w:tcPr>
            <w:tcW w:type="dxa" w:w="2054"/>
          </w:tcPr>
          <w:p>
            <w:pPr>
              <w:spacing w:after="0" w:line="276" w:lineRule="auto"/>
            </w:pPr>
            <w:r/>
            <w:r>
              <w:rPr>
                <w:rFonts w:ascii="宋体" w:hAnsi="宋体" w:eastAsia="宋体" w:cs="宋体"/>
                <w:b w:val="0"/>
                <w:i w:val="0"/>
                <w:color w:val="000000"/>
                <w:sz w:val="19"/>
              </w:rPr>
              <w:t>项目概述 / 执行摘要</w:t>
            </w:r>
          </w:p>
        </w:tc>
        <w:tc>
          <w:tcPr>
            <w:tcW w:type="dxa" w:w="2054"/>
          </w:tcPr>
          <w:p>
            <w:pPr>
              <w:spacing w:after="0" w:line="276" w:lineRule="auto"/>
            </w:pPr>
            <w:r/>
            <w:r>
              <w:rPr>
                <w:rFonts w:ascii="宋体" w:hAnsi="宋体" w:eastAsia="宋体" w:cs="宋体"/>
                <w:b w:val="0"/>
                <w:i w:val="0"/>
                <w:color w:val="000000"/>
                <w:sz w:val="19"/>
              </w:rPr>
              <w:t>第一章、第二章</w:t>
            </w:r>
          </w:p>
        </w:tc>
        <w:tc>
          <w:tcPr>
            <w:tcW w:type="dxa" w:w="5020"/>
          </w:tcPr>
          <w:p>
            <w:pPr>
              <w:spacing w:after="0" w:line="276" w:lineRule="auto"/>
            </w:pPr>
            <w:r/>
            <w:r>
              <w:rPr>
                <w:rFonts w:ascii="宋体" w:hAnsi="宋体" w:eastAsia="宋体" w:cs="宋体"/>
                <w:b w:val="0"/>
                <w:i w:val="0"/>
                <w:color w:val="000000"/>
                <w:sz w:val="19"/>
              </w:rPr>
              <w:t>痛点—方案—价值主张，核心指标表可直接作摘要数据来源</w:t>
            </w:r>
          </w:p>
        </w:tc>
      </w:tr>
      <w:tr>
        <w:tc>
          <w:tcPr>
            <w:tcW w:type="dxa" w:w="2054"/>
            <w:shd w:val="clear" w:color="auto" w:fill="EDF3F9"/>
          </w:tcPr>
          <w:p>
            <w:pPr>
              <w:spacing w:after="0" w:line="276" w:lineRule="auto"/>
            </w:pPr>
            <w:r/>
            <w:r>
              <w:rPr>
                <w:rFonts w:ascii="宋体" w:hAnsi="宋体" w:eastAsia="宋体" w:cs="宋体"/>
                <w:b w:val="0"/>
                <w:i w:val="0"/>
                <w:color w:val="000000"/>
                <w:sz w:val="19"/>
              </w:rPr>
              <w:t>行业与市场分析</w:t>
            </w:r>
          </w:p>
        </w:tc>
        <w:tc>
          <w:tcPr>
            <w:tcW w:type="dxa" w:w="2054"/>
            <w:shd w:val="clear" w:color="auto" w:fill="EDF3F9"/>
          </w:tcPr>
          <w:p>
            <w:pPr>
              <w:spacing w:after="0" w:line="276" w:lineRule="auto"/>
            </w:pPr>
            <w:r/>
            <w:r>
              <w:rPr>
                <w:rFonts w:ascii="宋体" w:hAnsi="宋体" w:eastAsia="宋体" w:cs="宋体"/>
                <w:b w:val="0"/>
                <w:i w:val="0"/>
                <w:color w:val="000000"/>
                <w:sz w:val="19"/>
              </w:rPr>
              <w:t>第七章 7.1</w:t>
            </w:r>
          </w:p>
        </w:tc>
        <w:tc>
          <w:tcPr>
            <w:tcW w:type="dxa" w:w="5020"/>
            <w:shd w:val="clear" w:color="auto" w:fill="EDF3F9"/>
          </w:tcPr>
          <w:p>
            <w:pPr>
              <w:spacing w:after="0" w:line="276" w:lineRule="auto"/>
            </w:pPr>
            <w:r/>
            <w:r>
              <w:rPr>
                <w:rFonts w:ascii="宋体" w:hAnsi="宋体" w:eastAsia="宋体" w:cs="宋体"/>
                <w:b w:val="0"/>
                <w:i w:val="0"/>
                <w:color w:val="000000"/>
                <w:sz w:val="19"/>
              </w:rPr>
              <w:t>流行病学数据、市场规模、政策环境</w:t>
            </w:r>
          </w:p>
        </w:tc>
      </w:tr>
      <w:tr>
        <w:tc>
          <w:tcPr>
            <w:tcW w:type="dxa" w:w="2054"/>
          </w:tcPr>
          <w:p>
            <w:pPr>
              <w:spacing w:after="0" w:line="276" w:lineRule="auto"/>
            </w:pPr>
            <w:r/>
            <w:r>
              <w:rPr>
                <w:rFonts w:ascii="宋体" w:hAnsi="宋体" w:eastAsia="宋体" w:cs="宋体"/>
                <w:b w:val="0"/>
                <w:i w:val="0"/>
                <w:color w:val="000000"/>
                <w:sz w:val="19"/>
              </w:rPr>
              <w:t>产品与技术</w:t>
            </w:r>
          </w:p>
        </w:tc>
        <w:tc>
          <w:tcPr>
            <w:tcW w:type="dxa" w:w="2054"/>
          </w:tcPr>
          <w:p>
            <w:pPr>
              <w:spacing w:after="0" w:line="276" w:lineRule="auto"/>
            </w:pPr>
            <w:r/>
            <w:r>
              <w:rPr>
                <w:rFonts w:ascii="宋体" w:hAnsi="宋体" w:eastAsia="宋体" w:cs="宋体"/>
                <w:b w:val="0"/>
                <w:i w:val="0"/>
                <w:color w:val="000000"/>
                <w:sz w:val="19"/>
              </w:rPr>
              <w:t>第四章、第五章</w:t>
            </w:r>
          </w:p>
        </w:tc>
        <w:tc>
          <w:tcPr>
            <w:tcW w:type="dxa" w:w="5020"/>
          </w:tcPr>
          <w:p>
            <w:pPr>
              <w:spacing w:after="0" w:line="276" w:lineRule="auto"/>
            </w:pPr>
            <w:r/>
            <w:r>
              <w:rPr>
                <w:rFonts w:ascii="宋体" w:hAnsi="宋体" w:eastAsia="宋体" w:cs="宋体"/>
                <w:b w:val="0"/>
                <w:i w:val="0"/>
                <w:color w:val="000000"/>
                <w:sz w:val="19"/>
              </w:rPr>
              <w:t>四层架构、算法链路、RK3576 部署与量化指标、创新点</w:t>
            </w:r>
          </w:p>
        </w:tc>
      </w:tr>
      <w:tr>
        <w:tc>
          <w:tcPr>
            <w:tcW w:type="dxa" w:w="2054"/>
            <w:shd w:val="clear" w:color="auto" w:fill="EDF3F9"/>
          </w:tcPr>
          <w:p>
            <w:pPr>
              <w:spacing w:after="0" w:line="276" w:lineRule="auto"/>
            </w:pPr>
            <w:r/>
            <w:r>
              <w:rPr>
                <w:rFonts w:ascii="宋体" w:hAnsi="宋体" w:eastAsia="宋体" w:cs="宋体"/>
                <w:b w:val="0"/>
                <w:i w:val="0"/>
                <w:color w:val="000000"/>
                <w:sz w:val="19"/>
              </w:rPr>
              <w:t>竞争分析</w:t>
            </w:r>
          </w:p>
        </w:tc>
        <w:tc>
          <w:tcPr>
            <w:tcW w:type="dxa" w:w="2054"/>
            <w:shd w:val="clear" w:color="auto" w:fill="EDF3F9"/>
          </w:tcPr>
          <w:p>
            <w:pPr>
              <w:spacing w:after="0" w:line="276" w:lineRule="auto"/>
            </w:pPr>
            <w:r/>
            <w:r>
              <w:rPr>
                <w:rFonts w:ascii="宋体" w:hAnsi="宋体" w:eastAsia="宋体" w:cs="宋体"/>
                <w:b w:val="0"/>
                <w:i w:val="0"/>
                <w:color w:val="000000"/>
                <w:sz w:val="19"/>
              </w:rPr>
              <w:t>第七章 7.2、7.3</w:t>
            </w:r>
          </w:p>
        </w:tc>
        <w:tc>
          <w:tcPr>
            <w:tcW w:type="dxa" w:w="5020"/>
            <w:shd w:val="clear" w:color="auto" w:fill="EDF3F9"/>
          </w:tcPr>
          <w:p>
            <w:pPr>
              <w:spacing w:after="0" w:line="276" w:lineRule="auto"/>
            </w:pPr>
            <w:r/>
            <w:r>
              <w:rPr>
                <w:rFonts w:ascii="宋体" w:hAnsi="宋体" w:eastAsia="宋体" w:cs="宋体"/>
                <w:b w:val="0"/>
                <w:i w:val="0"/>
                <w:color w:val="000000"/>
                <w:sz w:val="19"/>
              </w:rPr>
              <w:t>竞品对比表与差异化护城河三条论述</w:t>
            </w:r>
          </w:p>
        </w:tc>
      </w:tr>
      <w:tr>
        <w:tc>
          <w:tcPr>
            <w:tcW w:type="dxa" w:w="2054"/>
          </w:tcPr>
          <w:p>
            <w:pPr>
              <w:spacing w:after="0" w:line="276" w:lineRule="auto"/>
            </w:pPr>
            <w:r/>
            <w:r>
              <w:rPr>
                <w:rFonts w:ascii="宋体" w:hAnsi="宋体" w:eastAsia="宋体" w:cs="宋体"/>
                <w:b w:val="0"/>
                <w:i w:val="0"/>
                <w:color w:val="000000"/>
                <w:sz w:val="19"/>
              </w:rPr>
              <w:t>商业模式</w:t>
            </w:r>
          </w:p>
        </w:tc>
        <w:tc>
          <w:tcPr>
            <w:tcW w:type="dxa" w:w="2054"/>
          </w:tcPr>
          <w:p>
            <w:pPr>
              <w:spacing w:after="0" w:line="276" w:lineRule="auto"/>
            </w:pPr>
            <w:r/>
            <w:r>
              <w:rPr>
                <w:rFonts w:ascii="宋体" w:hAnsi="宋体" w:eastAsia="宋体" w:cs="宋体"/>
                <w:b w:val="0"/>
                <w:i w:val="0"/>
                <w:color w:val="000000"/>
                <w:sz w:val="19"/>
              </w:rPr>
              <w:t>第八章 8.1–8.3</w:t>
            </w:r>
          </w:p>
        </w:tc>
        <w:tc>
          <w:tcPr>
            <w:tcW w:type="dxa" w:w="5020"/>
          </w:tcPr>
          <w:p>
            <w:pPr>
              <w:spacing w:after="0" w:line="276" w:lineRule="auto"/>
            </w:pPr>
            <w:r/>
            <w:r>
              <w:rPr>
                <w:rFonts w:ascii="宋体" w:hAnsi="宋体" w:eastAsia="宋体" w:cs="宋体"/>
                <w:b w:val="0"/>
                <w:i w:val="0"/>
                <w:color w:val="000000"/>
                <w:sz w:val="19"/>
              </w:rPr>
              <w:t>四条收入线、定价、成本与获客渠道</w:t>
            </w:r>
          </w:p>
        </w:tc>
      </w:tr>
      <w:tr>
        <w:tc>
          <w:tcPr>
            <w:tcW w:type="dxa" w:w="2054"/>
            <w:shd w:val="clear" w:color="auto" w:fill="EDF3F9"/>
          </w:tcPr>
          <w:p>
            <w:pPr>
              <w:spacing w:after="0" w:line="276" w:lineRule="auto"/>
            </w:pPr>
            <w:r/>
            <w:r>
              <w:rPr>
                <w:rFonts w:ascii="宋体" w:hAnsi="宋体" w:eastAsia="宋体" w:cs="宋体"/>
                <w:b w:val="0"/>
                <w:i w:val="0"/>
                <w:color w:val="000000"/>
                <w:sz w:val="19"/>
              </w:rPr>
              <w:t>财务预测</w:t>
            </w:r>
          </w:p>
        </w:tc>
        <w:tc>
          <w:tcPr>
            <w:tcW w:type="dxa" w:w="2054"/>
            <w:shd w:val="clear" w:color="auto" w:fill="EDF3F9"/>
          </w:tcPr>
          <w:p>
            <w:pPr>
              <w:spacing w:after="0" w:line="276" w:lineRule="auto"/>
            </w:pPr>
            <w:r/>
            <w:r>
              <w:rPr>
                <w:rFonts w:ascii="宋体" w:hAnsi="宋体" w:eastAsia="宋体" w:cs="宋体"/>
                <w:b w:val="0"/>
                <w:i w:val="0"/>
                <w:color w:val="000000"/>
                <w:sz w:val="19"/>
              </w:rPr>
              <w:t>第八章 8.4</w:t>
            </w:r>
          </w:p>
        </w:tc>
        <w:tc>
          <w:tcPr>
            <w:tcW w:type="dxa" w:w="5020"/>
            <w:shd w:val="clear" w:color="auto" w:fill="EDF3F9"/>
          </w:tcPr>
          <w:p>
            <w:pPr>
              <w:spacing w:after="0" w:line="276" w:lineRule="auto"/>
            </w:pPr>
            <w:r/>
            <w:r>
              <w:rPr>
                <w:rFonts w:ascii="宋体" w:hAnsi="宋体" w:eastAsia="宋体" w:cs="宋体"/>
                <w:b w:val="0"/>
                <w:i w:val="0"/>
                <w:color w:val="000000"/>
                <w:sz w:val="19"/>
              </w:rPr>
              <w:t>三年预测表与关键假设，替换为实际测算即可</w:t>
            </w:r>
          </w:p>
        </w:tc>
      </w:tr>
      <w:tr>
        <w:tc>
          <w:tcPr>
            <w:tcW w:type="dxa" w:w="2054"/>
          </w:tcPr>
          <w:p>
            <w:pPr>
              <w:spacing w:after="0" w:line="276" w:lineRule="auto"/>
            </w:pPr>
            <w:r/>
            <w:r>
              <w:rPr>
                <w:rFonts w:ascii="宋体" w:hAnsi="宋体" w:eastAsia="宋体" w:cs="宋体"/>
                <w:b w:val="0"/>
                <w:i w:val="0"/>
                <w:color w:val="000000"/>
                <w:sz w:val="19"/>
              </w:rPr>
              <w:t>实施计划与里程碑</w:t>
            </w:r>
          </w:p>
        </w:tc>
        <w:tc>
          <w:tcPr>
            <w:tcW w:type="dxa" w:w="2054"/>
          </w:tcPr>
          <w:p>
            <w:pPr>
              <w:spacing w:after="0" w:line="276" w:lineRule="auto"/>
            </w:pPr>
            <w:r/>
            <w:r>
              <w:rPr>
                <w:rFonts w:ascii="宋体" w:hAnsi="宋体" w:eastAsia="宋体" w:cs="宋体"/>
                <w:b w:val="0"/>
                <w:i w:val="0"/>
                <w:color w:val="000000"/>
                <w:sz w:val="19"/>
              </w:rPr>
              <w:t>第九章</w:t>
            </w:r>
          </w:p>
        </w:tc>
        <w:tc>
          <w:tcPr>
            <w:tcW w:type="dxa" w:w="5020"/>
          </w:tcPr>
          <w:p>
            <w:pPr>
              <w:spacing w:after="0" w:line="276" w:lineRule="auto"/>
            </w:pPr>
            <w:r/>
            <w:r>
              <w:rPr>
                <w:rFonts w:ascii="宋体" w:hAnsi="宋体" w:eastAsia="宋体" w:cs="宋体"/>
                <w:b w:val="0"/>
                <w:i w:val="0"/>
                <w:color w:val="000000"/>
                <w:sz w:val="19"/>
              </w:rPr>
              <w:t>三阶段路线图与里程碑表</w:t>
            </w:r>
          </w:p>
        </w:tc>
      </w:tr>
      <w:tr>
        <w:tc>
          <w:tcPr>
            <w:tcW w:type="dxa" w:w="2054"/>
            <w:shd w:val="clear" w:color="auto" w:fill="EDF3F9"/>
          </w:tcPr>
          <w:p>
            <w:pPr>
              <w:spacing w:after="0" w:line="276" w:lineRule="auto"/>
            </w:pPr>
            <w:r/>
            <w:r>
              <w:rPr>
                <w:rFonts w:ascii="宋体" w:hAnsi="宋体" w:eastAsia="宋体" w:cs="宋体"/>
                <w:b w:val="0"/>
                <w:i w:val="0"/>
                <w:color w:val="000000"/>
                <w:sz w:val="19"/>
              </w:rPr>
              <w:t>风险与应对</w:t>
            </w:r>
          </w:p>
        </w:tc>
        <w:tc>
          <w:tcPr>
            <w:tcW w:type="dxa" w:w="2054"/>
            <w:shd w:val="clear" w:color="auto" w:fill="EDF3F9"/>
          </w:tcPr>
          <w:p>
            <w:pPr>
              <w:spacing w:after="0" w:line="276" w:lineRule="auto"/>
            </w:pPr>
            <w:r/>
            <w:r>
              <w:rPr>
                <w:rFonts w:ascii="宋体" w:hAnsi="宋体" w:eastAsia="宋体" w:cs="宋体"/>
                <w:b w:val="0"/>
                <w:i w:val="0"/>
                <w:color w:val="000000"/>
                <w:sz w:val="19"/>
              </w:rPr>
              <w:t>第十章</w:t>
            </w:r>
          </w:p>
        </w:tc>
        <w:tc>
          <w:tcPr>
            <w:tcW w:type="dxa" w:w="5020"/>
            <w:shd w:val="clear" w:color="auto" w:fill="EDF3F9"/>
          </w:tcPr>
          <w:p>
            <w:pPr>
              <w:spacing w:after="0" w:line="276" w:lineRule="auto"/>
            </w:pPr>
            <w:r/>
            <w:r>
              <w:rPr>
                <w:rFonts w:ascii="宋体" w:hAnsi="宋体" w:eastAsia="宋体" w:cs="宋体"/>
                <w:b w:val="0"/>
                <w:i w:val="0"/>
                <w:color w:val="000000"/>
                <w:sz w:val="19"/>
              </w:rPr>
              <w:t>技术/临床/合规/商业四类风险及预案</w:t>
            </w:r>
          </w:p>
        </w:tc>
      </w:tr>
      <w:tr>
        <w:tc>
          <w:tcPr>
            <w:tcW w:type="dxa" w:w="2054"/>
          </w:tcPr>
          <w:p>
            <w:pPr>
              <w:spacing w:after="0" w:line="276" w:lineRule="auto"/>
            </w:pPr>
            <w:r/>
            <w:r>
              <w:rPr>
                <w:rFonts w:ascii="宋体" w:hAnsi="宋体" w:eastAsia="宋体" w:cs="宋体"/>
                <w:b w:val="0"/>
                <w:i w:val="0"/>
                <w:color w:val="000000"/>
                <w:sz w:val="19"/>
              </w:rPr>
              <w:t>团队介绍</w:t>
            </w:r>
          </w:p>
        </w:tc>
        <w:tc>
          <w:tcPr>
            <w:tcW w:type="dxa" w:w="2054"/>
          </w:tcPr>
          <w:p>
            <w:pPr>
              <w:spacing w:after="0" w:line="276" w:lineRule="auto"/>
            </w:pPr>
            <w:r/>
            <w:r>
              <w:rPr>
                <w:rFonts w:ascii="宋体" w:hAnsi="宋体" w:eastAsia="宋体" w:cs="宋体"/>
                <w:b w:val="0"/>
                <w:i w:val="0"/>
                <w:color w:val="000000"/>
                <w:sz w:val="19"/>
              </w:rPr>
              <w:t>附录 C</w:t>
            </w:r>
          </w:p>
        </w:tc>
        <w:tc>
          <w:tcPr>
            <w:tcW w:type="dxa" w:w="5020"/>
          </w:tcPr>
          <w:p>
            <w:pPr>
              <w:spacing w:after="0" w:line="276" w:lineRule="auto"/>
            </w:pPr>
            <w:r/>
            <w:r>
              <w:rPr>
                <w:rFonts w:ascii="宋体" w:hAnsi="宋体" w:eastAsia="宋体" w:cs="宋体"/>
                <w:b w:val="0"/>
                <w:i w:val="0"/>
                <w:color w:val="000000"/>
                <w:sz w:val="19"/>
              </w:rPr>
              <w:t>按 8 人分工填写（硬件、算法、嵌入式、软件、临床、市场）</w:t>
            </w:r>
          </w:p>
        </w:tc>
      </w:tr>
    </w:tbl>
    <w:p>
      <w:pPr>
        <w:spacing w:after="40"/>
      </w:pPr>
    </w:p>
    <w:p>
      <w:pPr>
        <w:pStyle w:val="Heading2"/>
      </w:pPr>
      <w:r>
        <w:rPr>
          <w:rFonts w:ascii="宋体" w:hAnsi="宋体" w:eastAsia="宋体" w:cs="宋体"/>
          <w:b/>
          <w:i w:val="0"/>
          <w:color w:val="2E74B5"/>
          <w:sz w:val="25"/>
        </w:rPr>
        <w:t>二、PPT 页面映射（建议 16–20 页）</w:t>
      </w:r>
    </w:p>
    <w:tbl>
      <w:tblPr>
        <w:tblStyle w:val="TableGrid"/>
        <w:jc w:val="center"/>
        <w:tblLook w:firstColumn="1" w:firstRow="1" w:lastColumn="0" w:lastRow="0" w:noHBand="0" w:noVBand="1" w:val="04A0"/>
        <w:tblCellMar>
          <w:top w:w="60" w:type="dxa"/>
          <w:left w:w="90" w:type="dxa"/>
          <w:bottom w:w="60" w:type="dxa"/>
          <w:right w:w="90" w:type="dxa"/>
        </w:tblCellMar>
        <w:tblW w:w="9129" w:type="dxa"/>
        <w:tblLayout w:type="fixed"/>
      </w:tblPr>
      <w:tblGrid>
        <w:gridCol w:w="913"/>
        <w:gridCol w:w="3081"/>
        <w:gridCol w:w="5135"/>
      </w:tblGrid>
      <w:tr>
        <w:trPr>
          <w:tblHeader w:val="true"/>
        </w:trPr>
        <w:tc>
          <w:tcPr>
            <w:tcW w:type="dxa" w:w="913"/>
            <w:shd w:val="clear" w:color="auto" w:fill="1F4E79"/>
          </w:tcPr>
          <w:p>
            <w:pPr>
              <w:spacing w:after="0" w:line="276" w:lineRule="auto"/>
              <w:jc w:val="center"/>
            </w:pPr>
            <w:r/>
            <w:r>
              <w:rPr>
                <w:rFonts w:ascii="宋体" w:hAnsi="宋体" w:eastAsia="宋体" w:cs="宋体"/>
                <w:b/>
                <w:i w:val="0"/>
                <w:color w:val="FFFFFF"/>
                <w:sz w:val="19"/>
              </w:rPr>
              <w:t>PPT 页</w:t>
            </w:r>
          </w:p>
        </w:tc>
        <w:tc>
          <w:tcPr>
            <w:tcW w:type="dxa" w:w="3081"/>
            <w:shd w:val="clear" w:color="auto" w:fill="1F4E79"/>
          </w:tcPr>
          <w:p>
            <w:pPr>
              <w:spacing w:after="0" w:line="276" w:lineRule="auto"/>
              <w:jc w:val="center"/>
            </w:pPr>
            <w:r/>
            <w:r>
              <w:rPr>
                <w:rFonts w:ascii="宋体" w:hAnsi="宋体" w:eastAsia="宋体" w:cs="宋体"/>
                <w:b/>
                <w:i w:val="0"/>
                <w:color w:val="FFFFFF"/>
                <w:sz w:val="19"/>
              </w:rPr>
              <w:t>页面主题</w:t>
            </w:r>
          </w:p>
        </w:tc>
        <w:tc>
          <w:tcPr>
            <w:tcW w:type="dxa" w:w="5134"/>
            <w:shd w:val="clear" w:color="auto" w:fill="1F4E79"/>
          </w:tcPr>
          <w:p>
            <w:pPr>
              <w:spacing w:after="0" w:line="276" w:lineRule="auto"/>
              <w:jc w:val="center"/>
            </w:pPr>
            <w:r/>
            <w:r>
              <w:rPr>
                <w:rFonts w:ascii="宋体" w:hAnsi="宋体" w:eastAsia="宋体" w:cs="宋体"/>
                <w:b/>
                <w:i w:val="0"/>
                <w:color w:val="FFFFFF"/>
                <w:sz w:val="19"/>
              </w:rPr>
              <w:t>取用本文档内容</w:t>
            </w:r>
          </w:p>
        </w:tc>
      </w:tr>
      <w:tr>
        <w:tc>
          <w:tcPr>
            <w:tcW w:type="dxa" w:w="913"/>
          </w:tcPr>
          <w:p>
            <w:pPr>
              <w:spacing w:after="0" w:line="276" w:lineRule="auto"/>
            </w:pPr>
            <w:r/>
            <w:r>
              <w:rPr>
                <w:rFonts w:ascii="宋体" w:hAnsi="宋体" w:eastAsia="宋体" w:cs="宋体"/>
                <w:b w:val="0"/>
                <w:i w:val="0"/>
                <w:color w:val="000000"/>
                <w:sz w:val="19"/>
              </w:rPr>
              <w:t>P1</w:t>
            </w:r>
          </w:p>
        </w:tc>
        <w:tc>
          <w:tcPr>
            <w:tcW w:type="dxa" w:w="3081"/>
          </w:tcPr>
          <w:p>
            <w:pPr>
              <w:spacing w:after="0" w:line="276" w:lineRule="auto"/>
            </w:pPr>
            <w:r/>
            <w:r>
              <w:rPr>
                <w:rFonts w:ascii="宋体" w:hAnsi="宋体" w:eastAsia="宋体" w:cs="宋体"/>
                <w:b w:val="0"/>
                <w:i w:val="0"/>
                <w:color w:val="000000"/>
                <w:sz w:val="19"/>
              </w:rPr>
              <w:t>封面：项目名 + 一句话定位</w:t>
            </w:r>
          </w:p>
        </w:tc>
        <w:tc>
          <w:tcPr>
            <w:tcW w:type="dxa" w:w="5134"/>
          </w:tcPr>
          <w:p>
            <w:pPr>
              <w:spacing w:after="0" w:line="276" w:lineRule="auto"/>
            </w:pPr>
            <w:r/>
            <w:r>
              <w:rPr>
                <w:rFonts w:ascii="宋体" w:hAnsi="宋体" w:eastAsia="宋体" w:cs="宋体"/>
                <w:b w:val="0"/>
                <w:i w:val="0"/>
                <w:color w:val="000000"/>
                <w:sz w:val="19"/>
              </w:rPr>
              <w:t>封面页 + 第一章价值主张</w:t>
            </w:r>
          </w:p>
        </w:tc>
      </w:tr>
      <w:tr>
        <w:tc>
          <w:tcPr>
            <w:tcW w:type="dxa" w:w="913"/>
            <w:shd w:val="clear" w:color="auto" w:fill="EDF3F9"/>
          </w:tcPr>
          <w:p>
            <w:pPr>
              <w:spacing w:after="0" w:line="276" w:lineRule="auto"/>
            </w:pPr>
            <w:r/>
            <w:r>
              <w:rPr>
                <w:rFonts w:ascii="宋体" w:hAnsi="宋体" w:eastAsia="宋体" w:cs="宋体"/>
                <w:b w:val="0"/>
                <w:i w:val="0"/>
                <w:color w:val="000000"/>
                <w:sz w:val="19"/>
              </w:rPr>
              <w:t>P2</w:t>
            </w:r>
          </w:p>
        </w:tc>
        <w:tc>
          <w:tcPr>
            <w:tcW w:type="dxa" w:w="3081"/>
            <w:shd w:val="clear" w:color="auto" w:fill="EDF3F9"/>
          </w:tcPr>
          <w:p>
            <w:pPr>
              <w:spacing w:after="0" w:line="276" w:lineRule="auto"/>
            </w:pPr>
            <w:r/>
            <w:r>
              <w:rPr>
                <w:rFonts w:ascii="宋体" w:hAnsi="宋体" w:eastAsia="宋体" w:cs="宋体"/>
                <w:b w:val="0"/>
                <w:i w:val="0"/>
                <w:color w:val="000000"/>
                <w:sz w:val="19"/>
              </w:rPr>
              <w:t>问题：呼吸慢病院外管理是盲区</w:t>
            </w:r>
          </w:p>
        </w:tc>
        <w:tc>
          <w:tcPr>
            <w:tcW w:type="dxa" w:w="5134"/>
            <w:shd w:val="clear" w:color="auto" w:fill="EDF3F9"/>
          </w:tcPr>
          <w:p>
            <w:pPr>
              <w:spacing w:after="0" w:line="276" w:lineRule="auto"/>
            </w:pPr>
            <w:r/>
            <w:r>
              <w:rPr>
                <w:rFonts w:ascii="宋体" w:hAnsi="宋体" w:eastAsia="宋体" w:cs="宋体"/>
                <w:b w:val="0"/>
                <w:i w:val="0"/>
                <w:color w:val="000000"/>
                <w:sz w:val="19"/>
              </w:rPr>
              <w:t>2.1、2.2</w:t>
            </w:r>
          </w:p>
        </w:tc>
      </w:tr>
      <w:tr>
        <w:tc>
          <w:tcPr>
            <w:tcW w:type="dxa" w:w="913"/>
          </w:tcPr>
          <w:p>
            <w:pPr>
              <w:spacing w:after="0" w:line="276" w:lineRule="auto"/>
            </w:pPr>
            <w:r/>
            <w:r>
              <w:rPr>
                <w:rFonts w:ascii="宋体" w:hAnsi="宋体" w:eastAsia="宋体" w:cs="宋体"/>
                <w:b w:val="0"/>
                <w:i w:val="0"/>
                <w:color w:val="000000"/>
                <w:sz w:val="19"/>
              </w:rPr>
              <w:t>P3</w:t>
            </w:r>
          </w:p>
        </w:tc>
        <w:tc>
          <w:tcPr>
            <w:tcW w:type="dxa" w:w="3081"/>
          </w:tcPr>
          <w:p>
            <w:pPr>
              <w:spacing w:after="0" w:line="276" w:lineRule="auto"/>
            </w:pPr>
            <w:r/>
            <w:r>
              <w:rPr>
                <w:rFonts w:ascii="宋体" w:hAnsi="宋体" w:eastAsia="宋体" w:cs="宋体"/>
                <w:b w:val="0"/>
                <w:i w:val="0"/>
                <w:color w:val="000000"/>
                <w:sz w:val="19"/>
              </w:rPr>
              <w:t>现有监测手段的四个痛点</w:t>
            </w:r>
          </w:p>
        </w:tc>
        <w:tc>
          <w:tcPr>
            <w:tcW w:type="dxa" w:w="5134"/>
          </w:tcPr>
          <w:p>
            <w:pPr>
              <w:spacing w:after="0" w:line="276" w:lineRule="auto"/>
            </w:pPr>
            <w:r/>
            <w:r>
              <w:rPr>
                <w:rFonts w:ascii="宋体" w:hAnsi="宋体" w:eastAsia="宋体" w:cs="宋体"/>
                <w:b w:val="0"/>
                <w:i w:val="0"/>
                <w:color w:val="000000"/>
                <w:sz w:val="19"/>
              </w:rPr>
              <w:t>2.3</w:t>
            </w:r>
          </w:p>
        </w:tc>
      </w:tr>
      <w:tr>
        <w:tc>
          <w:tcPr>
            <w:tcW w:type="dxa" w:w="913"/>
            <w:shd w:val="clear" w:color="auto" w:fill="EDF3F9"/>
          </w:tcPr>
          <w:p>
            <w:pPr>
              <w:spacing w:after="0" w:line="276" w:lineRule="auto"/>
            </w:pPr>
            <w:r/>
            <w:r>
              <w:rPr>
                <w:rFonts w:ascii="宋体" w:hAnsi="宋体" w:eastAsia="宋体" w:cs="宋体"/>
                <w:b w:val="0"/>
                <w:i w:val="0"/>
                <w:color w:val="000000"/>
                <w:sz w:val="19"/>
              </w:rPr>
              <w:t>P4</w:t>
            </w:r>
          </w:p>
        </w:tc>
        <w:tc>
          <w:tcPr>
            <w:tcW w:type="dxa" w:w="3081"/>
            <w:shd w:val="clear" w:color="auto" w:fill="EDF3F9"/>
          </w:tcPr>
          <w:p>
            <w:pPr>
              <w:spacing w:after="0" w:line="276" w:lineRule="auto"/>
            </w:pPr>
            <w:r/>
            <w:r>
              <w:rPr>
                <w:rFonts w:ascii="宋体" w:hAnsi="宋体" w:eastAsia="宋体" w:cs="宋体"/>
                <w:b w:val="0"/>
                <w:i w:val="0"/>
                <w:color w:val="000000"/>
                <w:sz w:val="19"/>
              </w:rPr>
              <w:t>解决方案总览（一图讲清）</w:t>
            </w:r>
          </w:p>
        </w:tc>
        <w:tc>
          <w:tcPr>
            <w:tcW w:type="dxa" w:w="5134"/>
            <w:shd w:val="clear" w:color="auto" w:fill="EDF3F9"/>
          </w:tcPr>
          <w:p>
            <w:pPr>
              <w:spacing w:after="0" w:line="276" w:lineRule="auto"/>
            </w:pPr>
            <w:r/>
            <w:r>
              <w:rPr>
                <w:rFonts w:ascii="宋体" w:hAnsi="宋体" w:eastAsia="宋体" w:cs="宋体"/>
                <w:b w:val="0"/>
                <w:i w:val="0"/>
                <w:color w:val="000000"/>
                <w:sz w:val="19"/>
              </w:rPr>
              <w:t>3.2 总体架构</w:t>
            </w:r>
          </w:p>
        </w:tc>
      </w:tr>
      <w:tr>
        <w:tc>
          <w:tcPr>
            <w:tcW w:type="dxa" w:w="913"/>
          </w:tcPr>
          <w:p>
            <w:pPr>
              <w:spacing w:after="0" w:line="276" w:lineRule="auto"/>
            </w:pPr>
            <w:r/>
            <w:r>
              <w:rPr>
                <w:rFonts w:ascii="宋体" w:hAnsi="宋体" w:eastAsia="宋体" w:cs="宋体"/>
                <w:b w:val="0"/>
                <w:i w:val="0"/>
                <w:color w:val="000000"/>
                <w:sz w:val="19"/>
              </w:rPr>
              <w:t>P5</w:t>
            </w:r>
          </w:p>
        </w:tc>
        <w:tc>
          <w:tcPr>
            <w:tcW w:type="dxa" w:w="3081"/>
          </w:tcPr>
          <w:p>
            <w:pPr>
              <w:spacing w:after="0" w:line="276" w:lineRule="auto"/>
            </w:pPr>
            <w:r/>
            <w:r>
              <w:rPr>
                <w:rFonts w:ascii="宋体" w:hAnsi="宋体" w:eastAsia="宋体" w:cs="宋体"/>
                <w:b w:val="0"/>
                <w:i w:val="0"/>
                <w:color w:val="000000"/>
                <w:sz w:val="19"/>
              </w:rPr>
              <w:t>产品形态与使用场景</w:t>
            </w:r>
          </w:p>
        </w:tc>
        <w:tc>
          <w:tcPr>
            <w:tcW w:type="dxa" w:w="5134"/>
          </w:tcPr>
          <w:p>
            <w:pPr>
              <w:spacing w:after="0" w:line="276" w:lineRule="auto"/>
            </w:pPr>
            <w:r/>
            <w:r>
              <w:rPr>
                <w:rFonts w:ascii="宋体" w:hAnsi="宋体" w:eastAsia="宋体" w:cs="宋体"/>
                <w:b w:val="0"/>
                <w:i w:val="0"/>
                <w:color w:val="000000"/>
                <w:sz w:val="19"/>
              </w:rPr>
              <w:t>4.1 系统组成 + 4.4 应用界面</w:t>
            </w:r>
          </w:p>
        </w:tc>
      </w:tr>
      <w:tr>
        <w:tc>
          <w:tcPr>
            <w:tcW w:type="dxa" w:w="913"/>
            <w:shd w:val="clear" w:color="auto" w:fill="EDF3F9"/>
          </w:tcPr>
          <w:p>
            <w:pPr>
              <w:spacing w:after="0" w:line="276" w:lineRule="auto"/>
            </w:pPr>
            <w:r/>
            <w:r>
              <w:rPr>
                <w:rFonts w:ascii="宋体" w:hAnsi="宋体" w:eastAsia="宋体" w:cs="宋体"/>
                <w:b w:val="0"/>
                <w:i w:val="0"/>
                <w:color w:val="000000"/>
                <w:sz w:val="19"/>
              </w:rPr>
              <w:t>P6</w:t>
            </w:r>
          </w:p>
        </w:tc>
        <w:tc>
          <w:tcPr>
            <w:tcW w:type="dxa" w:w="3081"/>
            <w:shd w:val="clear" w:color="auto" w:fill="EDF3F9"/>
          </w:tcPr>
          <w:p>
            <w:pPr>
              <w:spacing w:after="0" w:line="276" w:lineRule="auto"/>
            </w:pPr>
            <w:r/>
            <w:r>
              <w:rPr>
                <w:rFonts w:ascii="宋体" w:hAnsi="宋体" w:eastAsia="宋体" w:cs="宋体"/>
                <w:b w:val="0"/>
                <w:i w:val="0"/>
                <w:color w:val="000000"/>
                <w:sz w:val="19"/>
              </w:rPr>
              <w:t>硬件与边缘端方案</w:t>
            </w:r>
          </w:p>
        </w:tc>
        <w:tc>
          <w:tcPr>
            <w:tcW w:type="dxa" w:w="5134"/>
            <w:shd w:val="clear" w:color="auto" w:fill="EDF3F9"/>
          </w:tcPr>
          <w:p>
            <w:pPr>
              <w:spacing w:after="0" w:line="276" w:lineRule="auto"/>
            </w:pPr>
            <w:r/>
            <w:r>
              <w:rPr>
                <w:rFonts w:ascii="宋体" w:hAnsi="宋体" w:eastAsia="宋体" w:cs="宋体"/>
                <w:b w:val="0"/>
                <w:i w:val="0"/>
                <w:color w:val="000000"/>
                <w:sz w:val="19"/>
              </w:rPr>
              <w:t>4.2、4.3</w:t>
            </w:r>
          </w:p>
        </w:tc>
      </w:tr>
      <w:tr>
        <w:tc>
          <w:tcPr>
            <w:tcW w:type="dxa" w:w="913"/>
          </w:tcPr>
          <w:p>
            <w:pPr>
              <w:spacing w:after="0" w:line="276" w:lineRule="auto"/>
            </w:pPr>
            <w:r/>
            <w:r>
              <w:rPr>
                <w:rFonts w:ascii="宋体" w:hAnsi="宋体" w:eastAsia="宋体" w:cs="宋体"/>
                <w:b w:val="0"/>
                <w:i w:val="0"/>
                <w:color w:val="000000"/>
                <w:sz w:val="19"/>
              </w:rPr>
              <w:t>P7</w:t>
            </w:r>
          </w:p>
        </w:tc>
        <w:tc>
          <w:tcPr>
            <w:tcW w:type="dxa" w:w="3081"/>
          </w:tcPr>
          <w:p>
            <w:pPr>
              <w:spacing w:after="0" w:line="276" w:lineRule="auto"/>
            </w:pPr>
            <w:r/>
            <w:r>
              <w:rPr>
                <w:rFonts w:ascii="宋体" w:hAnsi="宋体" w:eastAsia="宋体" w:cs="宋体"/>
                <w:b w:val="0"/>
                <w:i w:val="0"/>
                <w:color w:val="000000"/>
                <w:sz w:val="19"/>
              </w:rPr>
              <w:t>算法技术链路</w:t>
            </w:r>
          </w:p>
        </w:tc>
        <w:tc>
          <w:tcPr>
            <w:tcW w:type="dxa" w:w="5134"/>
          </w:tcPr>
          <w:p>
            <w:pPr>
              <w:spacing w:after="0" w:line="276" w:lineRule="auto"/>
            </w:pPr>
            <w:r/>
            <w:r>
              <w:rPr>
                <w:rFonts w:ascii="宋体" w:hAnsi="宋体" w:eastAsia="宋体" w:cs="宋体"/>
                <w:b w:val="0"/>
                <w:i w:val="0"/>
                <w:color w:val="000000"/>
                <w:sz w:val="19"/>
              </w:rPr>
              <w:t>5.1–5.3</w:t>
            </w:r>
          </w:p>
        </w:tc>
      </w:tr>
      <w:tr>
        <w:tc>
          <w:tcPr>
            <w:tcW w:type="dxa" w:w="913"/>
            <w:shd w:val="clear" w:color="auto" w:fill="EDF3F9"/>
          </w:tcPr>
          <w:p>
            <w:pPr>
              <w:spacing w:after="0" w:line="276" w:lineRule="auto"/>
            </w:pPr>
            <w:r/>
            <w:r>
              <w:rPr>
                <w:rFonts w:ascii="宋体" w:hAnsi="宋体" w:eastAsia="宋体" w:cs="宋体"/>
                <w:b w:val="0"/>
                <w:i w:val="0"/>
                <w:color w:val="000000"/>
                <w:sz w:val="19"/>
              </w:rPr>
              <w:t>P8</w:t>
            </w:r>
          </w:p>
        </w:tc>
        <w:tc>
          <w:tcPr>
            <w:tcW w:type="dxa" w:w="3081"/>
            <w:shd w:val="clear" w:color="auto" w:fill="EDF3F9"/>
          </w:tcPr>
          <w:p>
            <w:pPr>
              <w:spacing w:after="0" w:line="276" w:lineRule="auto"/>
            </w:pPr>
            <w:r/>
            <w:r>
              <w:rPr>
                <w:rFonts w:ascii="宋体" w:hAnsi="宋体" w:eastAsia="宋体" w:cs="宋体"/>
                <w:b w:val="0"/>
                <w:i w:val="0"/>
                <w:color w:val="000000"/>
                <w:sz w:val="19"/>
              </w:rPr>
              <w:t>RK3576 部署与性能指标</w:t>
            </w:r>
          </w:p>
        </w:tc>
        <w:tc>
          <w:tcPr>
            <w:tcW w:type="dxa" w:w="5134"/>
            <w:shd w:val="clear" w:color="auto" w:fill="EDF3F9"/>
          </w:tcPr>
          <w:p>
            <w:pPr>
              <w:spacing w:after="0" w:line="276" w:lineRule="auto"/>
            </w:pPr>
            <w:r/>
            <w:r>
              <w:rPr>
                <w:rFonts w:ascii="宋体" w:hAnsi="宋体" w:eastAsia="宋体" w:cs="宋体"/>
                <w:b w:val="0"/>
                <w:i w:val="0"/>
                <w:color w:val="000000"/>
                <w:sz w:val="19"/>
              </w:rPr>
              <w:t>5.4、5.5 指标表与资源预算</w:t>
            </w:r>
          </w:p>
        </w:tc>
      </w:tr>
      <w:tr>
        <w:tc>
          <w:tcPr>
            <w:tcW w:type="dxa" w:w="913"/>
          </w:tcPr>
          <w:p>
            <w:pPr>
              <w:spacing w:after="0" w:line="276" w:lineRule="auto"/>
            </w:pPr>
            <w:r/>
            <w:r>
              <w:rPr>
                <w:rFonts w:ascii="宋体" w:hAnsi="宋体" w:eastAsia="宋体" w:cs="宋体"/>
                <w:b w:val="0"/>
                <w:i w:val="0"/>
                <w:color w:val="000000"/>
                <w:sz w:val="19"/>
              </w:rPr>
              <w:t>P9</w:t>
            </w:r>
          </w:p>
        </w:tc>
        <w:tc>
          <w:tcPr>
            <w:tcW w:type="dxa" w:w="3081"/>
          </w:tcPr>
          <w:p>
            <w:pPr>
              <w:spacing w:after="0" w:line="276" w:lineRule="auto"/>
            </w:pPr>
            <w:r/>
            <w:r>
              <w:rPr>
                <w:rFonts w:ascii="宋体" w:hAnsi="宋体" w:eastAsia="宋体" w:cs="宋体"/>
                <w:b w:val="0"/>
                <w:i w:val="0"/>
                <w:color w:val="000000"/>
                <w:sz w:val="19"/>
              </w:rPr>
              <w:t>核心创新点四条</w:t>
            </w:r>
          </w:p>
        </w:tc>
        <w:tc>
          <w:tcPr>
            <w:tcW w:type="dxa" w:w="5134"/>
          </w:tcPr>
          <w:p>
            <w:pPr>
              <w:spacing w:after="0" w:line="276" w:lineRule="auto"/>
            </w:pPr>
            <w:r/>
            <w:r>
              <w:rPr>
                <w:rFonts w:ascii="宋体" w:hAnsi="宋体" w:eastAsia="宋体" w:cs="宋体"/>
                <w:b w:val="0"/>
                <w:i w:val="0"/>
                <w:color w:val="000000"/>
                <w:sz w:val="19"/>
              </w:rPr>
              <w:t>第六章</w:t>
            </w:r>
          </w:p>
        </w:tc>
      </w:tr>
      <w:tr>
        <w:tc>
          <w:tcPr>
            <w:tcW w:type="dxa" w:w="913"/>
            <w:shd w:val="clear" w:color="auto" w:fill="EDF3F9"/>
          </w:tcPr>
          <w:p>
            <w:pPr>
              <w:spacing w:after="0" w:line="276" w:lineRule="auto"/>
            </w:pPr>
            <w:r/>
            <w:r>
              <w:rPr>
                <w:rFonts w:ascii="宋体" w:hAnsi="宋体" w:eastAsia="宋体" w:cs="宋体"/>
                <w:b w:val="0"/>
                <w:i w:val="0"/>
                <w:color w:val="000000"/>
                <w:sz w:val="19"/>
              </w:rPr>
              <w:t>P10</w:t>
            </w:r>
          </w:p>
        </w:tc>
        <w:tc>
          <w:tcPr>
            <w:tcW w:type="dxa" w:w="3081"/>
            <w:shd w:val="clear" w:color="auto" w:fill="EDF3F9"/>
          </w:tcPr>
          <w:p>
            <w:pPr>
              <w:spacing w:after="0" w:line="276" w:lineRule="auto"/>
            </w:pPr>
            <w:r/>
            <w:r>
              <w:rPr>
                <w:rFonts w:ascii="宋体" w:hAnsi="宋体" w:eastAsia="宋体" w:cs="宋体"/>
                <w:b w:val="0"/>
                <w:i w:val="0"/>
                <w:color w:val="000000"/>
                <w:sz w:val="19"/>
              </w:rPr>
              <w:t>临床证据与验证方案</w:t>
            </w:r>
          </w:p>
        </w:tc>
        <w:tc>
          <w:tcPr>
            <w:tcW w:type="dxa" w:w="5134"/>
            <w:shd w:val="clear" w:color="auto" w:fill="EDF3F9"/>
          </w:tcPr>
          <w:p>
            <w:pPr>
              <w:spacing w:after="0" w:line="276" w:lineRule="auto"/>
            </w:pPr>
            <w:r/>
            <w:r>
              <w:rPr>
                <w:rFonts w:ascii="宋体" w:hAnsi="宋体" w:eastAsia="宋体" w:cs="宋体"/>
                <w:b w:val="0"/>
                <w:i w:val="0"/>
                <w:color w:val="000000"/>
                <w:sz w:val="19"/>
              </w:rPr>
              <w:t>2.1、6.2、第九章</w:t>
            </w:r>
          </w:p>
        </w:tc>
      </w:tr>
      <w:tr>
        <w:tc>
          <w:tcPr>
            <w:tcW w:type="dxa" w:w="913"/>
          </w:tcPr>
          <w:p>
            <w:pPr>
              <w:spacing w:after="0" w:line="276" w:lineRule="auto"/>
            </w:pPr>
            <w:r/>
            <w:r>
              <w:rPr>
                <w:rFonts w:ascii="宋体" w:hAnsi="宋体" w:eastAsia="宋体" w:cs="宋体"/>
                <w:b w:val="0"/>
                <w:i w:val="0"/>
                <w:color w:val="000000"/>
                <w:sz w:val="19"/>
              </w:rPr>
              <w:t>P11</w:t>
            </w:r>
          </w:p>
        </w:tc>
        <w:tc>
          <w:tcPr>
            <w:tcW w:type="dxa" w:w="3081"/>
          </w:tcPr>
          <w:p>
            <w:pPr>
              <w:spacing w:after="0" w:line="276" w:lineRule="auto"/>
            </w:pPr>
            <w:r/>
            <w:r>
              <w:rPr>
                <w:rFonts w:ascii="宋体" w:hAnsi="宋体" w:eastAsia="宋体" w:cs="宋体"/>
                <w:b w:val="0"/>
                <w:i w:val="0"/>
                <w:color w:val="000000"/>
                <w:sz w:val="19"/>
              </w:rPr>
              <w:t>合规路径</w:t>
            </w:r>
          </w:p>
        </w:tc>
        <w:tc>
          <w:tcPr>
            <w:tcW w:type="dxa" w:w="5134"/>
          </w:tcPr>
          <w:p>
            <w:pPr>
              <w:spacing w:after="0" w:line="276" w:lineRule="auto"/>
            </w:pPr>
            <w:r/>
            <w:r>
              <w:rPr>
                <w:rFonts w:ascii="宋体" w:hAnsi="宋体" w:eastAsia="宋体" w:cs="宋体"/>
                <w:b w:val="0"/>
                <w:i w:val="0"/>
                <w:color w:val="000000"/>
                <w:sz w:val="19"/>
              </w:rPr>
              <w:t>6.3</w:t>
            </w:r>
          </w:p>
        </w:tc>
      </w:tr>
      <w:tr>
        <w:tc>
          <w:tcPr>
            <w:tcW w:type="dxa" w:w="913"/>
            <w:shd w:val="clear" w:color="auto" w:fill="EDF3F9"/>
          </w:tcPr>
          <w:p>
            <w:pPr>
              <w:spacing w:after="0" w:line="276" w:lineRule="auto"/>
            </w:pPr>
            <w:r/>
            <w:r>
              <w:rPr>
                <w:rFonts w:ascii="宋体" w:hAnsi="宋体" w:eastAsia="宋体" w:cs="宋体"/>
                <w:b w:val="0"/>
                <w:i w:val="0"/>
                <w:color w:val="000000"/>
                <w:sz w:val="19"/>
              </w:rPr>
              <w:t>P12</w:t>
            </w:r>
          </w:p>
        </w:tc>
        <w:tc>
          <w:tcPr>
            <w:tcW w:type="dxa" w:w="3081"/>
            <w:shd w:val="clear" w:color="auto" w:fill="EDF3F9"/>
          </w:tcPr>
          <w:p>
            <w:pPr>
              <w:spacing w:after="0" w:line="276" w:lineRule="auto"/>
            </w:pPr>
            <w:r/>
            <w:r>
              <w:rPr>
                <w:rFonts w:ascii="宋体" w:hAnsi="宋体" w:eastAsia="宋体" w:cs="宋体"/>
                <w:b w:val="0"/>
                <w:i w:val="0"/>
                <w:color w:val="000000"/>
                <w:sz w:val="19"/>
              </w:rPr>
              <w:t>市场空间与政策利好</w:t>
            </w:r>
          </w:p>
        </w:tc>
        <w:tc>
          <w:tcPr>
            <w:tcW w:type="dxa" w:w="5134"/>
            <w:shd w:val="clear" w:color="auto" w:fill="EDF3F9"/>
          </w:tcPr>
          <w:p>
            <w:pPr>
              <w:spacing w:after="0" w:line="276" w:lineRule="auto"/>
            </w:pPr>
            <w:r/>
            <w:r>
              <w:rPr>
                <w:rFonts w:ascii="宋体" w:hAnsi="宋体" w:eastAsia="宋体" w:cs="宋体"/>
                <w:b w:val="0"/>
                <w:i w:val="0"/>
                <w:color w:val="000000"/>
                <w:sz w:val="19"/>
              </w:rPr>
              <w:t>7.1</w:t>
            </w:r>
          </w:p>
        </w:tc>
      </w:tr>
      <w:tr>
        <w:tc>
          <w:tcPr>
            <w:tcW w:type="dxa" w:w="913"/>
          </w:tcPr>
          <w:p>
            <w:pPr>
              <w:spacing w:after="0" w:line="276" w:lineRule="auto"/>
            </w:pPr>
            <w:r/>
            <w:r>
              <w:rPr>
                <w:rFonts w:ascii="宋体" w:hAnsi="宋体" w:eastAsia="宋体" w:cs="宋体"/>
                <w:b w:val="0"/>
                <w:i w:val="0"/>
                <w:color w:val="000000"/>
                <w:sz w:val="19"/>
              </w:rPr>
              <w:t>P13</w:t>
            </w:r>
          </w:p>
        </w:tc>
        <w:tc>
          <w:tcPr>
            <w:tcW w:type="dxa" w:w="3081"/>
          </w:tcPr>
          <w:p>
            <w:pPr>
              <w:spacing w:after="0" w:line="276" w:lineRule="auto"/>
            </w:pPr>
            <w:r/>
            <w:r>
              <w:rPr>
                <w:rFonts w:ascii="宋体" w:hAnsi="宋体" w:eastAsia="宋体" w:cs="宋体"/>
                <w:b w:val="0"/>
                <w:i w:val="0"/>
                <w:color w:val="000000"/>
                <w:sz w:val="19"/>
              </w:rPr>
              <w:t>竞品对比矩阵</w:t>
            </w:r>
          </w:p>
        </w:tc>
        <w:tc>
          <w:tcPr>
            <w:tcW w:type="dxa" w:w="5134"/>
          </w:tcPr>
          <w:p>
            <w:pPr>
              <w:spacing w:after="0" w:line="276" w:lineRule="auto"/>
            </w:pPr>
            <w:r/>
            <w:r>
              <w:rPr>
                <w:rFonts w:ascii="宋体" w:hAnsi="宋体" w:eastAsia="宋体" w:cs="宋体"/>
                <w:b w:val="0"/>
                <w:i w:val="0"/>
                <w:color w:val="000000"/>
                <w:sz w:val="19"/>
              </w:rPr>
              <w:t>7.2 对比表</w:t>
            </w:r>
          </w:p>
        </w:tc>
      </w:tr>
      <w:tr>
        <w:tc>
          <w:tcPr>
            <w:tcW w:type="dxa" w:w="913"/>
            <w:shd w:val="clear" w:color="auto" w:fill="EDF3F9"/>
          </w:tcPr>
          <w:p>
            <w:pPr>
              <w:spacing w:after="0" w:line="276" w:lineRule="auto"/>
            </w:pPr>
            <w:r/>
            <w:r>
              <w:rPr>
                <w:rFonts w:ascii="宋体" w:hAnsi="宋体" w:eastAsia="宋体" w:cs="宋体"/>
                <w:b w:val="0"/>
                <w:i w:val="0"/>
                <w:color w:val="000000"/>
                <w:sz w:val="19"/>
              </w:rPr>
              <w:t>P14</w:t>
            </w:r>
          </w:p>
        </w:tc>
        <w:tc>
          <w:tcPr>
            <w:tcW w:type="dxa" w:w="3081"/>
            <w:shd w:val="clear" w:color="auto" w:fill="EDF3F9"/>
          </w:tcPr>
          <w:p>
            <w:pPr>
              <w:spacing w:after="0" w:line="276" w:lineRule="auto"/>
            </w:pPr>
            <w:r/>
            <w:r>
              <w:rPr>
                <w:rFonts w:ascii="宋体" w:hAnsi="宋体" w:eastAsia="宋体" w:cs="宋体"/>
                <w:b w:val="0"/>
                <w:i w:val="0"/>
                <w:color w:val="000000"/>
                <w:sz w:val="19"/>
              </w:rPr>
              <w:t>差异化与护城河</w:t>
            </w:r>
          </w:p>
        </w:tc>
        <w:tc>
          <w:tcPr>
            <w:tcW w:type="dxa" w:w="5134"/>
            <w:shd w:val="clear" w:color="auto" w:fill="EDF3F9"/>
          </w:tcPr>
          <w:p>
            <w:pPr>
              <w:spacing w:after="0" w:line="276" w:lineRule="auto"/>
            </w:pPr>
            <w:r/>
            <w:r>
              <w:rPr>
                <w:rFonts w:ascii="宋体" w:hAnsi="宋体" w:eastAsia="宋体" w:cs="宋体"/>
                <w:b w:val="0"/>
                <w:i w:val="0"/>
                <w:color w:val="000000"/>
                <w:sz w:val="19"/>
              </w:rPr>
              <w:t>7.3</w:t>
            </w:r>
          </w:p>
        </w:tc>
      </w:tr>
      <w:tr>
        <w:tc>
          <w:tcPr>
            <w:tcW w:type="dxa" w:w="913"/>
          </w:tcPr>
          <w:p>
            <w:pPr>
              <w:spacing w:after="0" w:line="276" w:lineRule="auto"/>
            </w:pPr>
            <w:r/>
            <w:r>
              <w:rPr>
                <w:rFonts w:ascii="宋体" w:hAnsi="宋体" w:eastAsia="宋体" w:cs="宋体"/>
                <w:b w:val="0"/>
                <w:i w:val="0"/>
                <w:color w:val="000000"/>
                <w:sz w:val="19"/>
              </w:rPr>
              <w:t>P15</w:t>
            </w:r>
          </w:p>
        </w:tc>
        <w:tc>
          <w:tcPr>
            <w:tcW w:type="dxa" w:w="3081"/>
          </w:tcPr>
          <w:p>
            <w:pPr>
              <w:spacing w:after="0" w:line="276" w:lineRule="auto"/>
            </w:pPr>
            <w:r/>
            <w:r>
              <w:rPr>
                <w:rFonts w:ascii="宋体" w:hAnsi="宋体" w:eastAsia="宋体" w:cs="宋体"/>
                <w:b w:val="0"/>
                <w:i w:val="0"/>
                <w:color w:val="000000"/>
                <w:sz w:val="19"/>
              </w:rPr>
              <w:t>商业模式与收入结构</w:t>
            </w:r>
          </w:p>
        </w:tc>
        <w:tc>
          <w:tcPr>
            <w:tcW w:type="dxa" w:w="5134"/>
          </w:tcPr>
          <w:p>
            <w:pPr>
              <w:spacing w:after="0" w:line="276" w:lineRule="auto"/>
            </w:pPr>
            <w:r/>
            <w:r>
              <w:rPr>
                <w:rFonts w:ascii="宋体" w:hAnsi="宋体" w:eastAsia="宋体" w:cs="宋体"/>
                <w:b w:val="0"/>
                <w:i w:val="0"/>
                <w:color w:val="000000"/>
                <w:sz w:val="19"/>
              </w:rPr>
              <w:t>8.1–8.3</w:t>
            </w:r>
          </w:p>
        </w:tc>
      </w:tr>
      <w:tr>
        <w:tc>
          <w:tcPr>
            <w:tcW w:type="dxa" w:w="913"/>
            <w:shd w:val="clear" w:color="auto" w:fill="EDF3F9"/>
          </w:tcPr>
          <w:p>
            <w:pPr>
              <w:spacing w:after="0" w:line="276" w:lineRule="auto"/>
            </w:pPr>
            <w:r/>
            <w:r>
              <w:rPr>
                <w:rFonts w:ascii="宋体" w:hAnsi="宋体" w:eastAsia="宋体" w:cs="宋体"/>
                <w:b w:val="0"/>
                <w:i w:val="0"/>
                <w:color w:val="000000"/>
                <w:sz w:val="19"/>
              </w:rPr>
              <w:t>P16</w:t>
            </w:r>
          </w:p>
        </w:tc>
        <w:tc>
          <w:tcPr>
            <w:tcW w:type="dxa" w:w="3081"/>
            <w:shd w:val="clear" w:color="auto" w:fill="EDF3F9"/>
          </w:tcPr>
          <w:p>
            <w:pPr>
              <w:spacing w:after="0" w:line="276" w:lineRule="auto"/>
            </w:pPr>
            <w:r/>
            <w:r>
              <w:rPr>
                <w:rFonts w:ascii="宋体" w:hAnsi="宋体" w:eastAsia="宋体" w:cs="宋体"/>
                <w:b w:val="0"/>
                <w:i w:val="0"/>
                <w:color w:val="000000"/>
                <w:sz w:val="19"/>
              </w:rPr>
              <w:t>三年财务预测</w:t>
            </w:r>
          </w:p>
        </w:tc>
        <w:tc>
          <w:tcPr>
            <w:tcW w:type="dxa" w:w="5134"/>
            <w:shd w:val="clear" w:color="auto" w:fill="EDF3F9"/>
          </w:tcPr>
          <w:p>
            <w:pPr>
              <w:spacing w:after="0" w:line="276" w:lineRule="auto"/>
            </w:pPr>
            <w:r/>
            <w:r>
              <w:rPr>
                <w:rFonts w:ascii="宋体" w:hAnsi="宋体" w:eastAsia="宋体" w:cs="宋体"/>
                <w:b w:val="0"/>
                <w:i w:val="0"/>
                <w:color w:val="000000"/>
                <w:sz w:val="19"/>
              </w:rPr>
              <w:t>8.4</w:t>
            </w:r>
          </w:p>
        </w:tc>
      </w:tr>
      <w:tr>
        <w:tc>
          <w:tcPr>
            <w:tcW w:type="dxa" w:w="913"/>
          </w:tcPr>
          <w:p>
            <w:pPr>
              <w:spacing w:after="0" w:line="276" w:lineRule="auto"/>
            </w:pPr>
            <w:r/>
            <w:r>
              <w:rPr>
                <w:rFonts w:ascii="宋体" w:hAnsi="宋体" w:eastAsia="宋体" w:cs="宋体"/>
                <w:b w:val="0"/>
                <w:i w:val="0"/>
                <w:color w:val="000000"/>
                <w:sz w:val="19"/>
              </w:rPr>
              <w:t>P17</w:t>
            </w:r>
          </w:p>
        </w:tc>
        <w:tc>
          <w:tcPr>
            <w:tcW w:type="dxa" w:w="3081"/>
          </w:tcPr>
          <w:p>
            <w:pPr>
              <w:spacing w:after="0" w:line="276" w:lineRule="auto"/>
            </w:pPr>
            <w:r/>
            <w:r>
              <w:rPr>
                <w:rFonts w:ascii="宋体" w:hAnsi="宋体" w:eastAsia="宋体" w:cs="宋体"/>
                <w:b w:val="0"/>
                <w:i w:val="0"/>
                <w:color w:val="000000"/>
                <w:sz w:val="19"/>
              </w:rPr>
              <w:t>里程碑与执行计划</w:t>
            </w:r>
          </w:p>
        </w:tc>
        <w:tc>
          <w:tcPr>
            <w:tcW w:type="dxa" w:w="5134"/>
          </w:tcPr>
          <w:p>
            <w:pPr>
              <w:spacing w:after="0" w:line="276" w:lineRule="auto"/>
            </w:pPr>
            <w:r/>
            <w:r>
              <w:rPr>
                <w:rFonts w:ascii="宋体" w:hAnsi="宋体" w:eastAsia="宋体" w:cs="宋体"/>
                <w:b w:val="0"/>
                <w:i w:val="0"/>
                <w:color w:val="000000"/>
                <w:sz w:val="19"/>
              </w:rPr>
              <w:t>第九章</w:t>
            </w:r>
          </w:p>
        </w:tc>
      </w:tr>
      <w:tr>
        <w:tc>
          <w:tcPr>
            <w:tcW w:type="dxa" w:w="913"/>
            <w:shd w:val="clear" w:color="auto" w:fill="EDF3F9"/>
          </w:tcPr>
          <w:p>
            <w:pPr>
              <w:spacing w:after="0" w:line="276" w:lineRule="auto"/>
            </w:pPr>
            <w:r/>
            <w:r>
              <w:rPr>
                <w:rFonts w:ascii="宋体" w:hAnsi="宋体" w:eastAsia="宋体" w:cs="宋体"/>
                <w:b w:val="0"/>
                <w:i w:val="0"/>
                <w:color w:val="000000"/>
                <w:sz w:val="19"/>
              </w:rPr>
              <w:t>P18</w:t>
            </w:r>
          </w:p>
        </w:tc>
        <w:tc>
          <w:tcPr>
            <w:tcW w:type="dxa" w:w="3081"/>
            <w:shd w:val="clear" w:color="auto" w:fill="EDF3F9"/>
          </w:tcPr>
          <w:p>
            <w:pPr>
              <w:spacing w:after="0" w:line="276" w:lineRule="auto"/>
            </w:pPr>
            <w:r/>
            <w:r>
              <w:rPr>
                <w:rFonts w:ascii="宋体" w:hAnsi="宋体" w:eastAsia="宋体" w:cs="宋体"/>
                <w:b w:val="0"/>
                <w:i w:val="0"/>
                <w:color w:val="000000"/>
                <w:sz w:val="19"/>
              </w:rPr>
              <w:t>风险与应对</w:t>
            </w:r>
          </w:p>
        </w:tc>
        <w:tc>
          <w:tcPr>
            <w:tcW w:type="dxa" w:w="5134"/>
            <w:shd w:val="clear" w:color="auto" w:fill="EDF3F9"/>
          </w:tcPr>
          <w:p>
            <w:pPr>
              <w:spacing w:after="0" w:line="276" w:lineRule="auto"/>
            </w:pPr>
            <w:r/>
            <w:r>
              <w:rPr>
                <w:rFonts w:ascii="宋体" w:hAnsi="宋体" w:eastAsia="宋体" w:cs="宋体"/>
                <w:b w:val="0"/>
                <w:i w:val="0"/>
                <w:color w:val="000000"/>
                <w:sz w:val="19"/>
              </w:rPr>
              <w:t>第十章</w:t>
            </w:r>
          </w:p>
        </w:tc>
      </w:tr>
      <w:tr>
        <w:tc>
          <w:tcPr>
            <w:tcW w:type="dxa" w:w="913"/>
          </w:tcPr>
          <w:p>
            <w:pPr>
              <w:spacing w:after="0" w:line="276" w:lineRule="auto"/>
            </w:pPr>
            <w:r/>
            <w:r>
              <w:rPr>
                <w:rFonts w:ascii="宋体" w:hAnsi="宋体" w:eastAsia="宋体" w:cs="宋体"/>
                <w:b w:val="0"/>
                <w:i w:val="0"/>
                <w:color w:val="000000"/>
                <w:sz w:val="19"/>
              </w:rPr>
              <w:t>P19</w:t>
            </w:r>
          </w:p>
        </w:tc>
        <w:tc>
          <w:tcPr>
            <w:tcW w:type="dxa" w:w="3081"/>
          </w:tcPr>
          <w:p>
            <w:pPr>
              <w:spacing w:after="0" w:line="276" w:lineRule="auto"/>
            </w:pPr>
            <w:r/>
            <w:r>
              <w:rPr>
                <w:rFonts w:ascii="宋体" w:hAnsi="宋体" w:eastAsia="宋体" w:cs="宋体"/>
                <w:b w:val="0"/>
                <w:i w:val="0"/>
                <w:color w:val="000000"/>
                <w:sz w:val="19"/>
              </w:rPr>
              <w:t>团队与分工</w:t>
            </w:r>
          </w:p>
        </w:tc>
        <w:tc>
          <w:tcPr>
            <w:tcW w:type="dxa" w:w="5134"/>
          </w:tcPr>
          <w:p>
            <w:pPr>
              <w:spacing w:after="0" w:line="276" w:lineRule="auto"/>
            </w:pPr>
            <w:r/>
            <w:r>
              <w:rPr>
                <w:rFonts w:ascii="宋体" w:hAnsi="宋体" w:eastAsia="宋体" w:cs="宋体"/>
                <w:b w:val="0"/>
                <w:i w:val="0"/>
                <w:color w:val="000000"/>
                <w:sz w:val="19"/>
              </w:rPr>
              <w:t>附录 C</w:t>
            </w:r>
          </w:p>
        </w:tc>
      </w:tr>
      <w:tr>
        <w:tc>
          <w:tcPr>
            <w:tcW w:type="dxa" w:w="913"/>
            <w:shd w:val="clear" w:color="auto" w:fill="EDF3F9"/>
          </w:tcPr>
          <w:p>
            <w:pPr>
              <w:spacing w:after="0" w:line="276" w:lineRule="auto"/>
            </w:pPr>
            <w:r/>
            <w:r>
              <w:rPr>
                <w:rFonts w:ascii="宋体" w:hAnsi="宋体" w:eastAsia="宋体" w:cs="宋体"/>
                <w:b w:val="0"/>
                <w:i w:val="0"/>
                <w:color w:val="000000"/>
                <w:sz w:val="19"/>
              </w:rPr>
              <w:t>P20</w:t>
            </w:r>
          </w:p>
        </w:tc>
        <w:tc>
          <w:tcPr>
            <w:tcW w:type="dxa" w:w="3081"/>
            <w:shd w:val="clear" w:color="auto" w:fill="EDF3F9"/>
          </w:tcPr>
          <w:p>
            <w:pPr>
              <w:spacing w:after="0" w:line="276" w:lineRule="auto"/>
            </w:pPr>
            <w:r/>
            <w:r>
              <w:rPr>
                <w:rFonts w:ascii="宋体" w:hAnsi="宋体" w:eastAsia="宋体" w:cs="宋体"/>
                <w:b w:val="0"/>
                <w:i w:val="0"/>
                <w:color w:val="000000"/>
                <w:sz w:val="19"/>
              </w:rPr>
              <w:t>结尾：愿景 + 联系方式</w:t>
            </w:r>
          </w:p>
        </w:tc>
        <w:tc>
          <w:tcPr>
            <w:tcW w:type="dxa" w:w="5134"/>
            <w:shd w:val="clear" w:color="auto" w:fill="EDF3F9"/>
          </w:tcPr>
          <w:p>
            <w:pPr>
              <w:spacing w:after="0" w:line="276" w:lineRule="auto"/>
            </w:pPr>
            <w:r/>
            <w:r>
              <w:rPr>
                <w:rFonts w:ascii="宋体" w:hAnsi="宋体" w:eastAsia="宋体" w:cs="宋体"/>
                <w:b w:val="0"/>
                <w:i w:val="0"/>
                <w:color w:val="000000"/>
                <w:sz w:val="19"/>
              </w:rPr>
              <w:t>第一章愿景，附录 C</w:t>
            </w:r>
          </w:p>
        </w:tc>
      </w:tr>
    </w:tbl>
    <w:p>
      <w:pPr>
        <w:spacing w:after="40"/>
      </w:pPr>
    </w:p>
    <w:p>
      <w:pPr>
        <w:pStyle w:val="Heading2"/>
      </w:pPr>
      <w:r>
        <w:rPr>
          <w:rFonts w:ascii="宋体" w:hAnsi="宋体" w:eastAsia="宋体" w:cs="宋体"/>
          <w:b/>
          <w:i w:val="0"/>
          <w:color w:val="2E74B5"/>
          <w:sz w:val="25"/>
        </w:rPr>
        <w:t>三、答辩高频问题准备清单</w:t>
      </w:r>
    </w:p>
    <w:p>
      <w:pPr>
        <w:spacing w:after="40" w:line="324" w:lineRule="auto"/>
        <w:ind w:left="425" w:hanging="283"/>
      </w:pPr>
      <w:r>
        <w:rPr>
          <w:rFonts w:ascii="宋体" w:hAnsi="宋体" w:eastAsia="宋体" w:cs="宋体"/>
          <w:b w:val="0"/>
          <w:i w:val="0"/>
          <w:color w:val="2E74B5"/>
          <w:sz w:val="18"/>
        </w:rPr>
        <w:t xml:space="preserve">● </w:t>
      </w:r>
      <w:r>
        <w:rPr>
          <w:rFonts w:ascii="宋体" w:hAnsi="宋体" w:eastAsia="宋体" w:cs="宋体"/>
          <w:b/>
          <w:i w:val="0"/>
          <w:color w:val="000000"/>
          <w:sz w:val="21"/>
        </w:rPr>
        <w:t>凭什么证明声学指标可信：</w:t>
      </w:r>
      <w:r>
        <w:rPr>
          <w:rFonts w:ascii="宋体" w:hAnsi="宋体" w:eastAsia="宋体" w:cs="宋体"/>
          <w:b w:val="0"/>
          <w:i w:val="0"/>
          <w:color w:val="000000"/>
          <w:sz w:val="21"/>
        </w:rPr>
        <w:t>用第二章的临床证据与第六章的验证方案回答，核心是与金标准的一致性研究设计，而不是单点准确率。</w:t>
      </w:r>
    </w:p>
    <w:p>
      <w:pPr>
        <w:spacing w:after="40" w:line="324" w:lineRule="auto"/>
        <w:ind w:left="425" w:hanging="283"/>
      </w:pPr>
      <w:r>
        <w:rPr>
          <w:rFonts w:ascii="宋体" w:hAnsi="宋体" w:eastAsia="宋体" w:cs="宋体"/>
          <w:b w:val="0"/>
          <w:i w:val="0"/>
          <w:color w:val="2E74B5"/>
          <w:sz w:val="18"/>
        </w:rPr>
        <w:t xml:space="preserve">● </w:t>
      </w:r>
      <w:r>
        <w:rPr>
          <w:rFonts w:ascii="宋体" w:hAnsi="宋体" w:eastAsia="宋体" w:cs="宋体"/>
          <w:b/>
          <w:i w:val="0"/>
          <w:color w:val="000000"/>
          <w:sz w:val="21"/>
        </w:rPr>
        <w:t>为什么要 RK3576 而不是直接上云：</w:t>
      </w:r>
      <w:r>
        <w:rPr>
          <w:rFonts w:ascii="宋体" w:hAnsi="宋体" w:eastAsia="宋体" w:cs="宋体"/>
          <w:b w:val="0"/>
          <w:i w:val="0"/>
          <w:color w:val="000000"/>
          <w:sz w:val="21"/>
        </w:rPr>
        <w:t>用 5.4 的算力/功耗/延时/隐私四维对比回答，强调离线可用与合规成本。</w:t>
      </w:r>
    </w:p>
    <w:p>
      <w:pPr>
        <w:spacing w:after="40" w:line="324" w:lineRule="auto"/>
        <w:ind w:left="425" w:hanging="283"/>
      </w:pPr>
      <w:r>
        <w:rPr>
          <w:rFonts w:ascii="宋体" w:hAnsi="宋体" w:eastAsia="宋体" w:cs="宋体"/>
          <w:b w:val="0"/>
          <w:i w:val="0"/>
          <w:color w:val="2E74B5"/>
          <w:sz w:val="18"/>
        </w:rPr>
        <w:t xml:space="preserve">● </w:t>
      </w:r>
      <w:r>
        <w:rPr>
          <w:rFonts w:ascii="宋体" w:hAnsi="宋体" w:eastAsia="宋体" w:cs="宋体"/>
          <w:b/>
          <w:i w:val="0"/>
          <w:color w:val="000000"/>
          <w:sz w:val="21"/>
        </w:rPr>
        <w:t>手机麦克风一致性差怎么办：</w:t>
      </w:r>
      <w:r>
        <w:rPr>
          <w:rFonts w:ascii="宋体" w:hAnsi="宋体" w:eastAsia="宋体" w:cs="宋体"/>
          <w:b w:val="0"/>
          <w:i w:val="0"/>
          <w:color w:val="000000"/>
          <w:sz w:val="21"/>
        </w:rPr>
        <w:t>用 4.2、5.2 的设备校准与归一化方案，以及多机型一致性测试计划回答。</w:t>
      </w:r>
    </w:p>
    <w:p>
      <w:pPr>
        <w:spacing w:after="40" w:line="324" w:lineRule="auto"/>
        <w:ind w:left="425" w:hanging="283"/>
      </w:pPr>
      <w:r>
        <w:rPr>
          <w:rFonts w:ascii="宋体" w:hAnsi="宋体" w:eastAsia="宋体" w:cs="宋体"/>
          <w:b w:val="0"/>
          <w:i w:val="0"/>
          <w:color w:val="2E74B5"/>
          <w:sz w:val="18"/>
        </w:rPr>
        <w:t xml:space="preserve">● </w:t>
      </w:r>
      <w:r>
        <w:rPr>
          <w:rFonts w:ascii="宋体" w:hAnsi="宋体" w:eastAsia="宋体" w:cs="宋体"/>
          <w:b/>
          <w:i w:val="0"/>
          <w:color w:val="000000"/>
          <w:sz w:val="21"/>
        </w:rPr>
        <w:t>医疗器械注册要多久、要多少钱：</w:t>
      </w:r>
      <w:r>
        <w:rPr>
          <w:rFonts w:ascii="宋体" w:hAnsi="宋体" w:eastAsia="宋体" w:cs="宋体"/>
          <w:b w:val="0"/>
          <w:i w:val="0"/>
          <w:color w:val="000000"/>
          <w:sz w:val="21"/>
        </w:rPr>
        <w:t>用 6.3 的分类判断与注册路径，给出二类器械的时间与费用区间及降级方案。</w:t>
      </w:r>
    </w:p>
    <w:p>
      <w:pPr>
        <w:spacing w:after="40" w:line="324" w:lineRule="auto"/>
        <w:ind w:left="425" w:hanging="283"/>
      </w:pPr>
      <w:r>
        <w:rPr>
          <w:rFonts w:ascii="宋体" w:hAnsi="宋体" w:eastAsia="宋体" w:cs="宋体"/>
          <w:b w:val="0"/>
          <w:i w:val="0"/>
          <w:color w:val="2E74B5"/>
          <w:sz w:val="18"/>
        </w:rPr>
        <w:t xml:space="preserve">● </w:t>
      </w:r>
      <w:r>
        <w:rPr>
          <w:rFonts w:ascii="宋体" w:hAnsi="宋体" w:eastAsia="宋体" w:cs="宋体"/>
          <w:b/>
          <w:i w:val="0"/>
          <w:color w:val="000000"/>
          <w:sz w:val="21"/>
        </w:rPr>
        <w:t>数据从哪来、模型会不会过拟合：</w:t>
      </w:r>
      <w:r>
        <w:rPr>
          <w:rFonts w:ascii="宋体" w:hAnsi="宋体" w:eastAsia="宋体" w:cs="宋体"/>
          <w:b w:val="0"/>
          <w:i w:val="0"/>
          <w:color w:val="000000"/>
          <w:sz w:val="21"/>
        </w:rPr>
        <w:t>用 5.3 的数据来源组合（公开集 + 合作医院 + 自采 + 仿真增强）与跨中心留出集回答。</w:t>
      </w:r>
    </w:p>
    <w:p>
      <w:pPr>
        <w:spacing w:after="40" w:line="324" w:lineRule="auto"/>
        <w:ind w:left="425" w:hanging="283"/>
      </w:pPr>
      <w:r>
        <w:rPr>
          <w:rFonts w:ascii="宋体" w:hAnsi="宋体" w:eastAsia="宋体" w:cs="宋体"/>
          <w:b w:val="0"/>
          <w:i w:val="0"/>
          <w:color w:val="2E74B5"/>
          <w:sz w:val="18"/>
        </w:rPr>
        <w:t xml:space="preserve">● </w:t>
      </w:r>
      <w:r>
        <w:rPr>
          <w:rFonts w:ascii="宋体" w:hAnsi="宋体" w:eastAsia="宋体" w:cs="宋体"/>
          <w:b/>
          <w:i w:val="0"/>
          <w:color w:val="000000"/>
          <w:sz w:val="21"/>
        </w:rPr>
        <w:t>商业模式能否成立：</w:t>
      </w:r>
      <w:r>
        <w:rPr>
          <w:rFonts w:ascii="宋体" w:hAnsi="宋体" w:eastAsia="宋体" w:cs="宋体"/>
          <w:b w:val="0"/>
          <w:i w:val="0"/>
          <w:color w:val="000000"/>
          <w:sz w:val="21"/>
        </w:rPr>
        <w:t>用第八章四条收入线的客单价与转化假设回答，强调药企临床试验终点监测是现金流起点。</w:t>
      </w:r>
    </w:p>
    <w:p>
      <w:pPr>
        <w:spacing w:after="40" w:line="324" w:lineRule="auto"/>
        <w:ind w:left="425" w:hanging="283"/>
      </w:pPr>
      <w:r>
        <w:rPr>
          <w:rFonts w:ascii="宋体" w:hAnsi="宋体" w:eastAsia="宋体" w:cs="宋体"/>
          <w:b w:val="0"/>
          <w:i w:val="0"/>
          <w:color w:val="2E74B5"/>
          <w:sz w:val="18"/>
        </w:rPr>
        <w:t xml:space="preserve">● </w:t>
      </w:r>
      <w:r>
        <w:rPr>
          <w:rFonts w:ascii="宋体" w:hAnsi="宋体" w:eastAsia="宋体" w:cs="宋体"/>
          <w:b/>
          <w:i w:val="0"/>
          <w:color w:val="000000"/>
          <w:sz w:val="21"/>
        </w:rPr>
        <w:t>与 Hyfe、ResApp 等国外产品的差距：</w:t>
      </w:r>
      <w:r>
        <w:rPr>
          <w:rFonts w:ascii="宋体" w:hAnsi="宋体" w:eastAsia="宋体" w:cs="宋体"/>
          <w:b w:val="0"/>
          <w:i w:val="0"/>
          <w:color w:val="000000"/>
          <w:sz w:val="21"/>
        </w:rPr>
        <w:t>用 7.2、7.3 回答，落在国产化、边缘隐私、成本与中文场景适配上。</w:t>
      </w:r>
    </w:p>
    <w:p>
      <w:pPr>
        <w:spacing w:after="40" w:line="324" w:lineRule="auto"/>
        <w:ind w:left="425" w:hanging="283"/>
      </w:pPr>
      <w:r>
        <w:rPr>
          <w:rFonts w:ascii="宋体" w:hAnsi="宋体" w:eastAsia="宋体" w:cs="宋体"/>
          <w:b w:val="0"/>
          <w:i w:val="0"/>
          <w:color w:val="2E74B5"/>
          <w:sz w:val="18"/>
        </w:rPr>
        <w:t xml:space="preserve">● </w:t>
      </w:r>
      <w:r>
        <w:rPr>
          <w:rFonts w:ascii="宋体" w:hAnsi="宋体" w:eastAsia="宋体" w:cs="宋体"/>
          <w:b/>
          <w:i w:val="0"/>
          <w:color w:val="000000"/>
          <w:sz w:val="21"/>
        </w:rPr>
        <w:t>团队 8 人如何覆盖软硬件与临床：</w:t>
      </w:r>
      <w:r>
        <w:rPr>
          <w:rFonts w:ascii="宋体" w:hAnsi="宋体" w:eastAsia="宋体" w:cs="宋体"/>
          <w:b w:val="0"/>
          <w:i w:val="0"/>
          <w:color w:val="000000"/>
          <w:sz w:val="21"/>
        </w:rPr>
        <w:t>用附录 C 的分工表与外部合作资源回答。</w:t>
      </w:r>
    </w:p>
    <w:p>
      <w:r>
        <w:br w:type="page"/>
      </w:r>
    </w:p>
    <w:p>
      <w:pPr>
        <w:pStyle w:val="Heading1"/>
      </w:pPr>
      <w:r>
        <w:rPr>
          <w:rFonts w:ascii="宋体" w:hAnsi="宋体" w:eastAsia="宋体" w:cs="宋体"/>
          <w:b/>
          <w:i w:val="0"/>
          <w:color w:val="1F4E79"/>
          <w:sz w:val="30"/>
        </w:rPr>
        <w:t>第一章 项目概述与执行摘要</w:t>
      </w:r>
    </w:p>
    <w:p>
      <w:pPr>
        <w:pStyle w:val="Heading2"/>
      </w:pPr>
      <w:r>
        <w:rPr>
          <w:rFonts w:ascii="宋体" w:hAnsi="宋体" w:eastAsia="宋体" w:cs="宋体"/>
          <w:b/>
          <w:i w:val="0"/>
          <w:color w:val="2E74B5"/>
          <w:sz w:val="25"/>
        </w:rPr>
        <w:t>1.1 一句话定位</w:t>
      </w:r>
    </w:p>
    <w:p>
      <w:pPr>
        <w:spacing w:after="80"/>
        <w:ind w:firstLine="420"/>
      </w:pPr>
      <w:r>
        <w:rPr>
          <w:rFonts w:ascii="宋体" w:hAnsi="宋体" w:eastAsia="宋体" w:cs="宋体"/>
          <w:b w:val="0"/>
          <w:i w:val="0"/>
          <w:color w:val="000000"/>
          <w:sz w:val="21"/>
        </w:rPr>
        <w:t>本项目以手机（及低成本拾音配件）作为居家呼吸声采集前端，以国产瑞芯微 RK3576 芯片构成边缘计算节点，在家庭真实噪声环境下完成咳嗽、喘息等异常呼吸声事件的实时识别与统计，将以往只能靠患者主观回忆描述的“咳了多少次、夜里咳得厉害不厉害”，转化为可量化、可回溯、可预警的客观声学指标，为哮喘、慢阻肺（COPD）与儿童喘息的长期管理与急性加重预警提供数据底座。</w:t>
      </w:r>
    </w:p>
    <w:p>
      <w:pPr>
        <w:pStyle w:val="Heading2"/>
      </w:pPr>
      <w:r>
        <w:rPr>
          <w:rFonts w:ascii="宋体" w:hAnsi="宋体" w:eastAsia="宋体" w:cs="宋体"/>
          <w:b/>
          <w:i w:val="0"/>
          <w:color w:val="2E74B5"/>
          <w:sz w:val="25"/>
        </w:rPr>
        <w:t>1.2 执行摘要</w:t>
      </w:r>
    </w:p>
    <w:tbl>
      <w:tblPr>
        <w:tblStyle w:val="TableGrid"/>
        <w:tblLook w:firstColumn="1" w:firstRow="1" w:lastColumn="0" w:lastRow="0" w:noHBand="0" w:noVBand="1" w:val="04A0"/>
        <w:tblCellMar>
          <w:top w:w="120" w:type="dxa"/>
          <w:left w:w="160" w:type="dxa"/>
          <w:bottom w:w="120" w:type="dxa"/>
          <w:right w:w="160" w:type="dxa"/>
        </w:tblCellMar>
        <w:tblW w:w="9129" w:type="dxa"/>
        <w:tblLayout w:type="fixed"/>
      </w:tblPr>
      <w:tblGrid>
        <w:gridCol w:w="9129"/>
      </w:tblGrid>
      <w:tr>
        <w:tc>
          <w:tcPr>
            <w:tcW w:type="dxa" w:w="9128"/>
            <w:shd w:val="clear" w:color="auto" w:fill="EEF4FA"/>
          </w:tcPr>
          <w:p>
            <w:pPr>
              <w:spacing w:after="60"/>
            </w:pPr>
            <w:r/>
            <w:r>
              <w:rPr>
                <w:rFonts w:ascii="宋体" w:hAnsi="宋体" w:eastAsia="宋体" w:cs="宋体"/>
                <w:b/>
                <w:i w:val="0"/>
                <w:color w:val="1F4E79"/>
                <w:sz w:val="22"/>
              </w:rPr>
              <w:t>项目摘要</w:t>
            </w:r>
          </w:p>
          <w:p>
            <w:pPr>
              <w:spacing w:after="40" w:line="324" w:lineRule="auto"/>
              <w:ind w:firstLine="420"/>
            </w:pPr>
            <w:r>
              <w:rPr>
                <w:rFonts w:ascii="宋体" w:hAnsi="宋体" w:eastAsia="宋体" w:cs="宋体"/>
                <w:b w:val="0"/>
                <w:i w:val="0"/>
                <w:color w:val="000000"/>
                <w:sz w:val="21"/>
              </w:rPr>
              <w:t>痛点：我国呼吸慢病患者基数巨大，但院外时段几乎处于“监测真空”。患者靠回忆描述症状，医生拿不到连续客观数据，急性加重往往在就诊时才被发现，错过最佳干预窗口。</w:t>
            </w:r>
          </w:p>
          <w:p>
            <w:pPr>
              <w:spacing w:after="40" w:line="324" w:lineRule="auto"/>
              <w:ind w:firstLine="420"/>
            </w:pPr>
            <w:r>
              <w:rPr>
                <w:rFonts w:ascii="宋体" w:hAnsi="宋体" w:eastAsia="宋体" w:cs="宋体"/>
                <w:b w:val="0"/>
                <w:i w:val="0"/>
                <w:color w:val="000000"/>
                <w:sz w:val="21"/>
              </w:rPr>
              <w:t>方案：构建“手机采集 + RK3576 边缘推理 + 云端管理 + 三端应用”的四层系统，输出咳嗽频次、夜间咳嗽指数、喘息检出、呼吸率四类核心指标与个体化基线预警。</w:t>
            </w:r>
          </w:p>
          <w:p>
            <w:pPr>
              <w:spacing w:after="40" w:line="324" w:lineRule="auto"/>
              <w:ind w:firstLine="420"/>
            </w:pPr>
            <w:r>
              <w:rPr>
                <w:rFonts w:ascii="宋体" w:hAnsi="宋体" w:eastAsia="宋体" w:cs="宋体"/>
                <w:b w:val="0"/>
                <w:i w:val="0"/>
                <w:color w:val="000000"/>
                <w:sz w:val="21"/>
              </w:rPr>
              <w:t>技术：前端采用轻量声学事件检测网络实现低功耗常听，后端采用多任务网络完成事件分类与指标回归；经 RKNN-Toolkit2 量化部署到 RK3576 的 6 TOPS NPU，实现音频不出户、推理在本地。</w:t>
            </w:r>
          </w:p>
          <w:p>
            <w:pPr>
              <w:spacing w:after="40" w:line="324" w:lineRule="auto"/>
              <w:ind w:firstLine="420"/>
            </w:pPr>
            <w:r>
              <w:rPr>
                <w:rFonts w:ascii="宋体" w:hAnsi="宋体" w:eastAsia="宋体" w:cs="宋体"/>
                <w:b w:val="0"/>
                <w:i w:val="0"/>
                <w:color w:val="000000"/>
                <w:sz w:val="21"/>
              </w:rPr>
              <w:t>价值：对患者是“看得见的病情曲线”，对医生是“院外随访的连续证据”，对药企是“可替代人工日记的临床试验终点工具”，对基层医疗是“低成本的筛查与分层抓手”。</w:t>
            </w:r>
          </w:p>
          <w:p>
            <w:pPr>
              <w:spacing w:after="40" w:line="324" w:lineRule="auto"/>
              <w:ind w:firstLine="420"/>
            </w:pPr>
            <w:r>
              <w:rPr>
                <w:rFonts w:ascii="宋体" w:hAnsi="宋体" w:eastAsia="宋体" w:cs="宋体"/>
                <w:b w:val="0"/>
                <w:i w:val="0"/>
                <w:color w:val="000000"/>
                <w:sz w:val="21"/>
              </w:rPr>
              <w:t>路径：先以健康管理工具形态验证技术与用户留存，同步积累标注数据；在数据与验证充分后，按第二类医疗器械申报咳嗽/呼吸音监测软件，进入院内收费与药企合作场景。</w:t>
            </w:r>
          </w:p>
        </w:tc>
      </w:tr>
    </w:tbl>
    <w:p>
      <w:pPr>
        <w:spacing w:after="40"/>
      </w:pPr>
    </w:p>
    <w:p>
      <w:pPr>
        <w:pStyle w:val="Heading2"/>
      </w:pPr>
      <w:r>
        <w:rPr>
          <w:rFonts w:ascii="宋体" w:hAnsi="宋体" w:eastAsia="宋体" w:cs="宋体"/>
          <w:b/>
          <w:i w:val="0"/>
          <w:color w:val="2E74B5"/>
          <w:sz w:val="25"/>
        </w:rPr>
        <w:t>1.3 项目核心指标一览</w:t>
      </w:r>
    </w:p>
    <w:tbl>
      <w:tblPr>
        <w:tblStyle w:val="TableGrid"/>
        <w:jc w:val="center"/>
        <w:tblLook w:firstColumn="1" w:firstRow="1" w:lastColumn="0" w:lastRow="0" w:noHBand="0" w:noVBand="1" w:val="04A0"/>
        <w:tblCellMar>
          <w:top w:w="60" w:type="dxa"/>
          <w:left w:w="90" w:type="dxa"/>
          <w:bottom w:w="60" w:type="dxa"/>
          <w:right w:w="90" w:type="dxa"/>
        </w:tblCellMar>
        <w:tblW w:w="9129" w:type="dxa"/>
        <w:tblLayout w:type="fixed"/>
      </w:tblPr>
      <w:tblGrid>
        <w:gridCol w:w="1826"/>
        <w:gridCol w:w="2625"/>
        <w:gridCol w:w="4678"/>
      </w:tblGrid>
      <w:tr>
        <w:trPr>
          <w:tblHeader w:val="true"/>
        </w:trPr>
        <w:tc>
          <w:tcPr>
            <w:tcW w:type="dxa" w:w="1826"/>
            <w:shd w:val="clear" w:color="auto" w:fill="1F4E79"/>
          </w:tcPr>
          <w:p>
            <w:pPr>
              <w:spacing w:after="0" w:line="276" w:lineRule="auto"/>
              <w:jc w:val="center"/>
            </w:pPr>
            <w:r/>
            <w:r>
              <w:rPr>
                <w:rFonts w:ascii="宋体" w:hAnsi="宋体" w:eastAsia="宋体" w:cs="宋体"/>
                <w:b/>
                <w:i w:val="0"/>
                <w:color w:val="FFFFFF"/>
                <w:sz w:val="19"/>
              </w:rPr>
              <w:t>维度</w:t>
            </w:r>
          </w:p>
        </w:tc>
        <w:tc>
          <w:tcPr>
            <w:tcW w:type="dxa" w:w="2624"/>
            <w:shd w:val="clear" w:color="auto" w:fill="1F4E79"/>
          </w:tcPr>
          <w:p>
            <w:pPr>
              <w:spacing w:after="0" w:line="276" w:lineRule="auto"/>
              <w:jc w:val="center"/>
            </w:pPr>
            <w:r/>
            <w:r>
              <w:rPr>
                <w:rFonts w:ascii="宋体" w:hAnsi="宋体" w:eastAsia="宋体" w:cs="宋体"/>
                <w:b/>
                <w:i w:val="0"/>
                <w:color w:val="FFFFFF"/>
                <w:sz w:val="19"/>
              </w:rPr>
              <w:t>核心指标</w:t>
            </w:r>
          </w:p>
        </w:tc>
        <w:tc>
          <w:tcPr>
            <w:tcW w:type="dxa" w:w="4678"/>
            <w:shd w:val="clear" w:color="auto" w:fill="1F4E79"/>
          </w:tcPr>
          <w:p>
            <w:pPr>
              <w:spacing w:after="0" w:line="276" w:lineRule="auto"/>
              <w:jc w:val="center"/>
            </w:pPr>
            <w:r/>
            <w:r>
              <w:rPr>
                <w:rFonts w:ascii="宋体" w:hAnsi="宋体" w:eastAsia="宋体" w:cs="宋体"/>
                <w:b/>
                <w:i w:val="0"/>
                <w:color w:val="FFFFFF"/>
                <w:sz w:val="19"/>
              </w:rPr>
              <w:t>设计目标 / 说明</w:t>
            </w:r>
          </w:p>
        </w:tc>
      </w:tr>
      <w:tr>
        <w:tc>
          <w:tcPr>
            <w:tcW w:type="dxa" w:w="1826"/>
          </w:tcPr>
          <w:p>
            <w:pPr>
              <w:spacing w:after="0" w:line="276" w:lineRule="auto"/>
            </w:pPr>
            <w:r/>
            <w:r>
              <w:rPr>
                <w:rFonts w:ascii="宋体" w:hAnsi="宋体" w:eastAsia="宋体" w:cs="宋体"/>
                <w:b w:val="0"/>
                <w:i w:val="0"/>
                <w:color w:val="000000"/>
                <w:sz w:val="19"/>
              </w:rPr>
              <w:t>算法能力</w:t>
            </w:r>
          </w:p>
        </w:tc>
        <w:tc>
          <w:tcPr>
            <w:tcW w:type="dxa" w:w="2624"/>
          </w:tcPr>
          <w:p>
            <w:pPr>
              <w:spacing w:after="0" w:line="276" w:lineRule="auto"/>
            </w:pPr>
            <w:r/>
            <w:r>
              <w:rPr>
                <w:rFonts w:ascii="宋体" w:hAnsi="宋体" w:eastAsia="宋体" w:cs="宋体"/>
                <w:b w:val="0"/>
                <w:i w:val="0"/>
                <w:color w:val="000000"/>
                <w:sz w:val="19"/>
              </w:rPr>
              <w:t>咳嗽事件检出 F1</w:t>
            </w:r>
          </w:p>
        </w:tc>
        <w:tc>
          <w:tcPr>
            <w:tcW w:type="dxa" w:w="4678"/>
          </w:tcPr>
          <w:p>
            <w:pPr>
              <w:spacing w:after="0" w:line="276" w:lineRule="auto"/>
            </w:pPr>
            <w:r/>
            <w:r>
              <w:rPr>
                <w:rFonts w:ascii="宋体" w:hAnsi="宋体" w:eastAsia="宋体" w:cs="宋体"/>
                <w:b w:val="0"/>
                <w:i w:val="0"/>
                <w:color w:val="000000"/>
                <w:sz w:val="19"/>
              </w:rPr>
              <w:t>家庭真实噪声环境下 ≥ 0.85（事件级，±1 秒容差匹配）</w:t>
            </w:r>
          </w:p>
        </w:tc>
      </w:tr>
      <w:tr>
        <w:tc>
          <w:tcPr>
            <w:tcW w:type="dxa" w:w="1826"/>
            <w:shd w:val="clear" w:color="auto" w:fill="EDF3F9"/>
          </w:tcPr>
          <w:p>
            <w:pPr>
              <w:spacing w:after="0" w:line="276" w:lineRule="auto"/>
            </w:pPr>
            <w:r/>
            <w:r>
              <w:rPr>
                <w:rFonts w:ascii="宋体" w:hAnsi="宋体" w:eastAsia="宋体" w:cs="宋体"/>
                <w:b w:val="0"/>
                <w:i w:val="0"/>
                <w:color w:val="000000"/>
                <w:sz w:val="19"/>
              </w:rPr>
              <w:t>算法能力</w:t>
            </w:r>
          </w:p>
        </w:tc>
        <w:tc>
          <w:tcPr>
            <w:tcW w:type="dxa" w:w="2624"/>
            <w:shd w:val="clear" w:color="auto" w:fill="EDF3F9"/>
          </w:tcPr>
          <w:p>
            <w:pPr>
              <w:spacing w:after="0" w:line="276" w:lineRule="auto"/>
            </w:pPr>
            <w:r/>
            <w:r>
              <w:rPr>
                <w:rFonts w:ascii="宋体" w:hAnsi="宋体" w:eastAsia="宋体" w:cs="宋体"/>
                <w:b w:val="0"/>
                <w:i w:val="0"/>
                <w:color w:val="000000"/>
                <w:sz w:val="19"/>
              </w:rPr>
              <w:t>喘息（wheeze）检出敏感度</w:t>
            </w:r>
          </w:p>
        </w:tc>
        <w:tc>
          <w:tcPr>
            <w:tcW w:type="dxa" w:w="4678"/>
            <w:shd w:val="clear" w:color="auto" w:fill="EDF3F9"/>
          </w:tcPr>
          <w:p>
            <w:pPr>
              <w:spacing w:after="0" w:line="276" w:lineRule="auto"/>
            </w:pPr>
            <w:r/>
            <w:r>
              <w:rPr>
                <w:rFonts w:ascii="宋体" w:hAnsi="宋体" w:eastAsia="宋体" w:cs="宋体"/>
                <w:b w:val="0"/>
                <w:i w:val="0"/>
                <w:color w:val="000000"/>
                <w:sz w:val="19"/>
              </w:rPr>
              <w:t>≥ 0.80，特异度 ≥ 0.85（片段级）；参照儿童肺音 AI 荟萃分析（41 项研究）的喘息检出合并敏感度 0.902、特异度 0.955</w:t>
            </w:r>
          </w:p>
        </w:tc>
      </w:tr>
      <w:tr>
        <w:tc>
          <w:tcPr>
            <w:tcW w:type="dxa" w:w="1826"/>
          </w:tcPr>
          <w:p>
            <w:pPr>
              <w:spacing w:after="0" w:line="276" w:lineRule="auto"/>
            </w:pPr>
            <w:r/>
            <w:r>
              <w:rPr>
                <w:rFonts w:ascii="宋体" w:hAnsi="宋体" w:eastAsia="宋体" w:cs="宋体"/>
                <w:b w:val="0"/>
                <w:i w:val="0"/>
                <w:color w:val="000000"/>
                <w:sz w:val="19"/>
              </w:rPr>
              <w:t>算法能力</w:t>
            </w:r>
          </w:p>
        </w:tc>
        <w:tc>
          <w:tcPr>
            <w:tcW w:type="dxa" w:w="2624"/>
          </w:tcPr>
          <w:p>
            <w:pPr>
              <w:spacing w:after="0" w:line="276" w:lineRule="auto"/>
            </w:pPr>
            <w:r/>
            <w:r>
              <w:rPr>
                <w:rFonts w:ascii="宋体" w:hAnsi="宋体" w:eastAsia="宋体" w:cs="宋体"/>
                <w:b w:val="0"/>
                <w:i w:val="0"/>
                <w:color w:val="000000"/>
                <w:sz w:val="19"/>
              </w:rPr>
              <w:t>咳嗽计数一致性 ICC(2,1)</w:t>
            </w:r>
          </w:p>
        </w:tc>
        <w:tc>
          <w:tcPr>
            <w:tcW w:type="dxa" w:w="4678"/>
          </w:tcPr>
          <w:p>
            <w:pPr>
              <w:spacing w:after="0" w:line="276" w:lineRule="auto"/>
            </w:pPr>
            <w:r/>
            <w:r>
              <w:rPr>
                <w:rFonts w:ascii="宋体" w:hAnsi="宋体" w:eastAsia="宋体" w:cs="宋体"/>
                <w:b w:val="0"/>
                <w:i w:val="0"/>
                <w:color w:val="000000"/>
                <w:sz w:val="19"/>
              </w:rPr>
              <w:t>≥ 0.90（对标莱斯特咳嗽监测仪的个体内 ICC 0.9），同时报告 Bland-Altman 一致性界限；ICC 即组内相关系数（Intraclass Correlation Coefficient）</w:t>
            </w:r>
          </w:p>
        </w:tc>
      </w:tr>
      <w:tr>
        <w:tc>
          <w:tcPr>
            <w:tcW w:type="dxa" w:w="1826"/>
            <w:shd w:val="clear" w:color="auto" w:fill="EDF3F9"/>
          </w:tcPr>
          <w:p>
            <w:pPr>
              <w:spacing w:after="0" w:line="276" w:lineRule="auto"/>
            </w:pPr>
            <w:r/>
            <w:r>
              <w:rPr>
                <w:rFonts w:ascii="宋体" w:hAnsi="宋体" w:eastAsia="宋体" w:cs="宋体"/>
                <w:b w:val="0"/>
                <w:i w:val="0"/>
                <w:color w:val="000000"/>
                <w:sz w:val="19"/>
              </w:rPr>
              <w:t>算法能力</w:t>
            </w:r>
          </w:p>
        </w:tc>
        <w:tc>
          <w:tcPr>
            <w:tcW w:type="dxa" w:w="2624"/>
            <w:shd w:val="clear" w:color="auto" w:fill="EDF3F9"/>
          </w:tcPr>
          <w:p>
            <w:pPr>
              <w:spacing w:after="0" w:line="276" w:lineRule="auto"/>
            </w:pPr>
            <w:r/>
            <w:r>
              <w:rPr>
                <w:rFonts w:ascii="宋体" w:hAnsi="宋体" w:eastAsia="宋体" w:cs="宋体"/>
                <w:b w:val="0"/>
                <w:i w:val="0"/>
                <w:color w:val="000000"/>
                <w:sz w:val="19"/>
              </w:rPr>
              <w:t>咳嗽计数假阳性率</w:t>
            </w:r>
          </w:p>
        </w:tc>
        <w:tc>
          <w:tcPr>
            <w:tcW w:type="dxa" w:w="4678"/>
            <w:shd w:val="clear" w:color="auto" w:fill="EDF3F9"/>
          </w:tcPr>
          <w:p>
            <w:pPr>
              <w:spacing w:after="0" w:line="276" w:lineRule="auto"/>
            </w:pPr>
            <w:r/>
            <w:r>
              <w:rPr>
                <w:rFonts w:ascii="宋体" w:hAnsi="宋体" w:eastAsia="宋体" w:cs="宋体"/>
                <w:b w:val="0"/>
                <w:i w:val="0"/>
                <w:color w:val="000000"/>
                <w:sz w:val="19"/>
              </w:rPr>
              <w:t>设计目标 ≤ 1.0 次/小时，验收上限 ≤ 2 次/小时（对标莱斯特 2.5 次/小时、Hyfe 1.03 次/小时），这是居家连续监测可用性的瓶颈指标</w:t>
            </w:r>
          </w:p>
        </w:tc>
      </w:tr>
      <w:tr>
        <w:tc>
          <w:tcPr>
            <w:tcW w:type="dxa" w:w="1826"/>
          </w:tcPr>
          <w:p>
            <w:pPr>
              <w:spacing w:after="0" w:line="276" w:lineRule="auto"/>
            </w:pPr>
            <w:r/>
            <w:r>
              <w:rPr>
                <w:rFonts w:ascii="宋体" w:hAnsi="宋体" w:eastAsia="宋体" w:cs="宋体"/>
                <w:b w:val="0"/>
                <w:i w:val="0"/>
                <w:color w:val="000000"/>
                <w:sz w:val="19"/>
              </w:rPr>
              <w:t>算法能力</w:t>
            </w:r>
          </w:p>
        </w:tc>
        <w:tc>
          <w:tcPr>
            <w:tcW w:type="dxa" w:w="2624"/>
          </w:tcPr>
          <w:p>
            <w:pPr>
              <w:spacing w:after="0" w:line="276" w:lineRule="auto"/>
            </w:pPr>
            <w:r/>
            <w:r>
              <w:rPr>
                <w:rFonts w:ascii="宋体" w:hAnsi="宋体" w:eastAsia="宋体" w:cs="宋体"/>
                <w:b w:val="0"/>
                <w:i w:val="0"/>
                <w:color w:val="000000"/>
                <w:sz w:val="19"/>
              </w:rPr>
              <w:t>呼吸率估计误差</w:t>
            </w:r>
          </w:p>
        </w:tc>
        <w:tc>
          <w:tcPr>
            <w:tcW w:type="dxa" w:w="4678"/>
          </w:tcPr>
          <w:p>
            <w:pPr>
              <w:spacing w:after="0" w:line="276" w:lineRule="auto"/>
            </w:pPr>
            <w:r/>
            <w:r>
              <w:rPr>
                <w:rFonts w:ascii="宋体" w:hAnsi="宋体" w:eastAsia="宋体" w:cs="宋体"/>
                <w:b w:val="0"/>
                <w:i w:val="0"/>
                <w:color w:val="000000"/>
                <w:sz w:val="19"/>
              </w:rPr>
              <w:t>MAE ≤ 2 次/分，RMSD ＜ 3 次/分（RMSD 即均方根偏差，Root Mean Square Deviation；与 capnography 或 III 型心肺监测对照）；RMSD ＜ 3 次/分是呼吸率监测设备被普遍接受的临床可接受误差范围</w:t>
            </w:r>
          </w:p>
        </w:tc>
      </w:tr>
      <w:tr>
        <w:tc>
          <w:tcPr>
            <w:tcW w:type="dxa" w:w="1826"/>
            <w:shd w:val="clear" w:color="auto" w:fill="EDF3F9"/>
          </w:tcPr>
          <w:p>
            <w:pPr>
              <w:spacing w:after="0" w:line="276" w:lineRule="auto"/>
            </w:pPr>
            <w:r/>
            <w:r>
              <w:rPr>
                <w:rFonts w:ascii="宋体" w:hAnsi="宋体" w:eastAsia="宋体" w:cs="宋体"/>
                <w:b w:val="0"/>
                <w:i w:val="0"/>
                <w:color w:val="000000"/>
                <w:sz w:val="19"/>
              </w:rPr>
              <w:t>算法能力</w:t>
            </w:r>
          </w:p>
        </w:tc>
        <w:tc>
          <w:tcPr>
            <w:tcW w:type="dxa" w:w="2624"/>
            <w:shd w:val="clear" w:color="auto" w:fill="EDF3F9"/>
          </w:tcPr>
          <w:p>
            <w:pPr>
              <w:spacing w:after="0" w:line="276" w:lineRule="auto"/>
            </w:pPr>
            <w:r/>
            <w:r>
              <w:rPr>
                <w:rFonts w:ascii="宋体" w:hAnsi="宋体" w:eastAsia="宋体" w:cs="宋体"/>
                <w:b w:val="0"/>
                <w:i w:val="0"/>
                <w:color w:val="000000"/>
                <w:sz w:val="19"/>
              </w:rPr>
              <w:t>夜间咳嗽指数</w:t>
            </w:r>
          </w:p>
        </w:tc>
        <w:tc>
          <w:tcPr>
            <w:tcW w:type="dxa" w:w="4678"/>
            <w:shd w:val="clear" w:color="auto" w:fill="EDF3F9"/>
          </w:tcPr>
          <w:p>
            <w:pPr>
              <w:spacing w:after="0" w:line="276" w:lineRule="auto"/>
            </w:pPr>
            <w:r/>
            <w:r>
              <w:rPr>
                <w:rFonts w:ascii="宋体" w:hAnsi="宋体" w:eastAsia="宋体" w:cs="宋体"/>
                <w:b w:val="0"/>
                <w:i w:val="0"/>
                <w:color w:val="000000"/>
                <w:sz w:val="19"/>
              </w:rPr>
              <w:t>输出每小时咳嗽次数与夜间占比，支持周/月趋势</w:t>
            </w:r>
          </w:p>
        </w:tc>
      </w:tr>
      <w:tr>
        <w:tc>
          <w:tcPr>
            <w:tcW w:type="dxa" w:w="1826"/>
          </w:tcPr>
          <w:p>
            <w:pPr>
              <w:spacing w:after="0" w:line="276" w:lineRule="auto"/>
            </w:pPr>
            <w:r/>
            <w:r>
              <w:rPr>
                <w:rFonts w:ascii="宋体" w:hAnsi="宋体" w:eastAsia="宋体" w:cs="宋体"/>
                <w:b w:val="0"/>
                <w:i w:val="0"/>
                <w:color w:val="000000"/>
                <w:sz w:val="19"/>
              </w:rPr>
              <w:t>边缘性能</w:t>
            </w:r>
          </w:p>
        </w:tc>
        <w:tc>
          <w:tcPr>
            <w:tcW w:type="dxa" w:w="2624"/>
          </w:tcPr>
          <w:p>
            <w:pPr>
              <w:spacing w:after="0" w:line="276" w:lineRule="auto"/>
            </w:pPr>
            <w:r/>
            <w:r>
              <w:rPr>
                <w:rFonts w:ascii="宋体" w:hAnsi="宋体" w:eastAsia="宋体" w:cs="宋体"/>
                <w:b w:val="0"/>
                <w:i w:val="0"/>
                <w:color w:val="000000"/>
                <w:sz w:val="19"/>
              </w:rPr>
              <w:t>单次推理延时</w:t>
            </w:r>
          </w:p>
        </w:tc>
        <w:tc>
          <w:tcPr>
            <w:tcW w:type="dxa" w:w="4678"/>
          </w:tcPr>
          <w:p>
            <w:pPr>
              <w:spacing w:after="0" w:line="276" w:lineRule="auto"/>
            </w:pPr>
            <w:r/>
            <w:r>
              <w:rPr>
                <w:rFonts w:ascii="宋体" w:hAnsi="宋体" w:eastAsia="宋体" w:cs="宋体"/>
                <w:b w:val="0"/>
                <w:i w:val="0"/>
                <w:color w:val="000000"/>
                <w:sz w:val="19"/>
              </w:rPr>
              <w:t>≤ 80 ms / 1 秒音频窗口，端到端 ≤ 300 ms</w:t>
            </w:r>
          </w:p>
        </w:tc>
      </w:tr>
      <w:tr>
        <w:tc>
          <w:tcPr>
            <w:tcW w:type="dxa" w:w="1826"/>
            <w:shd w:val="clear" w:color="auto" w:fill="EDF3F9"/>
          </w:tcPr>
          <w:p>
            <w:pPr>
              <w:spacing w:after="0" w:line="276" w:lineRule="auto"/>
            </w:pPr>
            <w:r/>
            <w:r>
              <w:rPr>
                <w:rFonts w:ascii="宋体" w:hAnsi="宋体" w:eastAsia="宋体" w:cs="宋体"/>
                <w:b w:val="0"/>
                <w:i w:val="0"/>
                <w:color w:val="000000"/>
                <w:sz w:val="19"/>
              </w:rPr>
              <w:t>边缘性能</w:t>
            </w:r>
          </w:p>
        </w:tc>
        <w:tc>
          <w:tcPr>
            <w:tcW w:type="dxa" w:w="2624"/>
            <w:shd w:val="clear" w:color="auto" w:fill="EDF3F9"/>
          </w:tcPr>
          <w:p>
            <w:pPr>
              <w:spacing w:after="0" w:line="276" w:lineRule="auto"/>
            </w:pPr>
            <w:r/>
            <w:r>
              <w:rPr>
                <w:rFonts w:ascii="宋体" w:hAnsi="宋体" w:eastAsia="宋体" w:cs="宋体"/>
                <w:b w:val="0"/>
                <w:i w:val="0"/>
                <w:color w:val="000000"/>
                <w:sz w:val="19"/>
              </w:rPr>
              <w:t>模型体积</w:t>
            </w:r>
          </w:p>
        </w:tc>
        <w:tc>
          <w:tcPr>
            <w:tcW w:type="dxa" w:w="4678"/>
            <w:shd w:val="clear" w:color="auto" w:fill="EDF3F9"/>
          </w:tcPr>
          <w:p>
            <w:pPr>
              <w:spacing w:after="0" w:line="276" w:lineRule="auto"/>
            </w:pPr>
            <w:r/>
            <w:r>
              <w:rPr>
                <w:rFonts w:ascii="宋体" w:hAnsi="宋体" w:eastAsia="宋体" w:cs="宋体"/>
                <w:b w:val="0"/>
                <w:i w:val="0"/>
                <w:color w:val="000000"/>
                <w:sz w:val="19"/>
              </w:rPr>
              <w:t>单模型 ≤ 4 MB，全链路常驻 ≤ 12 MB</w:t>
            </w:r>
          </w:p>
        </w:tc>
      </w:tr>
      <w:tr>
        <w:tc>
          <w:tcPr>
            <w:tcW w:type="dxa" w:w="1826"/>
          </w:tcPr>
          <w:p>
            <w:pPr>
              <w:spacing w:after="0" w:line="276" w:lineRule="auto"/>
            </w:pPr>
            <w:r/>
            <w:r>
              <w:rPr>
                <w:rFonts w:ascii="宋体" w:hAnsi="宋体" w:eastAsia="宋体" w:cs="宋体"/>
                <w:b w:val="0"/>
                <w:i w:val="0"/>
                <w:color w:val="000000"/>
                <w:sz w:val="19"/>
              </w:rPr>
              <w:t>边缘性能</w:t>
            </w:r>
          </w:p>
        </w:tc>
        <w:tc>
          <w:tcPr>
            <w:tcW w:type="dxa" w:w="2624"/>
          </w:tcPr>
          <w:p>
            <w:pPr>
              <w:spacing w:after="0" w:line="276" w:lineRule="auto"/>
            </w:pPr>
            <w:r/>
            <w:r>
              <w:rPr>
                <w:rFonts w:ascii="宋体" w:hAnsi="宋体" w:eastAsia="宋体" w:cs="宋体"/>
                <w:b w:val="0"/>
                <w:i w:val="0"/>
                <w:color w:val="000000"/>
                <w:sz w:val="19"/>
              </w:rPr>
              <w:t>整机功耗</w:t>
            </w:r>
          </w:p>
        </w:tc>
        <w:tc>
          <w:tcPr>
            <w:tcW w:type="dxa" w:w="4678"/>
          </w:tcPr>
          <w:p>
            <w:pPr>
              <w:spacing w:after="0" w:line="276" w:lineRule="auto"/>
            </w:pPr>
            <w:r/>
            <w:r>
              <w:rPr>
                <w:rFonts w:ascii="宋体" w:hAnsi="宋体" w:eastAsia="宋体" w:cs="宋体"/>
                <w:b w:val="0"/>
                <w:i w:val="0"/>
                <w:color w:val="000000"/>
                <w:sz w:val="19"/>
              </w:rPr>
              <w:t>边缘节点典型 ≤ 3.5 W，支持 ≥ 8 小时电池续航</w:t>
            </w:r>
          </w:p>
        </w:tc>
      </w:tr>
      <w:tr>
        <w:tc>
          <w:tcPr>
            <w:tcW w:type="dxa" w:w="1826"/>
            <w:shd w:val="clear" w:color="auto" w:fill="EDF3F9"/>
          </w:tcPr>
          <w:p>
            <w:pPr>
              <w:spacing w:after="0" w:line="276" w:lineRule="auto"/>
            </w:pPr>
            <w:r/>
            <w:r>
              <w:rPr>
                <w:rFonts w:ascii="宋体" w:hAnsi="宋体" w:eastAsia="宋体" w:cs="宋体"/>
                <w:b w:val="0"/>
                <w:i w:val="0"/>
                <w:color w:val="000000"/>
                <w:sz w:val="19"/>
              </w:rPr>
              <w:t>边缘性能</w:t>
            </w:r>
          </w:p>
        </w:tc>
        <w:tc>
          <w:tcPr>
            <w:tcW w:type="dxa" w:w="2624"/>
            <w:shd w:val="clear" w:color="auto" w:fill="EDF3F9"/>
          </w:tcPr>
          <w:p>
            <w:pPr>
              <w:spacing w:after="0" w:line="276" w:lineRule="auto"/>
            </w:pPr>
            <w:r/>
            <w:r>
              <w:rPr>
                <w:rFonts w:ascii="宋体" w:hAnsi="宋体" w:eastAsia="宋体" w:cs="宋体"/>
                <w:b w:val="0"/>
                <w:i w:val="0"/>
                <w:color w:val="000000"/>
                <w:sz w:val="19"/>
              </w:rPr>
              <w:t>算力占用</w:t>
            </w:r>
          </w:p>
        </w:tc>
        <w:tc>
          <w:tcPr>
            <w:tcW w:type="dxa" w:w="4678"/>
            <w:shd w:val="clear" w:color="auto" w:fill="EDF3F9"/>
          </w:tcPr>
          <w:p>
            <w:pPr>
              <w:spacing w:after="0" w:line="276" w:lineRule="auto"/>
            </w:pPr>
            <w:r/>
            <w:r>
              <w:rPr>
                <w:rFonts w:ascii="宋体" w:hAnsi="宋体" w:eastAsia="宋体" w:cs="宋体"/>
                <w:b w:val="0"/>
                <w:i w:val="0"/>
                <w:color w:val="000000"/>
                <w:sz w:val="19"/>
              </w:rPr>
              <w:t>NPU 持续占用 ≤ 25%，为多任务并行与升级预留余量</w:t>
            </w:r>
          </w:p>
        </w:tc>
      </w:tr>
      <w:tr>
        <w:tc>
          <w:tcPr>
            <w:tcW w:type="dxa" w:w="1826"/>
          </w:tcPr>
          <w:p>
            <w:pPr>
              <w:spacing w:after="0" w:line="276" w:lineRule="auto"/>
            </w:pPr>
            <w:r/>
            <w:r>
              <w:rPr>
                <w:rFonts w:ascii="宋体" w:hAnsi="宋体" w:eastAsia="宋体" w:cs="宋体"/>
                <w:b w:val="0"/>
                <w:i w:val="0"/>
                <w:color w:val="000000"/>
                <w:sz w:val="19"/>
              </w:rPr>
              <w:t>产品能力</w:t>
            </w:r>
          </w:p>
        </w:tc>
        <w:tc>
          <w:tcPr>
            <w:tcW w:type="dxa" w:w="2624"/>
          </w:tcPr>
          <w:p>
            <w:pPr>
              <w:spacing w:after="0" w:line="276" w:lineRule="auto"/>
            </w:pPr>
            <w:r/>
            <w:r>
              <w:rPr>
                <w:rFonts w:ascii="宋体" w:hAnsi="宋体" w:eastAsia="宋体" w:cs="宋体"/>
                <w:b w:val="0"/>
                <w:i w:val="0"/>
                <w:color w:val="000000"/>
                <w:sz w:val="19"/>
              </w:rPr>
              <w:t>连续监听时长</w:t>
            </w:r>
          </w:p>
        </w:tc>
        <w:tc>
          <w:tcPr>
            <w:tcW w:type="dxa" w:w="4678"/>
          </w:tcPr>
          <w:p>
            <w:pPr>
              <w:spacing w:after="0" w:line="276" w:lineRule="auto"/>
            </w:pPr>
            <w:r/>
            <w:r>
              <w:rPr>
                <w:rFonts w:ascii="宋体" w:hAnsi="宋体" w:eastAsia="宋体" w:cs="宋体"/>
                <w:b w:val="0"/>
                <w:i w:val="0"/>
                <w:color w:val="000000"/>
                <w:sz w:val="19"/>
              </w:rPr>
              <w:t>≥ 10 小时/夜，支持 24 小时连续模式</w:t>
            </w:r>
          </w:p>
        </w:tc>
      </w:tr>
      <w:tr>
        <w:tc>
          <w:tcPr>
            <w:tcW w:type="dxa" w:w="1826"/>
            <w:shd w:val="clear" w:color="auto" w:fill="EDF3F9"/>
          </w:tcPr>
          <w:p>
            <w:pPr>
              <w:spacing w:after="0" w:line="276" w:lineRule="auto"/>
            </w:pPr>
            <w:r/>
            <w:r>
              <w:rPr>
                <w:rFonts w:ascii="宋体" w:hAnsi="宋体" w:eastAsia="宋体" w:cs="宋体"/>
                <w:b w:val="0"/>
                <w:i w:val="0"/>
                <w:color w:val="000000"/>
                <w:sz w:val="19"/>
              </w:rPr>
              <w:t>产品能力</w:t>
            </w:r>
          </w:p>
        </w:tc>
        <w:tc>
          <w:tcPr>
            <w:tcW w:type="dxa" w:w="2624"/>
            <w:shd w:val="clear" w:color="auto" w:fill="EDF3F9"/>
          </w:tcPr>
          <w:p>
            <w:pPr>
              <w:spacing w:after="0" w:line="276" w:lineRule="auto"/>
            </w:pPr>
            <w:r/>
            <w:r>
              <w:rPr>
                <w:rFonts w:ascii="宋体" w:hAnsi="宋体" w:eastAsia="宋体" w:cs="宋体"/>
                <w:b w:val="0"/>
                <w:i w:val="0"/>
                <w:color w:val="000000"/>
                <w:sz w:val="19"/>
              </w:rPr>
              <w:t>机型一致性</w:t>
            </w:r>
          </w:p>
        </w:tc>
        <w:tc>
          <w:tcPr>
            <w:tcW w:type="dxa" w:w="4678"/>
            <w:shd w:val="clear" w:color="auto" w:fill="EDF3F9"/>
          </w:tcPr>
          <w:p>
            <w:pPr>
              <w:spacing w:after="0" w:line="276" w:lineRule="auto"/>
            </w:pPr>
            <w:r/>
            <w:r>
              <w:rPr>
                <w:rFonts w:ascii="宋体" w:hAnsi="宋体" w:eastAsia="宋体" w:cs="宋体"/>
                <w:b w:val="0"/>
                <w:i w:val="0"/>
                <w:color w:val="000000"/>
                <w:sz w:val="19"/>
              </w:rPr>
              <w:t>多机型咳嗽计数相对偏差 ≤ 15%</w:t>
            </w:r>
          </w:p>
        </w:tc>
      </w:tr>
      <w:tr>
        <w:tc>
          <w:tcPr>
            <w:tcW w:type="dxa" w:w="1826"/>
          </w:tcPr>
          <w:p>
            <w:pPr>
              <w:spacing w:after="0" w:line="276" w:lineRule="auto"/>
            </w:pPr>
            <w:r/>
            <w:r>
              <w:rPr>
                <w:rFonts w:ascii="宋体" w:hAnsi="宋体" w:eastAsia="宋体" w:cs="宋体"/>
                <w:b w:val="0"/>
                <w:i w:val="0"/>
                <w:color w:val="000000"/>
                <w:sz w:val="19"/>
              </w:rPr>
              <w:t>商业目标</w:t>
            </w:r>
          </w:p>
        </w:tc>
        <w:tc>
          <w:tcPr>
            <w:tcW w:type="dxa" w:w="2624"/>
          </w:tcPr>
          <w:p>
            <w:pPr>
              <w:spacing w:after="0" w:line="276" w:lineRule="auto"/>
            </w:pPr>
            <w:r/>
            <w:r>
              <w:rPr>
                <w:rFonts w:ascii="宋体" w:hAnsi="宋体" w:eastAsia="宋体" w:cs="宋体"/>
                <w:b w:val="0"/>
                <w:i w:val="0"/>
                <w:color w:val="000000"/>
                <w:sz w:val="19"/>
              </w:rPr>
              <w:t>第三年营收</w:t>
            </w:r>
          </w:p>
        </w:tc>
        <w:tc>
          <w:tcPr>
            <w:tcW w:type="dxa" w:w="4678"/>
          </w:tcPr>
          <w:p>
            <w:pPr>
              <w:spacing w:after="0" w:line="276" w:lineRule="auto"/>
            </w:pPr>
            <w:r/>
            <w:r>
              <w:rPr>
                <w:rFonts w:ascii="宋体" w:hAnsi="宋体" w:eastAsia="宋体" w:cs="宋体"/>
                <w:b w:val="0"/>
                <w:i w:val="0"/>
                <w:color w:val="000000"/>
                <w:sz w:val="19"/>
              </w:rPr>
              <w:t>约 1,000 万元量级（结构见 9.5 财务预测）</w:t>
            </w:r>
          </w:p>
        </w:tc>
      </w:tr>
      <w:tr>
        <w:tc>
          <w:tcPr>
            <w:tcW w:type="dxa" w:w="1826"/>
            <w:shd w:val="clear" w:color="auto" w:fill="EDF3F9"/>
          </w:tcPr>
          <w:p>
            <w:pPr>
              <w:spacing w:after="0" w:line="276" w:lineRule="auto"/>
            </w:pPr>
            <w:r/>
            <w:r>
              <w:rPr>
                <w:rFonts w:ascii="宋体" w:hAnsi="宋体" w:eastAsia="宋体" w:cs="宋体"/>
                <w:b w:val="0"/>
                <w:i w:val="0"/>
                <w:color w:val="000000"/>
                <w:sz w:val="19"/>
              </w:rPr>
              <w:t>合规目标</w:t>
            </w:r>
          </w:p>
        </w:tc>
        <w:tc>
          <w:tcPr>
            <w:tcW w:type="dxa" w:w="2624"/>
            <w:shd w:val="clear" w:color="auto" w:fill="EDF3F9"/>
          </w:tcPr>
          <w:p>
            <w:pPr>
              <w:spacing w:after="0" w:line="276" w:lineRule="auto"/>
            </w:pPr>
            <w:r/>
            <w:r>
              <w:rPr>
                <w:rFonts w:ascii="宋体" w:hAnsi="宋体" w:eastAsia="宋体" w:cs="宋体"/>
                <w:b w:val="0"/>
                <w:i w:val="0"/>
                <w:color w:val="000000"/>
                <w:sz w:val="19"/>
              </w:rPr>
              <w:t>注册路径</w:t>
            </w:r>
          </w:p>
        </w:tc>
        <w:tc>
          <w:tcPr>
            <w:tcW w:type="dxa" w:w="4678"/>
            <w:shd w:val="clear" w:color="auto" w:fill="EDF3F9"/>
          </w:tcPr>
          <w:p>
            <w:pPr>
              <w:spacing w:after="0" w:line="276" w:lineRule="auto"/>
            </w:pPr>
            <w:r/>
            <w:r>
              <w:rPr>
                <w:rFonts w:ascii="宋体" w:hAnsi="宋体" w:eastAsia="宋体" w:cs="宋体"/>
                <w:b w:val="0"/>
                <w:i w:val="0"/>
                <w:color w:val="000000"/>
                <w:sz w:val="19"/>
              </w:rPr>
              <w:t>按《人工智能医用软件产品分类界定指导原则》（国家药监局 2021 年第 47 号通告）初步判断倾向第二类（《医疗器械分类目录》21-03 数据处理软件），须向省级药品监督管理部门申请分类界定确认后启动注册</w:t>
            </w:r>
          </w:p>
        </w:tc>
      </w:tr>
    </w:tbl>
    <w:p>
      <w:pPr>
        <w:spacing w:after="40"/>
      </w:pPr>
    </w:p>
    <w:p>
      <w:pPr>
        <w:spacing w:after="80"/>
        <w:jc w:val="left"/>
      </w:pPr>
      <w:r>
        <w:rPr>
          <w:rFonts w:ascii="宋体" w:hAnsi="宋体" w:eastAsia="宋体" w:cs="宋体"/>
          <w:b w:val="0"/>
          <w:i w:val="0"/>
          <w:color w:val="595959"/>
          <w:sz w:val="18"/>
        </w:rPr>
        <w:t>注：表中性能指标为项目设计目标（验收口径），实测数据在样机测试报告中给出；市场数据来源见附录 B。</w:t>
      </w:r>
    </w:p>
    <w:p>
      <w:pPr>
        <w:pStyle w:val="Heading2"/>
      </w:pPr>
      <w:r>
        <w:rPr>
          <w:rFonts w:ascii="宋体" w:hAnsi="宋体" w:eastAsia="宋体" w:cs="宋体"/>
          <w:b/>
          <w:i w:val="0"/>
          <w:color w:val="2E74B5"/>
          <w:sz w:val="25"/>
        </w:rPr>
        <w:t>1.4 项目愿景</w:t>
      </w:r>
    </w:p>
    <w:p>
      <w:pPr>
        <w:spacing w:after="80"/>
        <w:ind w:firstLine="420"/>
      </w:pPr>
      <w:r>
        <w:rPr>
          <w:rFonts w:ascii="宋体" w:hAnsi="宋体" w:eastAsia="宋体" w:cs="宋体"/>
          <w:b w:val="0"/>
          <w:i w:val="0"/>
          <w:color w:val="000000"/>
          <w:sz w:val="21"/>
        </w:rPr>
        <w:t>让呼吸慢病的院外管理从“凭感觉”走向“凭数据”：三年内成为国内居家呼吸声学监测的算法与边缘部署方案供应商，五年内推动声学指标进入呼吸慢病随访与药物临床试验的标准评价体系。</w:t>
      </w:r>
    </w:p>
    <w:p>
      <w:pPr>
        <w:pStyle w:val="Heading1"/>
      </w:pPr>
      <w:r>
        <w:rPr>
          <w:rFonts w:ascii="宋体" w:hAnsi="宋体" w:eastAsia="宋体" w:cs="宋体"/>
          <w:b/>
          <w:i w:val="0"/>
          <w:color w:val="1F4E79"/>
          <w:sz w:val="30"/>
        </w:rPr>
        <w:t>第二章 项目背景与需求分析</w:t>
      </w:r>
    </w:p>
    <w:p>
      <w:pPr>
        <w:pStyle w:val="Heading2"/>
      </w:pPr>
      <w:r>
        <w:rPr>
          <w:rFonts w:ascii="宋体" w:hAnsi="宋体" w:eastAsia="宋体" w:cs="宋体"/>
          <w:b/>
          <w:i w:val="0"/>
          <w:color w:val="2E74B5"/>
          <w:sz w:val="25"/>
        </w:rPr>
        <w:t>2.1 临床背景：呼吸慢病的院外管理困境</w:t>
      </w:r>
    </w:p>
    <w:p>
      <w:pPr>
        <w:spacing w:after="80"/>
        <w:ind w:firstLine="420"/>
      </w:pPr>
      <w:r>
        <w:rPr>
          <w:rFonts w:ascii="宋体" w:hAnsi="宋体" w:eastAsia="宋体" w:cs="宋体"/>
          <w:b w:val="0"/>
          <w:i w:val="0"/>
          <w:color w:val="000000"/>
          <w:sz w:val="21"/>
        </w:rPr>
        <w:t>哮喘与慢阻肺是我国最主要的慢性呼吸系统疾病，具有患病人数多、病程长、需终身管理的特点，而疾病控制水平长期不理想。其临床特征决定了这类疾病极度依赖“院外、长期、连续”的观察：咳嗽与喘息是病情波动最敏感的早期信号，夜间症状加重常先于肺功能下降与急性加重出现。</w:t>
      </w:r>
    </w:p>
    <w:p>
      <w:pPr>
        <w:spacing w:after="40" w:line="324" w:lineRule="auto"/>
        <w:ind w:left="425" w:hanging="283"/>
      </w:pPr>
      <w:r>
        <w:rPr>
          <w:rFonts w:ascii="宋体" w:hAnsi="宋体" w:eastAsia="宋体" w:cs="宋体"/>
          <w:b w:val="0"/>
          <w:i w:val="0"/>
          <w:color w:val="2E74B5"/>
          <w:sz w:val="18"/>
        </w:rPr>
        <w:t xml:space="preserve">● </w:t>
      </w:r>
      <w:r>
        <w:rPr>
          <w:rFonts w:ascii="宋体" w:hAnsi="宋体" w:eastAsia="宋体" w:cs="宋体"/>
          <w:b/>
          <w:i w:val="0"/>
          <w:color w:val="000000"/>
          <w:sz w:val="21"/>
        </w:rPr>
        <w:t>患病人数巨大：</w:t>
      </w:r>
      <w:r>
        <w:rPr>
          <w:rFonts w:ascii="宋体" w:hAnsi="宋体" w:eastAsia="宋体" w:cs="宋体"/>
          <w:b w:val="0"/>
          <w:i w:val="0"/>
          <w:color w:val="000000"/>
          <w:sz w:val="21"/>
        </w:rPr>
        <w:t>中国成人肺部健康研究（CPH Study，China Pulmonary Health Study）显示，我国 20 岁及以上成人慢阻肺（COPD，Chronic Obstructive Pulmonary Disease）患者约 9,990 万，患病率 8.6%（40 岁以上 13.7%、60 岁以上超过 27%）；哮喘患者约 4,570 万，患病率 4.2%；儿童哮喘患者超过 1,000 万。三类人群合计超过 1.5 亿，构成庞大的长期管理需求人群。</w:t>
      </w:r>
    </w:p>
    <w:p>
      <w:pPr>
        <w:spacing w:after="40" w:line="324" w:lineRule="auto"/>
        <w:ind w:left="425" w:hanging="283"/>
      </w:pPr>
      <w:r>
        <w:rPr>
          <w:rFonts w:ascii="宋体" w:hAnsi="宋体" w:eastAsia="宋体" w:cs="宋体"/>
          <w:b w:val="0"/>
          <w:i w:val="0"/>
          <w:color w:val="2E74B5"/>
          <w:sz w:val="18"/>
        </w:rPr>
        <w:t xml:space="preserve">● </w:t>
      </w:r>
      <w:r>
        <w:rPr>
          <w:rFonts w:ascii="宋体" w:hAnsi="宋体" w:eastAsia="宋体" w:cs="宋体"/>
          <w:b/>
          <w:i w:val="0"/>
          <w:color w:val="000000"/>
          <w:sz w:val="21"/>
        </w:rPr>
        <w:t>诊断缺口与管理缺口并存：</w:t>
      </w:r>
      <w:r>
        <w:rPr>
          <w:rFonts w:ascii="宋体" w:hAnsi="宋体" w:eastAsia="宋体" w:cs="宋体"/>
          <w:b w:val="0"/>
          <w:i w:val="0"/>
          <w:color w:val="000000"/>
          <w:sz w:val="21"/>
        </w:rPr>
        <w:t>哮喘患者中 71.2% 从未被医生诊断，仅 5.6% 接受规范的吸入激素（ICS，Inhaled Corticosteroid）治疗；慢阻肺患者中不足 3% 知晓自己患病、90% 从未获得明确诊断、约 60% 无明显咳嗽咳痰喘息症状；儿童哮喘整体控制率不足 50%。这意味着价值主张必须同时覆盖“症状学早筛 / 转诊触发”与“已确诊患者的长期管理”两条路径。</w:t>
      </w:r>
    </w:p>
    <w:p>
      <w:pPr>
        <w:spacing w:after="40" w:line="324" w:lineRule="auto"/>
        <w:ind w:left="425" w:hanging="283"/>
      </w:pPr>
      <w:r>
        <w:rPr>
          <w:rFonts w:ascii="宋体" w:hAnsi="宋体" w:eastAsia="宋体" w:cs="宋体"/>
          <w:b w:val="0"/>
          <w:i w:val="0"/>
          <w:color w:val="2E74B5"/>
          <w:sz w:val="18"/>
        </w:rPr>
        <w:t xml:space="preserve">● </w:t>
      </w:r>
      <w:r>
        <w:rPr>
          <w:rFonts w:ascii="宋体" w:hAnsi="宋体" w:eastAsia="宋体" w:cs="宋体"/>
          <w:b/>
          <w:i w:val="0"/>
          <w:color w:val="000000"/>
          <w:sz w:val="21"/>
        </w:rPr>
        <w:t>控制率偏低：</w:t>
      </w:r>
      <w:r>
        <w:rPr>
          <w:rFonts w:ascii="宋体" w:hAnsi="宋体" w:eastAsia="宋体" w:cs="宋体"/>
          <w:b w:val="0"/>
          <w:i w:val="0"/>
          <w:color w:val="000000"/>
          <w:sz w:val="21"/>
        </w:rPr>
        <w:t>哮喘与慢阻肺的规范治疗可显著改善预后，但实际达到良好控制的比例长期不理想，核心原因之一是院外缺乏客观、连续的病情数据，医生只能依据患者回忆调整用药方案；而回忆本身不可靠——儿童常年性哮喘连续 7 夜录音研究显示，家长报告 66% 的夜晚有咳嗽，录音实测为 90%，二者一致性 Cohen's κ 仅 0.30。</w:t>
      </w:r>
    </w:p>
    <w:p>
      <w:pPr>
        <w:spacing w:after="40" w:line="324" w:lineRule="auto"/>
        <w:ind w:left="425" w:hanging="283"/>
      </w:pPr>
      <w:r>
        <w:rPr>
          <w:rFonts w:ascii="宋体" w:hAnsi="宋体" w:eastAsia="宋体" w:cs="宋体"/>
          <w:b w:val="0"/>
          <w:i w:val="0"/>
          <w:color w:val="2E74B5"/>
          <w:sz w:val="18"/>
        </w:rPr>
        <w:t xml:space="preserve">● </w:t>
      </w:r>
      <w:r>
        <w:rPr>
          <w:rFonts w:ascii="宋体" w:hAnsi="宋体" w:eastAsia="宋体" w:cs="宋体"/>
          <w:b/>
          <w:i w:val="0"/>
          <w:color w:val="000000"/>
          <w:sz w:val="21"/>
        </w:rPr>
        <w:t>症状波动具有时间规律：</w:t>
      </w:r>
      <w:r>
        <w:rPr>
          <w:rFonts w:ascii="宋体" w:hAnsi="宋体" w:eastAsia="宋体" w:cs="宋体"/>
          <w:b w:val="0"/>
          <w:i w:val="0"/>
          <w:color w:val="000000"/>
          <w:sz w:val="21"/>
        </w:rPr>
        <w:t>咳嗽与喘息在夜间与清晨加重是呼吸慢病控制不佳的典型表现。94 例成人哮喘、2,212 个夜晚的客观监测显示，86% 的咳嗽成簇出现，躺下后前 30 分钟的咳嗽频次是其余夜间时段的 4.5 倍；而这些时段恰恰是医疗监测的空白时段。</w:t>
      </w:r>
    </w:p>
    <w:p>
      <w:pPr>
        <w:spacing w:after="40" w:line="324" w:lineRule="auto"/>
        <w:ind w:left="425" w:hanging="283"/>
      </w:pPr>
      <w:r>
        <w:rPr>
          <w:rFonts w:ascii="宋体" w:hAnsi="宋体" w:eastAsia="宋体" w:cs="宋体"/>
          <w:b w:val="0"/>
          <w:i w:val="0"/>
          <w:color w:val="2E74B5"/>
          <w:sz w:val="18"/>
        </w:rPr>
        <w:t xml:space="preserve">● </w:t>
      </w:r>
      <w:r>
        <w:rPr>
          <w:rFonts w:ascii="宋体" w:hAnsi="宋体" w:eastAsia="宋体" w:cs="宋体"/>
          <w:b/>
          <w:i w:val="0"/>
          <w:color w:val="000000"/>
          <w:sz w:val="21"/>
        </w:rPr>
        <w:t>急性加重代价高昂：</w:t>
      </w:r>
      <w:r>
        <w:rPr>
          <w:rFonts w:ascii="宋体" w:hAnsi="宋体" w:eastAsia="宋体" w:cs="宋体"/>
          <w:b w:val="0"/>
          <w:i w:val="0"/>
          <w:color w:val="000000"/>
          <w:sz w:val="21"/>
        </w:rPr>
        <w:t>在 433 例法国慢阻肺队列中，有慢性咳嗽咳痰者年均急性加重 2.20 次，无咳嗽咳痰者为 0.97 次；需住院的重度加重分别为 0.43 次/年与 0.22 次/年，频繁加重比例分别为 55% 与 22%。而加重前 3–7 天通常已出现咳嗽频次上升等声学信号，存在明确的预警窗口——居家手机监测研究已证实夜间咳嗽结合睡眠质量可提前最多 5 天预测急性发作。</w:t>
      </w:r>
    </w:p>
    <w:p>
      <w:pPr>
        <w:spacing w:after="40" w:line="324" w:lineRule="auto"/>
        <w:ind w:left="425" w:hanging="283"/>
      </w:pPr>
      <w:r>
        <w:rPr>
          <w:rFonts w:ascii="宋体" w:hAnsi="宋体" w:eastAsia="宋体" w:cs="宋体"/>
          <w:b w:val="0"/>
          <w:i w:val="0"/>
          <w:color w:val="2E74B5"/>
          <w:sz w:val="18"/>
        </w:rPr>
        <w:t xml:space="preserve">● </w:t>
      </w:r>
      <w:r>
        <w:rPr>
          <w:rFonts w:ascii="宋体" w:hAnsi="宋体" w:eastAsia="宋体" w:cs="宋体"/>
          <w:b/>
          <w:i w:val="0"/>
          <w:color w:val="000000"/>
          <w:sz w:val="21"/>
        </w:rPr>
        <w:t>主观描述不可靠：</w:t>
      </w:r>
      <w:r>
        <w:rPr>
          <w:rFonts w:ascii="宋体" w:hAnsi="宋体" w:eastAsia="宋体" w:cs="宋体"/>
          <w:b w:val="0"/>
          <w:i w:val="0"/>
          <w:color w:val="000000"/>
          <w:sz w:val="21"/>
        </w:rPr>
        <w:t>患者对咳嗽频次的自评与客观计数之间偏差很大——26 例稳定期慢阻肺患者中，主观评分与客观计数的相关系数仅 r = 0.37–0.50；症状日记依从性随时间快速下降，难以支撑长期随访与疗效评价。</w:t>
      </w:r>
    </w:p>
    <w:p>
      <w:pPr>
        <w:pStyle w:val="Heading2"/>
      </w:pPr>
      <w:r>
        <w:rPr>
          <w:rFonts w:ascii="宋体" w:hAnsi="宋体" w:eastAsia="宋体" w:cs="宋体"/>
          <w:b/>
          <w:i w:val="0"/>
          <w:color w:val="2E74B5"/>
          <w:sz w:val="25"/>
        </w:rPr>
        <w:t>2.2 现有监测手段的局限</w:t>
      </w:r>
    </w:p>
    <w:tbl>
      <w:tblPr>
        <w:tblStyle w:val="TableGrid"/>
        <w:jc w:val="center"/>
        <w:tblLook w:firstColumn="1" w:firstRow="1" w:lastColumn="0" w:lastRow="0" w:noHBand="0" w:noVBand="1" w:val="04A0"/>
        <w:tblCellMar>
          <w:top w:w="60" w:type="dxa"/>
          <w:left w:w="90" w:type="dxa"/>
          <w:bottom w:w="60" w:type="dxa"/>
          <w:right w:w="90" w:type="dxa"/>
        </w:tblCellMar>
        <w:tblW w:w="9129" w:type="dxa"/>
        <w:tblLayout w:type="fixed"/>
      </w:tblPr>
      <w:tblGrid>
        <w:gridCol w:w="1598"/>
        <w:gridCol w:w="3651"/>
        <w:gridCol w:w="3880"/>
      </w:tblGrid>
      <w:tr>
        <w:trPr>
          <w:tblHeader w:val="true"/>
        </w:trPr>
        <w:tc>
          <w:tcPr>
            <w:tcW w:type="dxa" w:w="1597"/>
            <w:shd w:val="clear" w:color="auto" w:fill="1F4E79"/>
          </w:tcPr>
          <w:p>
            <w:pPr>
              <w:spacing w:after="0" w:line="276" w:lineRule="auto"/>
              <w:jc w:val="center"/>
            </w:pPr>
            <w:r/>
            <w:r>
              <w:rPr>
                <w:rFonts w:ascii="宋体" w:hAnsi="宋体" w:eastAsia="宋体" w:cs="宋体"/>
                <w:b/>
                <w:i w:val="0"/>
                <w:color w:val="FFFFFF"/>
                <w:sz w:val="19"/>
              </w:rPr>
              <w:t>监测手段</w:t>
            </w:r>
          </w:p>
        </w:tc>
        <w:tc>
          <w:tcPr>
            <w:tcW w:type="dxa" w:w="3651"/>
            <w:shd w:val="clear" w:color="auto" w:fill="1F4E79"/>
          </w:tcPr>
          <w:p>
            <w:pPr>
              <w:spacing w:after="0" w:line="276" w:lineRule="auto"/>
              <w:jc w:val="center"/>
            </w:pPr>
            <w:r/>
            <w:r>
              <w:rPr>
                <w:rFonts w:ascii="宋体" w:hAnsi="宋体" w:eastAsia="宋体" w:cs="宋体"/>
                <w:b/>
                <w:i w:val="0"/>
                <w:color w:val="FFFFFF"/>
                <w:sz w:val="19"/>
              </w:rPr>
              <w:t>优势</w:t>
            </w:r>
          </w:p>
        </w:tc>
        <w:tc>
          <w:tcPr>
            <w:tcW w:type="dxa" w:w="3879"/>
            <w:shd w:val="clear" w:color="auto" w:fill="1F4E79"/>
          </w:tcPr>
          <w:p>
            <w:pPr>
              <w:spacing w:after="0" w:line="276" w:lineRule="auto"/>
              <w:jc w:val="center"/>
            </w:pPr>
            <w:r/>
            <w:r>
              <w:rPr>
                <w:rFonts w:ascii="宋体" w:hAnsi="宋体" w:eastAsia="宋体" w:cs="宋体"/>
                <w:b/>
                <w:i w:val="0"/>
                <w:color w:val="FFFFFF"/>
                <w:sz w:val="19"/>
              </w:rPr>
              <w:t>局限</w:t>
            </w:r>
          </w:p>
        </w:tc>
      </w:tr>
      <w:tr>
        <w:tc>
          <w:tcPr>
            <w:tcW w:type="dxa" w:w="1597"/>
          </w:tcPr>
          <w:p>
            <w:pPr>
              <w:spacing w:after="0" w:line="276" w:lineRule="auto"/>
            </w:pPr>
            <w:r/>
            <w:r>
              <w:rPr>
                <w:rFonts w:ascii="宋体" w:hAnsi="宋体" w:eastAsia="宋体" w:cs="宋体"/>
                <w:b w:val="0"/>
                <w:i w:val="0"/>
                <w:color w:val="000000"/>
                <w:sz w:val="19"/>
              </w:rPr>
              <w:t>症状日记 / 问卷（ACT、CAT、mMRC）</w:t>
            </w:r>
          </w:p>
        </w:tc>
        <w:tc>
          <w:tcPr>
            <w:tcW w:type="dxa" w:w="3651"/>
          </w:tcPr>
          <w:p>
            <w:pPr>
              <w:spacing w:after="0" w:line="276" w:lineRule="auto"/>
            </w:pPr>
            <w:r/>
            <w:r>
              <w:rPr>
                <w:rFonts w:ascii="宋体" w:hAnsi="宋体" w:eastAsia="宋体" w:cs="宋体"/>
                <w:b w:val="0"/>
                <w:i w:val="0"/>
                <w:color w:val="000000"/>
                <w:sz w:val="19"/>
              </w:rPr>
              <w:t>无创、低成本、临床广泛使用</w:t>
            </w:r>
          </w:p>
        </w:tc>
        <w:tc>
          <w:tcPr>
            <w:tcW w:type="dxa" w:w="3879"/>
          </w:tcPr>
          <w:p>
            <w:pPr>
              <w:spacing w:after="0" w:line="276" w:lineRule="auto"/>
            </w:pPr>
            <w:r/>
            <w:r>
              <w:rPr>
                <w:rFonts w:ascii="宋体" w:hAnsi="宋体" w:eastAsia="宋体" w:cs="宋体"/>
                <w:b w:val="0"/>
                <w:i w:val="0"/>
                <w:color w:val="000000"/>
                <w:sz w:val="19"/>
              </w:rPr>
              <w:t>主观性强、回忆偏倚大：家长报告与录音实测的一致性 Cohen's κ 仅 0.30，主观评分与客观咳嗽计数的相关仅 r = 0.37–0.50；患者依从性随随访时间下降，难以反映夜间症状</w:t>
            </w:r>
          </w:p>
        </w:tc>
      </w:tr>
      <w:tr>
        <w:tc>
          <w:tcPr>
            <w:tcW w:type="dxa" w:w="1597"/>
            <w:shd w:val="clear" w:color="auto" w:fill="EDF3F9"/>
          </w:tcPr>
          <w:p>
            <w:pPr>
              <w:spacing w:after="0" w:line="276" w:lineRule="auto"/>
            </w:pPr>
            <w:r/>
            <w:r>
              <w:rPr>
                <w:rFonts w:ascii="宋体" w:hAnsi="宋体" w:eastAsia="宋体" w:cs="宋体"/>
                <w:b w:val="0"/>
                <w:i w:val="0"/>
                <w:color w:val="000000"/>
                <w:sz w:val="19"/>
              </w:rPr>
              <w:t>居家峰流速仪（PEF，Peak Expiratory Flow）</w:t>
            </w:r>
          </w:p>
        </w:tc>
        <w:tc>
          <w:tcPr>
            <w:tcW w:type="dxa" w:w="3651"/>
            <w:shd w:val="clear" w:color="auto" w:fill="EDF3F9"/>
          </w:tcPr>
          <w:p>
            <w:pPr>
              <w:spacing w:after="0" w:line="276" w:lineRule="auto"/>
            </w:pPr>
            <w:r/>
            <w:r>
              <w:rPr>
                <w:rFonts w:ascii="宋体" w:hAnsi="宋体" w:eastAsia="宋体" w:cs="宋体"/>
                <w:b w:val="0"/>
                <w:i w:val="0"/>
                <w:color w:val="000000"/>
                <w:sz w:val="19"/>
              </w:rPr>
              <w:t>客观、便宜、患者可自行操作</w:t>
            </w:r>
          </w:p>
        </w:tc>
        <w:tc>
          <w:tcPr>
            <w:tcW w:type="dxa" w:w="3879"/>
            <w:shd w:val="clear" w:color="auto" w:fill="EDF3F9"/>
          </w:tcPr>
          <w:p>
            <w:pPr>
              <w:spacing w:after="0" w:line="276" w:lineRule="auto"/>
            </w:pPr>
            <w:r/>
            <w:r>
              <w:rPr>
                <w:rFonts w:ascii="宋体" w:hAnsi="宋体" w:eastAsia="宋体" w:cs="宋体"/>
                <w:b w:val="0"/>
                <w:i w:val="0"/>
                <w:color w:val="000000"/>
                <w:sz w:val="19"/>
              </w:rPr>
              <w:t>需主动用力吹气，儿童与老年患者执行困难；仅反映某时点气道功能，无夜间数据</w:t>
            </w:r>
          </w:p>
        </w:tc>
      </w:tr>
      <w:tr>
        <w:tc>
          <w:tcPr>
            <w:tcW w:type="dxa" w:w="1597"/>
          </w:tcPr>
          <w:p>
            <w:pPr>
              <w:spacing w:after="0" w:line="276" w:lineRule="auto"/>
            </w:pPr>
            <w:r/>
            <w:r>
              <w:rPr>
                <w:rFonts w:ascii="宋体" w:hAnsi="宋体" w:eastAsia="宋体" w:cs="宋体"/>
                <w:b w:val="0"/>
                <w:i w:val="0"/>
                <w:color w:val="000000"/>
                <w:sz w:val="19"/>
              </w:rPr>
              <w:t>便携式肺功能仪</w:t>
            </w:r>
          </w:p>
        </w:tc>
        <w:tc>
          <w:tcPr>
            <w:tcW w:type="dxa" w:w="3651"/>
          </w:tcPr>
          <w:p>
            <w:pPr>
              <w:spacing w:after="0" w:line="276" w:lineRule="auto"/>
            </w:pPr>
            <w:r/>
            <w:r>
              <w:rPr>
                <w:rFonts w:ascii="宋体" w:hAnsi="宋体" w:eastAsia="宋体" w:cs="宋体"/>
                <w:b w:val="0"/>
                <w:i w:val="0"/>
                <w:color w:val="000000"/>
                <w:sz w:val="19"/>
              </w:rPr>
              <w:t>指标标准化、临床认可度高</w:t>
            </w:r>
          </w:p>
        </w:tc>
        <w:tc>
          <w:tcPr>
            <w:tcW w:type="dxa" w:w="3879"/>
          </w:tcPr>
          <w:p>
            <w:pPr>
              <w:spacing w:after="0" w:line="276" w:lineRule="auto"/>
            </w:pPr>
            <w:r/>
            <w:r>
              <w:rPr>
                <w:rFonts w:ascii="宋体" w:hAnsi="宋体" w:eastAsia="宋体" w:cs="宋体"/>
                <w:b w:val="0"/>
                <w:i w:val="0"/>
                <w:color w:val="000000"/>
                <w:sz w:val="19"/>
              </w:rPr>
              <w:t>设备成本较高、需专业操作与质控；无法连续监测，捕捉不到急性波动</w:t>
            </w:r>
          </w:p>
        </w:tc>
      </w:tr>
      <w:tr>
        <w:tc>
          <w:tcPr>
            <w:tcW w:type="dxa" w:w="1597"/>
            <w:shd w:val="clear" w:color="auto" w:fill="EDF3F9"/>
          </w:tcPr>
          <w:p>
            <w:pPr>
              <w:spacing w:after="0" w:line="276" w:lineRule="auto"/>
            </w:pPr>
            <w:r/>
            <w:r>
              <w:rPr>
                <w:rFonts w:ascii="宋体" w:hAnsi="宋体" w:eastAsia="宋体" w:cs="宋体"/>
                <w:b w:val="0"/>
                <w:i w:val="0"/>
                <w:color w:val="000000"/>
                <w:sz w:val="19"/>
              </w:rPr>
              <w:t>医院肺功能 / 激发试验</w:t>
            </w:r>
          </w:p>
        </w:tc>
        <w:tc>
          <w:tcPr>
            <w:tcW w:type="dxa" w:w="3651"/>
            <w:shd w:val="clear" w:color="auto" w:fill="EDF3F9"/>
          </w:tcPr>
          <w:p>
            <w:pPr>
              <w:spacing w:after="0" w:line="276" w:lineRule="auto"/>
            </w:pPr>
            <w:r/>
            <w:r>
              <w:rPr>
                <w:rFonts w:ascii="宋体" w:hAnsi="宋体" w:eastAsia="宋体" w:cs="宋体"/>
                <w:b w:val="0"/>
                <w:i w:val="0"/>
                <w:color w:val="000000"/>
                <w:sz w:val="19"/>
              </w:rPr>
              <w:t>诊断金标准之一</w:t>
            </w:r>
          </w:p>
        </w:tc>
        <w:tc>
          <w:tcPr>
            <w:tcW w:type="dxa" w:w="3879"/>
            <w:shd w:val="clear" w:color="auto" w:fill="EDF3F9"/>
          </w:tcPr>
          <w:p>
            <w:pPr>
              <w:spacing w:after="0" w:line="276" w:lineRule="auto"/>
            </w:pPr>
            <w:r/>
            <w:r>
              <w:rPr>
                <w:rFonts w:ascii="宋体" w:hAnsi="宋体" w:eastAsia="宋体" w:cs="宋体"/>
                <w:b w:val="0"/>
                <w:i w:val="0"/>
                <w:color w:val="000000"/>
                <w:sz w:val="19"/>
              </w:rPr>
              <w:t>仅能在就诊时点测量，数月一次，无法反映居家日常波动</w:t>
            </w:r>
          </w:p>
        </w:tc>
      </w:tr>
      <w:tr>
        <w:tc>
          <w:tcPr>
            <w:tcW w:type="dxa" w:w="1597"/>
          </w:tcPr>
          <w:p>
            <w:pPr>
              <w:spacing w:after="0" w:line="276" w:lineRule="auto"/>
            </w:pPr>
            <w:r/>
            <w:r>
              <w:rPr>
                <w:rFonts w:ascii="宋体" w:hAnsi="宋体" w:eastAsia="宋体" w:cs="宋体"/>
                <w:b w:val="0"/>
                <w:i w:val="0"/>
                <w:color w:val="000000"/>
                <w:sz w:val="19"/>
              </w:rPr>
              <w:t>夜间血氧 / 多导睡眠监测（PSG，Polysomnography）</w:t>
            </w:r>
          </w:p>
        </w:tc>
        <w:tc>
          <w:tcPr>
            <w:tcW w:type="dxa" w:w="3651"/>
          </w:tcPr>
          <w:p>
            <w:pPr>
              <w:spacing w:after="0" w:line="276" w:lineRule="auto"/>
            </w:pPr>
            <w:r/>
            <w:r>
              <w:rPr>
                <w:rFonts w:ascii="宋体" w:hAnsi="宋体" w:eastAsia="宋体" w:cs="宋体"/>
                <w:b w:val="0"/>
                <w:i w:val="0"/>
                <w:color w:val="000000"/>
                <w:sz w:val="19"/>
              </w:rPr>
              <w:t>客观、可反映夜间低氧</w:t>
            </w:r>
          </w:p>
        </w:tc>
        <w:tc>
          <w:tcPr>
            <w:tcW w:type="dxa" w:w="3879"/>
          </w:tcPr>
          <w:p>
            <w:pPr>
              <w:spacing w:after="0" w:line="276" w:lineRule="auto"/>
            </w:pPr>
            <w:r/>
            <w:r>
              <w:rPr>
                <w:rFonts w:ascii="宋体" w:hAnsi="宋体" w:eastAsia="宋体" w:cs="宋体"/>
                <w:b w:val="0"/>
                <w:i w:val="0"/>
                <w:color w:val="000000"/>
                <w:sz w:val="19"/>
              </w:rPr>
              <w:t>设备昂贵、需到院或专业佩戴，监测夜数有限，儿童依从性差</w:t>
            </w:r>
          </w:p>
        </w:tc>
      </w:tr>
      <w:tr>
        <w:tc>
          <w:tcPr>
            <w:tcW w:type="dxa" w:w="1597"/>
            <w:shd w:val="clear" w:color="auto" w:fill="EDF3F9"/>
          </w:tcPr>
          <w:p>
            <w:pPr>
              <w:spacing w:after="0" w:line="276" w:lineRule="auto"/>
            </w:pPr>
            <w:r/>
            <w:r>
              <w:rPr>
                <w:rFonts w:ascii="宋体" w:hAnsi="宋体" w:eastAsia="宋体" w:cs="宋体"/>
                <w:b w:val="0"/>
                <w:i w:val="0"/>
                <w:color w:val="000000"/>
                <w:sz w:val="19"/>
              </w:rPr>
              <w:t>临床试验级客观咳嗽记录仪（莱斯特咳嗽监测仪、VitaloJAK、Strados RESP 等）</w:t>
            </w:r>
          </w:p>
        </w:tc>
        <w:tc>
          <w:tcPr>
            <w:tcW w:type="dxa" w:w="3651"/>
            <w:shd w:val="clear" w:color="auto" w:fill="EDF3F9"/>
          </w:tcPr>
          <w:p>
            <w:pPr>
              <w:spacing w:after="0" w:line="276" w:lineRule="auto"/>
            </w:pPr>
            <w:r/>
            <w:r>
              <w:rPr>
                <w:rFonts w:ascii="宋体" w:hAnsi="宋体" w:eastAsia="宋体" w:cs="宋体"/>
                <w:b w:val="0"/>
                <w:i w:val="0"/>
                <w:color w:val="000000"/>
                <w:sz w:val="19"/>
              </w:rPr>
              <w:t>24 小时连续客观计数，敏感度 91% / 特异度 99%，个体内 ICC 0.9；已被用作注册试验主要终点的测量方法（如 COUGH-1、COUGH-2）</w:t>
            </w:r>
          </w:p>
        </w:tc>
        <w:tc>
          <w:tcPr>
            <w:tcW w:type="dxa" w:w="3879"/>
            <w:shd w:val="clear" w:color="auto" w:fill="EDF3F9"/>
          </w:tcPr>
          <w:p>
            <w:pPr>
              <w:spacing w:after="0" w:line="276" w:lineRule="auto"/>
            </w:pPr>
            <w:r/>
            <w:r>
              <w:rPr>
                <w:rFonts w:ascii="宋体" w:hAnsi="宋体" w:eastAsia="宋体" w:cs="宋体"/>
                <w:b w:val="0"/>
                <w:i w:val="0"/>
                <w:color w:val="000000"/>
                <w:sz w:val="19"/>
              </w:rPr>
              <w:t>假阳性约 2.5 次/小时；主要面向临床试验与科研，需专业人员配置与人工复核，按项目租赁、单价高，未进入家庭长期管理场景</w:t>
            </w:r>
          </w:p>
        </w:tc>
      </w:tr>
      <w:tr>
        <w:tc>
          <w:tcPr>
            <w:tcW w:type="dxa" w:w="1597"/>
          </w:tcPr>
          <w:p>
            <w:pPr>
              <w:spacing w:after="0" w:line="276" w:lineRule="auto"/>
            </w:pPr>
            <w:r/>
            <w:r>
              <w:rPr>
                <w:rFonts w:ascii="宋体" w:hAnsi="宋体" w:eastAsia="宋体" w:cs="宋体"/>
                <w:b w:val="0"/>
                <w:i w:val="0"/>
                <w:color w:val="000000"/>
                <w:sz w:val="19"/>
              </w:rPr>
              <w:t>可穿戴设备（手环 / 手表）</w:t>
            </w:r>
          </w:p>
        </w:tc>
        <w:tc>
          <w:tcPr>
            <w:tcW w:type="dxa" w:w="3651"/>
          </w:tcPr>
          <w:p>
            <w:pPr>
              <w:spacing w:after="0" w:line="276" w:lineRule="auto"/>
            </w:pPr>
            <w:r/>
            <w:r>
              <w:rPr>
                <w:rFonts w:ascii="宋体" w:hAnsi="宋体" w:eastAsia="宋体" w:cs="宋体"/>
                <w:b w:val="0"/>
                <w:i w:val="0"/>
                <w:color w:val="000000"/>
                <w:sz w:val="19"/>
              </w:rPr>
              <w:t>佩戴方便、可获取活动与心率</w:t>
            </w:r>
          </w:p>
        </w:tc>
        <w:tc>
          <w:tcPr>
            <w:tcW w:type="dxa" w:w="3879"/>
          </w:tcPr>
          <w:p>
            <w:pPr>
              <w:spacing w:after="0" w:line="276" w:lineRule="auto"/>
            </w:pPr>
            <w:r/>
            <w:r>
              <w:rPr>
                <w:rFonts w:ascii="宋体" w:hAnsi="宋体" w:eastAsia="宋体" w:cs="宋体"/>
                <w:b w:val="0"/>
                <w:i w:val="0"/>
                <w:color w:val="000000"/>
                <w:sz w:val="19"/>
              </w:rPr>
              <w:t>呼吸声学维度缺失或精度不足：Apple 已获睡眠呼吸暂停检测的 FDA 510(k)（watchOS 11，2024 年 9 月）但尚未推出咳嗽检测；华为手表的肺功能评估在其官方支持页中被承认可能不准确；算法闭源，难以用于临床评价</w:t>
            </w:r>
          </w:p>
        </w:tc>
      </w:tr>
      <w:tr>
        <w:tc>
          <w:tcPr>
            <w:tcW w:type="dxa" w:w="1597"/>
            <w:shd w:val="clear" w:color="auto" w:fill="EDF3F9"/>
          </w:tcPr>
          <w:p>
            <w:pPr>
              <w:spacing w:after="0" w:line="276" w:lineRule="auto"/>
            </w:pPr>
            <w:r/>
            <w:r>
              <w:rPr>
                <w:rFonts w:ascii="宋体" w:hAnsi="宋体" w:eastAsia="宋体" w:cs="宋体"/>
                <w:b w:val="0"/>
                <w:i w:val="0"/>
                <w:color w:val="000000"/>
                <w:sz w:val="19"/>
              </w:rPr>
              <w:t>人工听诊</w:t>
            </w:r>
          </w:p>
        </w:tc>
        <w:tc>
          <w:tcPr>
            <w:tcW w:type="dxa" w:w="3651"/>
            <w:shd w:val="clear" w:color="auto" w:fill="EDF3F9"/>
          </w:tcPr>
          <w:p>
            <w:pPr>
              <w:spacing w:after="0" w:line="276" w:lineRule="auto"/>
            </w:pPr>
            <w:r/>
            <w:r>
              <w:rPr>
                <w:rFonts w:ascii="宋体" w:hAnsi="宋体" w:eastAsia="宋体" w:cs="宋体"/>
                <w:b w:val="0"/>
                <w:i w:val="0"/>
                <w:color w:val="000000"/>
                <w:sz w:val="19"/>
              </w:rPr>
              <w:t>医生经验直接可用</w:t>
            </w:r>
          </w:p>
        </w:tc>
        <w:tc>
          <w:tcPr>
            <w:tcW w:type="dxa" w:w="3879"/>
            <w:shd w:val="clear" w:color="auto" w:fill="EDF3F9"/>
          </w:tcPr>
          <w:p>
            <w:pPr>
              <w:spacing w:after="0" w:line="276" w:lineRule="auto"/>
            </w:pPr>
            <w:r/>
            <w:r>
              <w:rPr>
                <w:rFonts w:ascii="宋体" w:hAnsi="宋体" w:eastAsia="宋体" w:cs="宋体"/>
                <w:b w:val="0"/>
                <w:i w:val="0"/>
                <w:color w:val="000000"/>
                <w:sz w:val="19"/>
              </w:rPr>
              <w:t>仅在诊室瞬时进行，无法长期、无法量化、无法回溯</w:t>
            </w:r>
          </w:p>
        </w:tc>
      </w:tr>
    </w:tbl>
    <w:p>
      <w:pPr>
        <w:spacing w:after="40"/>
      </w:pPr>
    </w:p>
    <w:p>
      <w:pPr>
        <w:spacing w:after="80"/>
        <w:ind w:firstLine="420"/>
      </w:pPr>
      <w:r>
        <w:rPr>
          <w:rFonts w:ascii="宋体" w:hAnsi="宋体" w:eastAsia="宋体" w:cs="宋体"/>
          <w:b w:val="0"/>
          <w:i w:val="0"/>
          <w:color w:val="000000"/>
          <w:sz w:val="21"/>
        </w:rPr>
        <w:t>综合来看，现有手段共同的缺口是：无法在家庭环境中、以可接受的成本、连续地获得客观的咳嗽与呼吸声学数据。这正是本项目的切入点。</w:t>
      </w:r>
    </w:p>
    <w:p>
      <w:pPr>
        <w:pStyle w:val="Heading2"/>
      </w:pPr>
      <w:r>
        <w:rPr>
          <w:rFonts w:ascii="宋体" w:hAnsi="宋体" w:eastAsia="宋体" w:cs="宋体"/>
          <w:b/>
          <w:i w:val="0"/>
          <w:color w:val="2E74B5"/>
          <w:sz w:val="25"/>
        </w:rPr>
        <w:t>2.3 用户需求分层</w:t>
      </w:r>
    </w:p>
    <w:tbl>
      <w:tblPr>
        <w:tblStyle w:val="TableGrid"/>
        <w:jc w:val="center"/>
        <w:tblLook w:firstColumn="1" w:firstRow="1" w:lastColumn="0" w:lastRow="0" w:noHBand="0" w:noVBand="1" w:val="04A0"/>
        <w:tblCellMar>
          <w:top w:w="60" w:type="dxa"/>
          <w:left w:w="90" w:type="dxa"/>
          <w:bottom w:w="60" w:type="dxa"/>
          <w:right w:w="90" w:type="dxa"/>
        </w:tblCellMar>
        <w:tblW w:w="9129" w:type="dxa"/>
        <w:tblLayout w:type="fixed"/>
      </w:tblPr>
      <w:tblGrid>
        <w:gridCol w:w="1598"/>
        <w:gridCol w:w="2853"/>
        <w:gridCol w:w="4678"/>
      </w:tblGrid>
      <w:tr>
        <w:trPr>
          <w:tblHeader w:val="true"/>
        </w:trPr>
        <w:tc>
          <w:tcPr>
            <w:tcW w:type="dxa" w:w="1597"/>
            <w:shd w:val="clear" w:color="auto" w:fill="1F4E79"/>
          </w:tcPr>
          <w:p>
            <w:pPr>
              <w:spacing w:after="0" w:line="276" w:lineRule="auto"/>
              <w:jc w:val="center"/>
            </w:pPr>
            <w:r/>
            <w:r>
              <w:rPr>
                <w:rFonts w:ascii="宋体" w:hAnsi="宋体" w:eastAsia="宋体" w:cs="宋体"/>
                <w:b/>
                <w:i w:val="0"/>
                <w:color w:val="FFFFFF"/>
                <w:sz w:val="19"/>
              </w:rPr>
              <w:t>用户角色</w:t>
            </w:r>
          </w:p>
        </w:tc>
        <w:tc>
          <w:tcPr>
            <w:tcW w:type="dxa" w:w="2852"/>
            <w:shd w:val="clear" w:color="auto" w:fill="1F4E79"/>
          </w:tcPr>
          <w:p>
            <w:pPr>
              <w:spacing w:after="0" w:line="276" w:lineRule="auto"/>
              <w:jc w:val="center"/>
            </w:pPr>
            <w:r/>
            <w:r>
              <w:rPr>
                <w:rFonts w:ascii="宋体" w:hAnsi="宋体" w:eastAsia="宋体" w:cs="宋体"/>
                <w:b/>
                <w:i w:val="0"/>
                <w:color w:val="FFFFFF"/>
                <w:sz w:val="19"/>
              </w:rPr>
              <w:t>核心诉求</w:t>
            </w:r>
          </w:p>
        </w:tc>
        <w:tc>
          <w:tcPr>
            <w:tcW w:type="dxa" w:w="4678"/>
            <w:shd w:val="clear" w:color="auto" w:fill="1F4E79"/>
          </w:tcPr>
          <w:p>
            <w:pPr>
              <w:spacing w:after="0" w:line="276" w:lineRule="auto"/>
              <w:jc w:val="center"/>
            </w:pPr>
            <w:r/>
            <w:r>
              <w:rPr>
                <w:rFonts w:ascii="宋体" w:hAnsi="宋体" w:eastAsia="宋体" w:cs="宋体"/>
                <w:b/>
                <w:i w:val="0"/>
                <w:color w:val="FFFFFF"/>
                <w:sz w:val="19"/>
              </w:rPr>
              <w:t>本项目的对应价值</w:t>
            </w:r>
          </w:p>
        </w:tc>
      </w:tr>
      <w:tr>
        <w:tc>
          <w:tcPr>
            <w:tcW w:type="dxa" w:w="1597"/>
          </w:tcPr>
          <w:p>
            <w:pPr>
              <w:spacing w:after="0" w:line="276" w:lineRule="auto"/>
            </w:pPr>
            <w:r/>
            <w:r>
              <w:rPr>
                <w:rFonts w:ascii="宋体" w:hAnsi="宋体" w:eastAsia="宋体" w:cs="宋体"/>
                <w:b w:val="0"/>
                <w:i w:val="0"/>
                <w:color w:val="000000"/>
                <w:sz w:val="19"/>
              </w:rPr>
              <w:t>患者 / 家属</w:t>
            </w:r>
          </w:p>
        </w:tc>
        <w:tc>
          <w:tcPr>
            <w:tcW w:type="dxa" w:w="2852"/>
          </w:tcPr>
          <w:p>
            <w:pPr>
              <w:spacing w:after="0" w:line="276" w:lineRule="auto"/>
            </w:pPr>
            <w:r/>
            <w:r>
              <w:rPr>
                <w:rFonts w:ascii="宋体" w:hAnsi="宋体" w:eastAsia="宋体" w:cs="宋体"/>
                <w:b w:val="0"/>
                <w:i w:val="0"/>
                <w:color w:val="000000"/>
                <w:sz w:val="19"/>
              </w:rPr>
              <w:t>想知道病情到底有没有变好，夜里咳得厉害要不要去医院</w:t>
            </w:r>
          </w:p>
        </w:tc>
        <w:tc>
          <w:tcPr>
            <w:tcW w:type="dxa" w:w="4678"/>
          </w:tcPr>
          <w:p>
            <w:pPr>
              <w:spacing w:after="0" w:line="276" w:lineRule="auto"/>
            </w:pPr>
            <w:r/>
            <w:r>
              <w:rPr>
                <w:rFonts w:ascii="宋体" w:hAnsi="宋体" w:eastAsia="宋体" w:cs="宋体"/>
                <w:b w:val="0"/>
                <w:i w:val="0"/>
                <w:color w:val="000000"/>
                <w:sz w:val="19"/>
              </w:rPr>
              <w:t>可视化咳嗽与呼吸趋势曲线；异常自动预警，减少「凭感觉」决策</w:t>
            </w:r>
          </w:p>
        </w:tc>
      </w:tr>
      <w:tr>
        <w:tc>
          <w:tcPr>
            <w:tcW w:type="dxa" w:w="1597"/>
            <w:shd w:val="clear" w:color="auto" w:fill="EDF3F9"/>
          </w:tcPr>
          <w:p>
            <w:pPr>
              <w:spacing w:after="0" w:line="276" w:lineRule="auto"/>
            </w:pPr>
            <w:r/>
            <w:r>
              <w:rPr>
                <w:rFonts w:ascii="宋体" w:hAnsi="宋体" w:eastAsia="宋体" w:cs="宋体"/>
                <w:b w:val="0"/>
                <w:i w:val="0"/>
                <w:color w:val="000000"/>
                <w:sz w:val="19"/>
              </w:rPr>
              <w:t>呼吸科医生</w:t>
            </w:r>
          </w:p>
        </w:tc>
        <w:tc>
          <w:tcPr>
            <w:tcW w:type="dxa" w:w="2852"/>
            <w:shd w:val="clear" w:color="auto" w:fill="EDF3F9"/>
          </w:tcPr>
          <w:p>
            <w:pPr>
              <w:spacing w:after="0" w:line="276" w:lineRule="auto"/>
            </w:pPr>
            <w:r/>
            <w:r>
              <w:rPr>
                <w:rFonts w:ascii="宋体" w:hAnsi="宋体" w:eastAsia="宋体" w:cs="宋体"/>
                <w:b w:val="0"/>
                <w:i w:val="0"/>
                <w:color w:val="000000"/>
                <w:sz w:val="19"/>
              </w:rPr>
              <w:t>院外随访缺客观依据，调药缺少证据</w:t>
            </w:r>
          </w:p>
        </w:tc>
        <w:tc>
          <w:tcPr>
            <w:tcW w:type="dxa" w:w="4678"/>
            <w:shd w:val="clear" w:color="auto" w:fill="EDF3F9"/>
          </w:tcPr>
          <w:p>
            <w:pPr>
              <w:spacing w:after="0" w:line="276" w:lineRule="auto"/>
            </w:pPr>
            <w:r/>
            <w:r>
              <w:rPr>
                <w:rFonts w:ascii="宋体" w:hAnsi="宋体" w:eastAsia="宋体" w:cs="宋体"/>
                <w:b w:val="0"/>
                <w:i w:val="0"/>
                <w:color w:val="000000"/>
                <w:sz w:val="19"/>
              </w:rPr>
              <w:t>获得连续咳嗽/喘息指标与事件回放，支撑用药调整与疗效评价</w:t>
            </w:r>
          </w:p>
        </w:tc>
      </w:tr>
      <w:tr>
        <w:tc>
          <w:tcPr>
            <w:tcW w:type="dxa" w:w="1597"/>
          </w:tcPr>
          <w:p>
            <w:pPr>
              <w:spacing w:after="0" w:line="276" w:lineRule="auto"/>
            </w:pPr>
            <w:r/>
            <w:r>
              <w:rPr>
                <w:rFonts w:ascii="宋体" w:hAnsi="宋体" w:eastAsia="宋体" w:cs="宋体"/>
                <w:b w:val="0"/>
                <w:i w:val="0"/>
                <w:color w:val="000000"/>
                <w:sz w:val="19"/>
              </w:rPr>
              <w:t>基层医生 / 家庭医生</w:t>
            </w:r>
          </w:p>
        </w:tc>
        <w:tc>
          <w:tcPr>
            <w:tcW w:type="dxa" w:w="2852"/>
          </w:tcPr>
          <w:p>
            <w:pPr>
              <w:spacing w:after="0" w:line="276" w:lineRule="auto"/>
            </w:pPr>
            <w:r/>
            <w:r>
              <w:rPr>
                <w:rFonts w:ascii="宋体" w:hAnsi="宋体" w:eastAsia="宋体" w:cs="宋体"/>
                <w:b w:val="0"/>
                <w:i w:val="0"/>
                <w:color w:val="000000"/>
                <w:sz w:val="19"/>
              </w:rPr>
              <w:t>缺少简便的筛查与分层工具</w:t>
            </w:r>
          </w:p>
        </w:tc>
        <w:tc>
          <w:tcPr>
            <w:tcW w:type="dxa" w:w="4678"/>
          </w:tcPr>
          <w:p>
            <w:pPr>
              <w:spacing w:after="0" w:line="276" w:lineRule="auto"/>
            </w:pPr>
            <w:r/>
            <w:r>
              <w:rPr>
                <w:rFonts w:ascii="宋体" w:hAnsi="宋体" w:eastAsia="宋体" w:cs="宋体"/>
                <w:b w:val="0"/>
                <w:i w:val="0"/>
                <w:color w:val="000000"/>
                <w:sz w:val="19"/>
              </w:rPr>
              <w:t>低成本边缘设备 + 标准化指标，辅助识别需要上转的患者</w:t>
            </w:r>
          </w:p>
        </w:tc>
      </w:tr>
      <w:tr>
        <w:tc>
          <w:tcPr>
            <w:tcW w:type="dxa" w:w="1597"/>
            <w:shd w:val="clear" w:color="auto" w:fill="EDF3F9"/>
          </w:tcPr>
          <w:p>
            <w:pPr>
              <w:spacing w:after="0" w:line="276" w:lineRule="auto"/>
            </w:pPr>
            <w:r/>
            <w:r>
              <w:rPr>
                <w:rFonts w:ascii="宋体" w:hAnsi="宋体" w:eastAsia="宋体" w:cs="宋体"/>
                <w:b w:val="0"/>
                <w:i w:val="0"/>
                <w:color w:val="000000"/>
                <w:sz w:val="19"/>
              </w:rPr>
              <w:t>儿科 / 儿童家长</w:t>
            </w:r>
          </w:p>
        </w:tc>
        <w:tc>
          <w:tcPr>
            <w:tcW w:type="dxa" w:w="2852"/>
            <w:shd w:val="clear" w:color="auto" w:fill="EDF3F9"/>
          </w:tcPr>
          <w:p>
            <w:pPr>
              <w:spacing w:after="0" w:line="276" w:lineRule="auto"/>
            </w:pPr>
            <w:r/>
            <w:r>
              <w:rPr>
                <w:rFonts w:ascii="宋体" w:hAnsi="宋体" w:eastAsia="宋体" w:cs="宋体"/>
                <w:b w:val="0"/>
                <w:i w:val="0"/>
                <w:color w:val="000000"/>
                <w:sz w:val="19"/>
              </w:rPr>
              <w:t>儿童咳喘反复发作，夜间看护焦虑</w:t>
            </w:r>
          </w:p>
        </w:tc>
        <w:tc>
          <w:tcPr>
            <w:tcW w:type="dxa" w:w="4678"/>
            <w:shd w:val="clear" w:color="auto" w:fill="EDF3F9"/>
          </w:tcPr>
          <w:p>
            <w:pPr>
              <w:spacing w:after="0" w:line="276" w:lineRule="auto"/>
            </w:pPr>
            <w:r/>
            <w:r>
              <w:rPr>
                <w:rFonts w:ascii="宋体" w:hAnsi="宋体" w:eastAsia="宋体" w:cs="宋体"/>
                <w:b w:val="0"/>
                <w:i w:val="0"/>
                <w:color w:val="000000"/>
                <w:sz w:val="19"/>
              </w:rPr>
              <w:t>非接触、无需佩戴的夜间监测，降低儿童配合难度；覆盖超 1,000 万儿童哮喘患者与不足 50% 的控制率缺口</w:t>
            </w:r>
          </w:p>
        </w:tc>
      </w:tr>
      <w:tr>
        <w:tc>
          <w:tcPr>
            <w:tcW w:type="dxa" w:w="1597"/>
          </w:tcPr>
          <w:p>
            <w:pPr>
              <w:spacing w:after="0" w:line="276" w:lineRule="auto"/>
            </w:pPr>
            <w:r/>
            <w:r>
              <w:rPr>
                <w:rFonts w:ascii="宋体" w:hAnsi="宋体" w:eastAsia="宋体" w:cs="宋体"/>
                <w:b w:val="0"/>
                <w:i w:val="0"/>
                <w:color w:val="000000"/>
                <w:sz w:val="19"/>
              </w:rPr>
              <w:t>未诊断 / 高危人群</w:t>
            </w:r>
          </w:p>
        </w:tc>
        <w:tc>
          <w:tcPr>
            <w:tcW w:type="dxa" w:w="2852"/>
          </w:tcPr>
          <w:p>
            <w:pPr>
              <w:spacing w:after="0" w:line="276" w:lineRule="auto"/>
            </w:pPr>
            <w:r/>
            <w:r>
              <w:rPr>
                <w:rFonts w:ascii="宋体" w:hAnsi="宋体" w:eastAsia="宋体" w:cs="宋体"/>
                <w:b w:val="0"/>
                <w:i w:val="0"/>
                <w:color w:val="000000"/>
                <w:sz w:val="19"/>
              </w:rPr>
              <w:t>长期咳嗽咳痰喘息但未就医，缺乏低成本筛查与转诊触发手段</w:t>
            </w:r>
          </w:p>
        </w:tc>
        <w:tc>
          <w:tcPr>
            <w:tcW w:type="dxa" w:w="4678"/>
          </w:tcPr>
          <w:p>
            <w:pPr>
              <w:spacing w:after="0" w:line="276" w:lineRule="auto"/>
            </w:pPr>
            <w:r/>
            <w:r>
              <w:rPr>
                <w:rFonts w:ascii="宋体" w:hAnsi="宋体" w:eastAsia="宋体" w:cs="宋体"/>
                <w:b w:val="0"/>
                <w:i w:val="0"/>
                <w:color w:val="000000"/>
                <w:sz w:val="19"/>
              </w:rPr>
              <w:t>低成本声学筛查与“建议就诊”提示，是触达 71.2% 未诊断哮喘患者与 90% 未诊断慢阻肺人群的现实路径</w:t>
            </w:r>
          </w:p>
        </w:tc>
      </w:tr>
      <w:tr>
        <w:tc>
          <w:tcPr>
            <w:tcW w:type="dxa" w:w="1597"/>
            <w:shd w:val="clear" w:color="auto" w:fill="EDF3F9"/>
          </w:tcPr>
          <w:p>
            <w:pPr>
              <w:spacing w:after="0" w:line="276" w:lineRule="auto"/>
            </w:pPr>
            <w:r/>
            <w:r>
              <w:rPr>
                <w:rFonts w:ascii="宋体" w:hAnsi="宋体" w:eastAsia="宋体" w:cs="宋体"/>
                <w:b w:val="0"/>
                <w:i w:val="0"/>
                <w:color w:val="000000"/>
                <w:sz w:val="19"/>
              </w:rPr>
              <w:t>药企 / 临床研究机构</w:t>
            </w:r>
          </w:p>
        </w:tc>
        <w:tc>
          <w:tcPr>
            <w:tcW w:type="dxa" w:w="2852"/>
            <w:shd w:val="clear" w:color="auto" w:fill="EDF3F9"/>
          </w:tcPr>
          <w:p>
            <w:pPr>
              <w:spacing w:after="0" w:line="276" w:lineRule="auto"/>
            </w:pPr>
            <w:r/>
            <w:r>
              <w:rPr>
                <w:rFonts w:ascii="宋体" w:hAnsi="宋体" w:eastAsia="宋体" w:cs="宋体"/>
                <w:b w:val="0"/>
                <w:i w:val="0"/>
                <w:color w:val="000000"/>
                <w:sz w:val="19"/>
              </w:rPr>
              <w:t>咳嗽作为疗效终点依赖人工日记，数据质量差；注册试验需要可审计的客观终点测量方法</w:t>
            </w:r>
          </w:p>
        </w:tc>
        <w:tc>
          <w:tcPr>
            <w:tcW w:type="dxa" w:w="4678"/>
            <w:shd w:val="clear" w:color="auto" w:fill="EDF3F9"/>
          </w:tcPr>
          <w:p>
            <w:pPr>
              <w:spacing w:after="0" w:line="276" w:lineRule="auto"/>
            </w:pPr>
            <w:r/>
            <w:r>
              <w:rPr>
                <w:rFonts w:ascii="宋体" w:hAnsi="宋体" w:eastAsia="宋体" w:cs="宋体"/>
                <w:b w:val="0"/>
                <w:i w:val="0"/>
                <w:color w:val="000000"/>
                <w:sz w:val="19"/>
              </w:rPr>
              <w:t>客观、连续的咳嗽计数与声学终点数据服务，交付逐事件与逐时段两类一致性指标与假阳性率</w:t>
            </w:r>
          </w:p>
        </w:tc>
      </w:tr>
      <w:tr>
        <w:tc>
          <w:tcPr>
            <w:tcW w:type="dxa" w:w="1597"/>
          </w:tcPr>
          <w:p>
            <w:pPr>
              <w:spacing w:after="0" w:line="276" w:lineRule="auto"/>
            </w:pPr>
            <w:r/>
            <w:r>
              <w:rPr>
                <w:rFonts w:ascii="宋体" w:hAnsi="宋体" w:eastAsia="宋体" w:cs="宋体"/>
                <w:b w:val="0"/>
                <w:i w:val="0"/>
                <w:color w:val="000000"/>
                <w:sz w:val="19"/>
              </w:rPr>
              <w:t>医保 / 卫生管理者</w:t>
            </w:r>
          </w:p>
        </w:tc>
        <w:tc>
          <w:tcPr>
            <w:tcW w:type="dxa" w:w="2852"/>
          </w:tcPr>
          <w:p>
            <w:pPr>
              <w:spacing w:after="0" w:line="276" w:lineRule="auto"/>
            </w:pPr>
            <w:r/>
            <w:r>
              <w:rPr>
                <w:rFonts w:ascii="宋体" w:hAnsi="宋体" w:eastAsia="宋体" w:cs="宋体"/>
                <w:b w:val="0"/>
                <w:i w:val="0"/>
                <w:color w:val="000000"/>
                <w:sz w:val="19"/>
              </w:rPr>
              <w:t>慢病管理投入产出难以评估</w:t>
            </w:r>
          </w:p>
        </w:tc>
        <w:tc>
          <w:tcPr>
            <w:tcW w:type="dxa" w:w="4678"/>
          </w:tcPr>
          <w:p>
            <w:pPr>
              <w:spacing w:after="0" w:line="276" w:lineRule="auto"/>
            </w:pPr>
            <w:r/>
            <w:r>
              <w:rPr>
                <w:rFonts w:ascii="宋体" w:hAnsi="宋体" w:eastAsia="宋体" w:cs="宋体"/>
                <w:b w:val="0"/>
                <w:i w:val="0"/>
                <w:color w:val="000000"/>
                <w:sz w:val="19"/>
              </w:rPr>
              <w:t>可量化的管理效果指标，支撑按效果付费与分级诊疗</w:t>
            </w:r>
          </w:p>
        </w:tc>
      </w:tr>
    </w:tbl>
    <w:p>
      <w:pPr>
        <w:spacing w:after="40"/>
      </w:pPr>
    </w:p>
    <w:p>
      <w:pPr>
        <w:pStyle w:val="Heading2"/>
      </w:pPr>
      <w:r>
        <w:rPr>
          <w:rFonts w:ascii="宋体" w:hAnsi="宋体" w:eastAsia="宋体" w:cs="宋体"/>
          <w:b/>
          <w:i w:val="0"/>
          <w:color w:val="2E74B5"/>
          <w:sz w:val="25"/>
        </w:rPr>
        <w:t>2.4 为什么是声学：技术可行性依据</w:t>
      </w:r>
    </w:p>
    <w:p>
      <w:pPr>
        <w:spacing w:after="40" w:line="324" w:lineRule="auto"/>
        <w:ind w:left="425" w:hanging="283"/>
      </w:pPr>
      <w:r>
        <w:rPr>
          <w:rFonts w:ascii="宋体" w:hAnsi="宋体" w:eastAsia="宋体" w:cs="宋体"/>
          <w:b w:val="0"/>
          <w:i w:val="0"/>
          <w:color w:val="2E74B5"/>
          <w:sz w:val="18"/>
        </w:rPr>
        <w:t xml:space="preserve">● </w:t>
      </w:r>
      <w:r>
        <w:rPr>
          <w:rFonts w:ascii="宋体" w:hAnsi="宋体" w:eastAsia="宋体" w:cs="宋体"/>
          <w:b/>
          <w:i w:val="0"/>
          <w:color w:val="000000"/>
          <w:sz w:val="21"/>
        </w:rPr>
        <w:t>声学信号包含丰富病理信息：</w:t>
      </w:r>
      <w:r>
        <w:rPr>
          <w:rFonts w:ascii="宋体" w:hAnsi="宋体" w:eastAsia="宋体" w:cs="宋体"/>
          <w:b w:val="0"/>
          <w:i w:val="0"/>
          <w:color w:val="000000"/>
          <w:sz w:val="21"/>
        </w:rPr>
        <w:t>咳嗽的时频结构、喘息的持续高频窄带成分、呼吸音的频谱包络，均与气道狭窄程度、分泌物状态相关，是可被量化建模的客观信号。</w:t>
      </w:r>
    </w:p>
    <w:p>
      <w:pPr>
        <w:spacing w:after="40" w:line="324" w:lineRule="auto"/>
        <w:ind w:left="425" w:hanging="283"/>
      </w:pPr>
      <w:r>
        <w:rPr>
          <w:rFonts w:ascii="宋体" w:hAnsi="宋体" w:eastAsia="宋体" w:cs="宋体"/>
          <w:b w:val="0"/>
          <w:i w:val="0"/>
          <w:color w:val="2E74B5"/>
          <w:sz w:val="18"/>
        </w:rPr>
        <w:t xml:space="preserve">● </w:t>
      </w:r>
      <w:r>
        <w:rPr>
          <w:rFonts w:ascii="宋体" w:hAnsi="宋体" w:eastAsia="宋体" w:cs="宋体"/>
          <w:b/>
          <w:i w:val="0"/>
          <w:color w:val="000000"/>
          <w:sz w:val="21"/>
        </w:rPr>
        <w:t>采集门槛极低：</w:t>
      </w:r>
      <w:r>
        <w:rPr>
          <w:rFonts w:ascii="宋体" w:hAnsi="宋体" w:eastAsia="宋体" w:cs="宋体"/>
          <w:b w:val="0"/>
          <w:i w:val="0"/>
          <w:color w:val="000000"/>
          <w:sz w:val="21"/>
        </w:rPr>
        <w:t>手机麦克风即可获得 16 kHz 以上带宽的音频，无需专用传感器，配合低成本拾音配件即可满足居家场景，显著优于需要佩戴或主动配合的方案。</w:t>
      </w:r>
    </w:p>
    <w:p>
      <w:pPr>
        <w:spacing w:after="40" w:line="324" w:lineRule="auto"/>
        <w:ind w:left="425" w:hanging="283"/>
      </w:pPr>
      <w:r>
        <w:rPr>
          <w:rFonts w:ascii="宋体" w:hAnsi="宋体" w:eastAsia="宋体" w:cs="宋体"/>
          <w:b w:val="0"/>
          <w:i w:val="0"/>
          <w:color w:val="2E74B5"/>
          <w:sz w:val="18"/>
        </w:rPr>
        <w:t xml:space="preserve">● </w:t>
      </w:r>
      <w:r>
        <w:rPr>
          <w:rFonts w:ascii="宋体" w:hAnsi="宋体" w:eastAsia="宋体" w:cs="宋体"/>
          <w:b/>
          <w:i w:val="0"/>
          <w:color w:val="000000"/>
          <w:sz w:val="21"/>
        </w:rPr>
        <w:t>研究基础扎实：</w:t>
      </w:r>
      <w:r>
        <w:rPr>
          <w:rFonts w:ascii="宋体" w:hAnsi="宋体" w:eastAsia="宋体" w:cs="宋体"/>
          <w:b w:val="0"/>
          <w:i w:val="0"/>
          <w:color w:val="000000"/>
          <w:sz w:val="21"/>
        </w:rPr>
        <w:t>咳嗽音分类、哮喘与慢阻肺的声学鉴别、呼吸音异常检测已有大量同行评议研究，方法从传统特征工程演进到深度网络。以中国人群为例，基于 transformer 的手机自主咳嗽音模型在四家医院的外部验证中达到 AUC 0.94、敏感度 92%、特异度 86%，说明中国人群的咳嗽声学数据可用、可建模。</w:t>
      </w:r>
    </w:p>
    <w:p>
      <w:pPr>
        <w:spacing w:after="40" w:line="324" w:lineRule="auto"/>
        <w:ind w:left="425" w:hanging="283"/>
      </w:pPr>
      <w:r>
        <w:rPr>
          <w:rFonts w:ascii="宋体" w:hAnsi="宋体" w:eastAsia="宋体" w:cs="宋体"/>
          <w:b w:val="0"/>
          <w:i w:val="0"/>
          <w:color w:val="2E74B5"/>
          <w:sz w:val="18"/>
        </w:rPr>
        <w:t xml:space="preserve">● </w:t>
      </w:r>
      <w:r>
        <w:rPr>
          <w:rFonts w:ascii="宋体" w:hAnsi="宋体" w:eastAsia="宋体" w:cs="宋体"/>
          <w:b/>
          <w:i w:val="0"/>
          <w:color w:val="000000"/>
          <w:sz w:val="21"/>
        </w:rPr>
        <w:t>测量学地位明确，但监管地位仍在演进：</w:t>
      </w:r>
      <w:r>
        <w:rPr>
          <w:rFonts w:ascii="宋体" w:hAnsi="宋体" w:eastAsia="宋体" w:cs="宋体"/>
          <w:b w:val="0"/>
          <w:i w:val="0"/>
          <w:color w:val="000000"/>
          <w:sz w:val="21"/>
        </w:rPr>
        <w:t>24 小时咳嗽计数已被用作注册试验主要终点的测量方法（Cough Search 研究 NCT06082791；默沙东 COUGH-1 与 COUGH-2 以客观录音测量的 24 小时咳嗽频次为主要终点），说明声学指标具备成为临床研究终点的测量学基础；但其独立支持获批的监管地位尚未确立（2023 年 11 月 FDA 顾问委员会以 12:1 投票反对 gefapixant 获批，争议核心是咳嗽频次下降的临床意义），因此本项目将咳嗽频次定位为监测指标，并沿 FDA 药物开发工具（DDT）/ 临床结局评估（COA）资格认证路径持续跟进，而非宣称其已是成熟的疗效终点。</w:t>
      </w:r>
    </w:p>
    <w:p>
      <w:pPr>
        <w:spacing w:after="40" w:line="324" w:lineRule="auto"/>
        <w:ind w:left="425" w:hanging="283"/>
      </w:pPr>
      <w:r>
        <w:rPr>
          <w:rFonts w:ascii="宋体" w:hAnsi="宋体" w:eastAsia="宋体" w:cs="宋体"/>
          <w:b w:val="0"/>
          <w:i w:val="0"/>
          <w:color w:val="2E74B5"/>
          <w:sz w:val="18"/>
        </w:rPr>
        <w:t xml:space="preserve">● </w:t>
      </w:r>
      <w:r>
        <w:rPr>
          <w:rFonts w:ascii="宋体" w:hAnsi="宋体" w:eastAsia="宋体" w:cs="宋体"/>
          <w:b/>
          <w:i w:val="0"/>
          <w:color w:val="000000"/>
          <w:sz w:val="21"/>
        </w:rPr>
        <w:t>与边缘算力天然匹配：</w:t>
      </w:r>
      <w:r>
        <w:rPr>
          <w:rFonts w:ascii="宋体" w:hAnsi="宋体" w:eastAsia="宋体" w:cs="宋体"/>
          <w:b w:val="0"/>
          <w:i w:val="0"/>
          <w:color w:val="000000"/>
          <w:sz w:val="21"/>
        </w:rPr>
        <w:t>音频模型参数量小、单帧计算量低，适合在 RK3576 这类 6 TOPS 级别的 NPU 上本地实时运行，无需上传原始音频。</w:t>
      </w:r>
    </w:p>
    <w:p>
      <w:pPr>
        <w:pStyle w:val="Heading2"/>
      </w:pPr>
      <w:r>
        <w:rPr>
          <w:rFonts w:ascii="宋体" w:hAnsi="宋体" w:eastAsia="宋体" w:cs="宋体"/>
          <w:b/>
          <w:i w:val="0"/>
          <w:color w:val="2E74B5"/>
          <w:sz w:val="25"/>
        </w:rPr>
        <w:t>2.5 需求验证情况</w:t>
      </w:r>
    </w:p>
    <w:p>
      <w:pPr>
        <w:spacing w:after="40" w:line="324" w:lineRule="auto"/>
        <w:ind w:left="425" w:hanging="283"/>
      </w:pPr>
      <w:r>
        <w:rPr>
          <w:rFonts w:ascii="宋体" w:hAnsi="宋体" w:eastAsia="宋体" w:cs="宋体"/>
          <w:b w:val="0"/>
          <w:i w:val="0"/>
          <w:color w:val="2E74B5"/>
          <w:sz w:val="18"/>
        </w:rPr>
        <w:t xml:space="preserve">● </w:t>
      </w:r>
      <w:r>
        <w:rPr>
          <w:rFonts w:ascii="宋体" w:hAnsi="宋体" w:eastAsia="宋体" w:cs="宋体"/>
          <w:b/>
          <w:i w:val="0"/>
          <w:color w:val="000000"/>
          <w:sz w:val="21"/>
        </w:rPr>
        <w:t>文献与指南层面：</w:t>
      </w:r>
      <w:r>
        <w:rPr>
          <w:rFonts w:ascii="宋体" w:hAnsi="宋体" w:eastAsia="宋体" w:cs="宋体"/>
          <w:b w:val="0"/>
          <w:i w:val="0"/>
          <w:color w:val="000000"/>
          <w:sz w:val="21"/>
        </w:rPr>
        <w:t>咳嗽与喘息症状负担评估已被纳入呼吸慢病管理规范，客观咳嗽监测被反复提出作为症状日记的替代或补充手段。可引用的量化依据包括：家长报告与录音实测的一致性 Cohen's κ 仅 0.30（Falconer 1993）；主观评分与客观咳嗽计数相关仅 r = 0.37–0.50（Smith 2006）；夜间咳嗽结合睡眠质量识别“哮喘控制恶化周”的平衡准确率（BAC，Balance Accuracy）71%，可提前最多 5 天预测急性发作（Tinschert 2020）。</w:t>
      </w:r>
    </w:p>
    <w:p>
      <w:pPr>
        <w:spacing w:after="40" w:line="324" w:lineRule="auto"/>
        <w:ind w:left="425" w:hanging="283"/>
      </w:pPr>
      <w:r>
        <w:rPr>
          <w:rFonts w:ascii="宋体" w:hAnsi="宋体" w:eastAsia="宋体" w:cs="宋体"/>
          <w:b w:val="0"/>
          <w:i w:val="0"/>
          <w:color w:val="2E74B5"/>
          <w:sz w:val="18"/>
        </w:rPr>
        <w:t xml:space="preserve">● </w:t>
      </w:r>
      <w:r>
        <w:rPr>
          <w:rFonts w:ascii="宋体" w:hAnsi="宋体" w:eastAsia="宋体" w:cs="宋体"/>
          <w:b/>
          <w:i w:val="0"/>
          <w:color w:val="000000"/>
          <w:sz w:val="21"/>
        </w:rPr>
        <w:t>临床访谈层面：</w:t>
      </w:r>
      <w:r>
        <w:rPr>
          <w:rFonts w:ascii="宋体" w:hAnsi="宋体" w:eastAsia="宋体" w:cs="宋体"/>
          <w:b w:val="0"/>
          <w:i w:val="0"/>
          <w:color w:val="000000"/>
          <w:sz w:val="21"/>
        </w:rPr>
        <w:t>【待补充】与呼吸科医生的访谈结论，建议记录 3–5 位医生的原话要点，用于支撑「医生确实需要院外客观数据」这一判断。</w:t>
      </w:r>
    </w:p>
    <w:p>
      <w:pPr>
        <w:spacing w:after="40" w:line="324" w:lineRule="auto"/>
        <w:ind w:left="425" w:hanging="283"/>
      </w:pPr>
      <w:r>
        <w:rPr>
          <w:rFonts w:ascii="宋体" w:hAnsi="宋体" w:eastAsia="宋体" w:cs="宋体"/>
          <w:b w:val="0"/>
          <w:i w:val="0"/>
          <w:color w:val="2E74B5"/>
          <w:sz w:val="18"/>
        </w:rPr>
        <w:t xml:space="preserve">● </w:t>
      </w:r>
      <w:r>
        <w:rPr>
          <w:rFonts w:ascii="宋体" w:hAnsi="宋体" w:eastAsia="宋体" w:cs="宋体"/>
          <w:b/>
          <w:i w:val="0"/>
          <w:color w:val="000000"/>
          <w:sz w:val="21"/>
        </w:rPr>
        <w:t>患者调研层面：</w:t>
      </w:r>
      <w:r>
        <w:rPr>
          <w:rFonts w:ascii="宋体" w:hAnsi="宋体" w:eastAsia="宋体" w:cs="宋体"/>
          <w:b w:val="0"/>
          <w:i w:val="0"/>
          <w:color w:val="000000"/>
          <w:sz w:val="21"/>
        </w:rPr>
        <w:t>【待补充】建议完成不少于 100 份患者/家长问卷，量化「夜间症状困扰程度」「愿意为居家监测付费的比例」「可接受的设备价格区间」三项数据；定价区间的调研需结合支付方结构（个人自付 49%、基本医保 44%、商业健康险 7.7%）与家用医疗器械线上占比 44.3% 的价格敏感度设计选项。</w:t>
      </w:r>
    </w:p>
    <w:p>
      <w:pPr>
        <w:spacing w:after="40" w:line="324" w:lineRule="auto"/>
        <w:ind w:left="425" w:hanging="283"/>
      </w:pPr>
      <w:r>
        <w:rPr>
          <w:rFonts w:ascii="宋体" w:hAnsi="宋体" w:eastAsia="宋体" w:cs="宋体"/>
          <w:b w:val="0"/>
          <w:i w:val="0"/>
          <w:color w:val="2E74B5"/>
          <w:sz w:val="18"/>
        </w:rPr>
        <w:t xml:space="preserve">● </w:t>
      </w:r>
      <w:r>
        <w:rPr>
          <w:rFonts w:ascii="宋体" w:hAnsi="宋体" w:eastAsia="宋体" w:cs="宋体"/>
          <w:b/>
          <w:i w:val="0"/>
          <w:color w:val="000000"/>
          <w:sz w:val="21"/>
        </w:rPr>
        <w:t>技术验证层面：</w:t>
      </w:r>
      <w:r>
        <w:rPr>
          <w:rFonts w:ascii="宋体" w:hAnsi="宋体" w:eastAsia="宋体" w:cs="宋体"/>
          <w:b w:val="0"/>
          <w:i w:val="0"/>
          <w:color w:val="000000"/>
          <w:sz w:val="21"/>
        </w:rPr>
        <w:t>【待补充】本项目已完成初步实验，在自建数据集上验证了咳嗽检测与喘息识别的可行性，为方案提供第一手依据。行业方法学现状提示这一环节必须做实：咳嗽声学标志物系统综述（89 项研究、34 个国家）发现敏感度与特异度常 ≥ 90%，但仅约 11% 的研究开展了外部验证、71%–88% 的研究存在高偏倚风险，因此本项目的自验证必须包含独立外部验证集与低偏倚设计。</w:t>
      </w:r>
    </w:p>
    <w:p>
      <w:r>
        <w:br w:type="page"/>
      </w:r>
    </w:p>
    <w:p>
      <w:pPr>
        <w:pStyle w:val="Heading1"/>
      </w:pPr>
      <w:r>
        <w:rPr>
          <w:rFonts w:ascii="宋体" w:hAnsi="宋体" w:eastAsia="宋体" w:cs="宋体"/>
          <w:b/>
          <w:i w:val="0"/>
          <w:color w:val="1F4E79"/>
          <w:sz w:val="30"/>
        </w:rPr>
        <w:t>第三章 总体方案与系统架构</w:t>
      </w:r>
    </w:p>
    <w:p>
      <w:pPr>
        <w:pStyle w:val="Heading2"/>
      </w:pPr>
      <w:r>
        <w:rPr>
          <w:rFonts w:ascii="宋体" w:hAnsi="宋体" w:eastAsia="宋体" w:cs="宋体"/>
          <w:b/>
          <w:i w:val="0"/>
          <w:color w:val="2E74B5"/>
          <w:sz w:val="25"/>
        </w:rPr>
        <w:t>3.1 设计原则</w:t>
      </w:r>
    </w:p>
    <w:p>
      <w:pPr>
        <w:spacing w:after="40" w:line="324" w:lineRule="auto"/>
        <w:ind w:left="425" w:hanging="283"/>
      </w:pPr>
      <w:r>
        <w:rPr>
          <w:rFonts w:ascii="宋体" w:hAnsi="宋体" w:eastAsia="宋体" w:cs="宋体"/>
          <w:b w:val="0"/>
          <w:i w:val="0"/>
          <w:color w:val="2E74B5"/>
          <w:sz w:val="18"/>
        </w:rPr>
        <w:t xml:space="preserve">● </w:t>
      </w:r>
      <w:r>
        <w:rPr>
          <w:rFonts w:ascii="宋体" w:hAnsi="宋体" w:eastAsia="宋体" w:cs="宋体"/>
          <w:b/>
          <w:i w:val="0"/>
          <w:color w:val="000000"/>
          <w:sz w:val="21"/>
        </w:rPr>
        <w:t>隐私优先：</w:t>
      </w:r>
      <w:r>
        <w:rPr>
          <w:rFonts w:ascii="宋体" w:hAnsi="宋体" w:eastAsia="宋体" w:cs="宋体"/>
          <w:b w:val="0"/>
          <w:i w:val="0"/>
          <w:color w:val="000000"/>
          <w:sz w:val="21"/>
        </w:rPr>
        <w:t>原始音频不出户，边缘端只上传事件级与指标级摘要，从架构上规避音频数据的合规风险。</w:t>
      </w:r>
    </w:p>
    <w:p>
      <w:pPr>
        <w:spacing w:after="40" w:line="324" w:lineRule="auto"/>
        <w:ind w:left="425" w:hanging="283"/>
      </w:pPr>
      <w:r>
        <w:rPr>
          <w:rFonts w:ascii="宋体" w:hAnsi="宋体" w:eastAsia="宋体" w:cs="宋体"/>
          <w:b w:val="0"/>
          <w:i w:val="0"/>
          <w:color w:val="2E74B5"/>
          <w:sz w:val="18"/>
        </w:rPr>
        <w:t xml:space="preserve">● </w:t>
      </w:r>
      <w:r>
        <w:rPr>
          <w:rFonts w:ascii="宋体" w:hAnsi="宋体" w:eastAsia="宋体" w:cs="宋体"/>
          <w:b/>
          <w:i w:val="0"/>
          <w:color w:val="000000"/>
          <w:sz w:val="21"/>
        </w:rPr>
        <w:t>非接触、低负担：</w:t>
      </w:r>
      <w:r>
        <w:rPr>
          <w:rFonts w:ascii="宋体" w:hAnsi="宋体" w:eastAsia="宋体" w:cs="宋体"/>
          <w:b w:val="0"/>
          <w:i w:val="0"/>
          <w:color w:val="000000"/>
          <w:sz w:val="21"/>
        </w:rPr>
        <w:t>不要求患者佩戴任何传感器、不改变睡眠习惯，降低长期使用的依从性门槛。</w:t>
      </w:r>
    </w:p>
    <w:p>
      <w:pPr>
        <w:spacing w:after="40" w:line="324" w:lineRule="auto"/>
        <w:ind w:left="425" w:hanging="283"/>
      </w:pPr>
      <w:r>
        <w:rPr>
          <w:rFonts w:ascii="宋体" w:hAnsi="宋体" w:eastAsia="宋体" w:cs="宋体"/>
          <w:b w:val="0"/>
          <w:i w:val="0"/>
          <w:color w:val="2E74B5"/>
          <w:sz w:val="18"/>
        </w:rPr>
        <w:t xml:space="preserve">● </w:t>
      </w:r>
      <w:r>
        <w:rPr>
          <w:rFonts w:ascii="宋体" w:hAnsi="宋体" w:eastAsia="宋体" w:cs="宋体"/>
          <w:b/>
          <w:i w:val="0"/>
          <w:color w:val="000000"/>
          <w:sz w:val="21"/>
        </w:rPr>
        <w:t>成本可控：</w:t>
      </w:r>
      <w:r>
        <w:rPr>
          <w:rFonts w:ascii="宋体" w:hAnsi="宋体" w:eastAsia="宋体" w:cs="宋体"/>
          <w:b w:val="0"/>
          <w:i w:val="0"/>
          <w:color w:val="000000"/>
          <w:sz w:val="21"/>
        </w:rPr>
        <w:t>以国产芯片与消费级麦克风为基础，把单台硬件成本控制在数百元量级，具备规模化复制条件。</w:t>
      </w:r>
    </w:p>
    <w:p>
      <w:pPr>
        <w:spacing w:after="40" w:line="324" w:lineRule="auto"/>
        <w:ind w:left="425" w:hanging="283"/>
      </w:pPr>
      <w:r>
        <w:rPr>
          <w:rFonts w:ascii="宋体" w:hAnsi="宋体" w:eastAsia="宋体" w:cs="宋体"/>
          <w:b w:val="0"/>
          <w:i w:val="0"/>
          <w:color w:val="2E74B5"/>
          <w:sz w:val="18"/>
        </w:rPr>
        <w:t xml:space="preserve">● </w:t>
      </w:r>
      <w:r>
        <w:rPr>
          <w:rFonts w:ascii="宋体" w:hAnsi="宋体" w:eastAsia="宋体" w:cs="宋体"/>
          <w:b/>
          <w:i w:val="0"/>
          <w:color w:val="000000"/>
          <w:sz w:val="21"/>
        </w:rPr>
        <w:t>离线可用：</w:t>
      </w:r>
      <w:r>
        <w:rPr>
          <w:rFonts w:ascii="宋体" w:hAnsi="宋体" w:eastAsia="宋体" w:cs="宋体"/>
          <w:b w:val="0"/>
          <w:i w:val="0"/>
          <w:color w:val="000000"/>
          <w:sz w:val="21"/>
        </w:rPr>
        <w:t>断网仍能完成推理与本地存储，网络恢复后同步，适应家庭网络不稳定的真实情况。</w:t>
      </w:r>
    </w:p>
    <w:p>
      <w:pPr>
        <w:spacing w:after="40" w:line="324" w:lineRule="auto"/>
        <w:ind w:left="425" w:hanging="283"/>
      </w:pPr>
      <w:r>
        <w:rPr>
          <w:rFonts w:ascii="宋体" w:hAnsi="宋体" w:eastAsia="宋体" w:cs="宋体"/>
          <w:b w:val="0"/>
          <w:i w:val="0"/>
          <w:color w:val="2E74B5"/>
          <w:sz w:val="18"/>
        </w:rPr>
        <w:t xml:space="preserve">● </w:t>
      </w:r>
      <w:r>
        <w:rPr>
          <w:rFonts w:ascii="宋体" w:hAnsi="宋体" w:eastAsia="宋体" w:cs="宋体"/>
          <w:b/>
          <w:i w:val="0"/>
          <w:color w:val="000000"/>
          <w:sz w:val="21"/>
        </w:rPr>
        <w:t>临床可解释：</w:t>
      </w:r>
      <w:r>
        <w:rPr>
          <w:rFonts w:ascii="宋体" w:hAnsi="宋体" w:eastAsia="宋体" w:cs="宋体"/>
          <w:b w:val="0"/>
          <w:i w:val="0"/>
          <w:color w:val="000000"/>
          <w:sz w:val="21"/>
        </w:rPr>
        <w:t>输出的每一项指标都能回溯到具体的声音事件与时间点，医生可听、可核、可判断，而非黑箱分数。</w:t>
      </w:r>
    </w:p>
    <w:p>
      <w:pPr>
        <w:spacing w:after="40" w:line="324" w:lineRule="auto"/>
        <w:ind w:left="425" w:hanging="283"/>
      </w:pPr>
      <w:r>
        <w:rPr>
          <w:rFonts w:ascii="宋体" w:hAnsi="宋体" w:eastAsia="宋体" w:cs="宋体"/>
          <w:b w:val="0"/>
          <w:i w:val="0"/>
          <w:color w:val="2E74B5"/>
          <w:sz w:val="18"/>
        </w:rPr>
        <w:t xml:space="preserve">● </w:t>
      </w:r>
      <w:r>
        <w:rPr>
          <w:rFonts w:ascii="宋体" w:hAnsi="宋体" w:eastAsia="宋体" w:cs="宋体"/>
          <w:b/>
          <w:i w:val="0"/>
          <w:color w:val="000000"/>
          <w:sz w:val="21"/>
        </w:rPr>
        <w:t>渐进合规：</w:t>
      </w:r>
      <w:r>
        <w:rPr>
          <w:rFonts w:ascii="宋体" w:hAnsi="宋体" w:eastAsia="宋体" w:cs="宋体"/>
          <w:b w:val="0"/>
          <w:i w:val="0"/>
          <w:color w:val="000000"/>
          <w:sz w:val="21"/>
        </w:rPr>
        <w:t>先以健康管理工具形态落地，严格避免诊断性宣称，待数据与验证充分后再申报医疗器械。</w:t>
      </w:r>
    </w:p>
    <w:p>
      <w:pPr>
        <w:pStyle w:val="Heading2"/>
      </w:pPr>
      <w:r>
        <w:rPr>
          <w:rFonts w:ascii="宋体" w:hAnsi="宋体" w:eastAsia="宋体" w:cs="宋体"/>
          <w:b/>
          <w:i w:val="0"/>
          <w:color w:val="2E74B5"/>
          <w:sz w:val="25"/>
        </w:rPr>
        <w:t>3.2 系统总体架构（四层）</w:t>
      </w:r>
    </w:p>
    <w:p>
      <w:pPr>
        <w:spacing w:after="80"/>
        <w:ind w:firstLine="420"/>
      </w:pPr>
      <w:r>
        <w:rPr>
          <w:rFonts w:ascii="宋体" w:hAnsi="宋体" w:eastAsia="宋体" w:cs="宋体"/>
          <w:b w:val="0"/>
          <w:i w:val="0"/>
          <w:color w:val="000000"/>
          <w:sz w:val="21"/>
        </w:rPr>
        <w:t>系统采用“端—边—云—用”四层架构，各层职责清晰、接口标准化，便于分期实现与独立迭代：</w:t>
      </w:r>
    </w:p>
    <w:tbl>
      <w:tblPr>
        <w:tblStyle w:val="TableGrid"/>
        <w:jc w:val="center"/>
        <w:tblLook w:firstColumn="1" w:firstRow="1" w:lastColumn="0" w:lastRow="0" w:noHBand="0" w:noVBand="1" w:val="04A0"/>
        <w:tblCellMar>
          <w:top w:w="60" w:type="dxa"/>
          <w:left w:w="90" w:type="dxa"/>
          <w:bottom w:w="60" w:type="dxa"/>
          <w:right w:w="90" w:type="dxa"/>
        </w:tblCellMar>
        <w:tblW w:w="9129" w:type="dxa"/>
        <w:tblLayout w:type="fixed"/>
      </w:tblPr>
      <w:tblGrid>
        <w:gridCol w:w="1255"/>
        <w:gridCol w:w="2396"/>
        <w:gridCol w:w="5477"/>
      </w:tblGrid>
      <w:tr>
        <w:trPr>
          <w:tblHeader w:val="true"/>
        </w:trPr>
        <w:tc>
          <w:tcPr>
            <w:tcW w:type="dxa" w:w="1255"/>
            <w:shd w:val="clear" w:color="auto" w:fill="1F4E79"/>
          </w:tcPr>
          <w:p>
            <w:pPr>
              <w:spacing w:after="0" w:line="276" w:lineRule="auto"/>
              <w:jc w:val="center"/>
            </w:pPr>
            <w:r/>
            <w:r>
              <w:rPr>
                <w:rFonts w:ascii="宋体" w:hAnsi="宋体" w:eastAsia="宋体" w:cs="宋体"/>
                <w:b/>
                <w:i w:val="0"/>
                <w:color w:val="FFFFFF"/>
                <w:sz w:val="19"/>
              </w:rPr>
              <w:t>层级</w:t>
            </w:r>
          </w:p>
        </w:tc>
        <w:tc>
          <w:tcPr>
            <w:tcW w:type="dxa" w:w="2396"/>
            <w:shd w:val="clear" w:color="auto" w:fill="1F4E79"/>
          </w:tcPr>
          <w:p>
            <w:pPr>
              <w:spacing w:after="0" w:line="276" w:lineRule="auto"/>
              <w:jc w:val="center"/>
            </w:pPr>
            <w:r/>
            <w:r>
              <w:rPr>
                <w:rFonts w:ascii="宋体" w:hAnsi="宋体" w:eastAsia="宋体" w:cs="宋体"/>
                <w:b/>
                <w:i w:val="0"/>
                <w:color w:val="FFFFFF"/>
                <w:sz w:val="19"/>
              </w:rPr>
              <w:t>组成</w:t>
            </w:r>
          </w:p>
        </w:tc>
        <w:tc>
          <w:tcPr>
            <w:tcW w:type="dxa" w:w="5477"/>
            <w:shd w:val="clear" w:color="auto" w:fill="1F4E79"/>
          </w:tcPr>
          <w:p>
            <w:pPr>
              <w:spacing w:after="0" w:line="276" w:lineRule="auto"/>
              <w:jc w:val="center"/>
            </w:pPr>
            <w:r/>
            <w:r>
              <w:rPr>
                <w:rFonts w:ascii="宋体" w:hAnsi="宋体" w:eastAsia="宋体" w:cs="宋体"/>
                <w:b/>
                <w:i w:val="0"/>
                <w:color w:val="FFFFFF"/>
                <w:sz w:val="19"/>
              </w:rPr>
              <w:t>主要职责</w:t>
            </w:r>
          </w:p>
        </w:tc>
      </w:tr>
      <w:tr>
        <w:tc>
          <w:tcPr>
            <w:tcW w:type="dxa" w:w="1255"/>
          </w:tcPr>
          <w:p>
            <w:pPr>
              <w:spacing w:after="0" w:line="276" w:lineRule="auto"/>
            </w:pPr>
            <w:r/>
            <w:r>
              <w:rPr>
                <w:rFonts w:ascii="宋体" w:hAnsi="宋体" w:eastAsia="宋体" w:cs="宋体"/>
                <w:b w:val="0"/>
                <w:i w:val="0"/>
                <w:color w:val="000000"/>
                <w:sz w:val="19"/>
              </w:rPr>
              <w:t>采集层</w:t>
            </w:r>
          </w:p>
        </w:tc>
        <w:tc>
          <w:tcPr>
            <w:tcW w:type="dxa" w:w="2396"/>
          </w:tcPr>
          <w:p>
            <w:pPr>
              <w:spacing w:after="0" w:line="276" w:lineRule="auto"/>
            </w:pPr>
            <w:r/>
            <w:r>
              <w:rPr>
                <w:rFonts w:ascii="宋体" w:hAnsi="宋体" w:eastAsia="宋体" w:cs="宋体"/>
                <w:b w:val="0"/>
                <w:i w:val="0"/>
                <w:color w:val="000000"/>
                <w:sz w:val="19"/>
              </w:rPr>
              <w:t>手机 APP（主）/ 低成本 USB 或蓝牙拾音配件（选）</w:t>
            </w:r>
          </w:p>
        </w:tc>
        <w:tc>
          <w:tcPr>
            <w:tcW w:type="dxa" w:w="5477"/>
          </w:tcPr>
          <w:p>
            <w:pPr>
              <w:spacing w:after="0" w:line="276" w:lineRule="auto"/>
            </w:pPr>
            <w:r/>
            <w:r>
              <w:rPr>
                <w:rFonts w:ascii="宋体" w:hAnsi="宋体" w:eastAsia="宋体" w:cs="宋体"/>
                <w:b w:val="0"/>
                <w:i w:val="0"/>
                <w:color w:val="000000"/>
                <w:sz w:val="19"/>
              </w:rPr>
              <w:t>按需录音与常听模式、设备校准、音频预处理（降噪、增益归一化）、断点续传、用户交互与提醒</w:t>
            </w:r>
          </w:p>
        </w:tc>
      </w:tr>
      <w:tr>
        <w:tc>
          <w:tcPr>
            <w:tcW w:type="dxa" w:w="1255"/>
            <w:shd w:val="clear" w:color="auto" w:fill="EDF3F9"/>
          </w:tcPr>
          <w:p>
            <w:pPr>
              <w:spacing w:after="0" w:line="276" w:lineRule="auto"/>
            </w:pPr>
            <w:r/>
            <w:r>
              <w:rPr>
                <w:rFonts w:ascii="宋体" w:hAnsi="宋体" w:eastAsia="宋体" w:cs="宋体"/>
                <w:b w:val="0"/>
                <w:i w:val="0"/>
                <w:color w:val="000000"/>
                <w:sz w:val="19"/>
              </w:rPr>
              <w:t>边缘层</w:t>
            </w:r>
          </w:p>
        </w:tc>
        <w:tc>
          <w:tcPr>
            <w:tcW w:type="dxa" w:w="2396"/>
            <w:shd w:val="clear" w:color="auto" w:fill="EDF3F9"/>
          </w:tcPr>
          <w:p>
            <w:pPr>
              <w:spacing w:after="0" w:line="276" w:lineRule="auto"/>
            </w:pPr>
            <w:r/>
            <w:r>
              <w:rPr>
                <w:rFonts w:ascii="宋体" w:hAnsi="宋体" w:eastAsia="宋体" w:cs="宋体"/>
                <w:b w:val="0"/>
                <w:i w:val="0"/>
                <w:color w:val="000000"/>
                <w:sz w:val="19"/>
              </w:rPr>
              <w:t>RK3576 边缘节点（核心板 + 音频前端 + 存储）</w:t>
            </w:r>
          </w:p>
        </w:tc>
        <w:tc>
          <w:tcPr>
            <w:tcW w:type="dxa" w:w="5477"/>
            <w:shd w:val="clear" w:color="auto" w:fill="EDF3F9"/>
          </w:tcPr>
          <w:p>
            <w:pPr>
              <w:spacing w:after="0" w:line="276" w:lineRule="auto"/>
            </w:pPr>
            <w:r/>
            <w:r>
              <w:rPr>
                <w:rFonts w:ascii="宋体" w:hAnsi="宋体" w:eastAsia="宋体" w:cs="宋体"/>
                <w:b w:val="0"/>
                <w:i w:val="0"/>
                <w:color w:val="000000"/>
                <w:sz w:val="19"/>
              </w:rPr>
              <w:t>音频前端处理、声学事件检测与分类推理、指标统计、本地加密存储、断网续传、设备自检与 OTA</w:t>
            </w:r>
          </w:p>
        </w:tc>
      </w:tr>
      <w:tr>
        <w:tc>
          <w:tcPr>
            <w:tcW w:type="dxa" w:w="1255"/>
          </w:tcPr>
          <w:p>
            <w:pPr>
              <w:spacing w:after="0" w:line="276" w:lineRule="auto"/>
            </w:pPr>
            <w:r/>
            <w:r>
              <w:rPr>
                <w:rFonts w:ascii="宋体" w:hAnsi="宋体" w:eastAsia="宋体" w:cs="宋体"/>
                <w:b w:val="0"/>
                <w:i w:val="0"/>
                <w:color w:val="000000"/>
                <w:sz w:val="19"/>
              </w:rPr>
              <w:t>云端层</w:t>
            </w:r>
          </w:p>
        </w:tc>
        <w:tc>
          <w:tcPr>
            <w:tcW w:type="dxa" w:w="2396"/>
          </w:tcPr>
          <w:p>
            <w:pPr>
              <w:spacing w:after="0" w:line="276" w:lineRule="auto"/>
            </w:pPr>
            <w:r/>
            <w:r>
              <w:rPr>
                <w:rFonts w:ascii="宋体" w:hAnsi="宋体" w:eastAsia="宋体" w:cs="宋体"/>
                <w:b w:val="0"/>
                <w:i w:val="0"/>
                <w:color w:val="000000"/>
                <w:sz w:val="19"/>
              </w:rPr>
              <w:t>指标与设备管理服务、数据仓库、模型训练与迭代平台、医生工作站后台</w:t>
            </w:r>
          </w:p>
        </w:tc>
        <w:tc>
          <w:tcPr>
            <w:tcW w:type="dxa" w:w="5477"/>
          </w:tcPr>
          <w:p>
            <w:pPr>
              <w:spacing w:after="0" w:line="276" w:lineRule="auto"/>
            </w:pPr>
            <w:r/>
            <w:r>
              <w:rPr>
                <w:rFonts w:ascii="宋体" w:hAnsi="宋体" w:eastAsia="宋体" w:cs="宋体"/>
                <w:b w:val="0"/>
                <w:i w:val="0"/>
                <w:color w:val="000000"/>
                <w:sz w:val="19"/>
              </w:rPr>
              <w:t>长期趋势聚合、个体化基线建模、模型训练与版本管理、报告生成、多租户与权限管理</w:t>
            </w:r>
          </w:p>
        </w:tc>
      </w:tr>
      <w:tr>
        <w:tc>
          <w:tcPr>
            <w:tcW w:type="dxa" w:w="1255"/>
            <w:shd w:val="clear" w:color="auto" w:fill="EDF3F9"/>
          </w:tcPr>
          <w:p>
            <w:pPr>
              <w:spacing w:after="0" w:line="276" w:lineRule="auto"/>
            </w:pPr>
            <w:r/>
            <w:r>
              <w:rPr>
                <w:rFonts w:ascii="宋体" w:hAnsi="宋体" w:eastAsia="宋体" w:cs="宋体"/>
                <w:b w:val="0"/>
                <w:i w:val="0"/>
                <w:color w:val="000000"/>
                <w:sz w:val="19"/>
              </w:rPr>
              <w:t>应用层</w:t>
            </w:r>
          </w:p>
        </w:tc>
        <w:tc>
          <w:tcPr>
            <w:tcW w:type="dxa" w:w="2396"/>
            <w:shd w:val="clear" w:color="auto" w:fill="EDF3F9"/>
          </w:tcPr>
          <w:p>
            <w:pPr>
              <w:spacing w:after="0" w:line="276" w:lineRule="auto"/>
            </w:pPr>
            <w:r/>
            <w:r>
              <w:rPr>
                <w:rFonts w:ascii="宋体" w:hAnsi="宋体" w:eastAsia="宋体" w:cs="宋体"/>
                <w:b w:val="0"/>
                <w:i w:val="0"/>
                <w:color w:val="000000"/>
                <w:sz w:val="19"/>
              </w:rPr>
              <w:t>患者端 APP / 小程序、医生端工作站、家属端告警</w:t>
            </w:r>
          </w:p>
        </w:tc>
        <w:tc>
          <w:tcPr>
            <w:tcW w:type="dxa" w:w="5477"/>
            <w:shd w:val="clear" w:color="auto" w:fill="EDF3F9"/>
          </w:tcPr>
          <w:p>
            <w:pPr>
              <w:spacing w:after="0" w:line="276" w:lineRule="auto"/>
            </w:pPr>
            <w:r/>
            <w:r>
              <w:rPr>
                <w:rFonts w:ascii="宋体" w:hAnsi="宋体" w:eastAsia="宋体" w:cs="宋体"/>
                <w:b w:val="0"/>
                <w:i w:val="0"/>
                <w:color w:val="000000"/>
                <w:sz w:val="19"/>
              </w:rPr>
              <w:t>趋势可视化、异常预警推送、事件回放、用药与症状日志、随访报告导出与 HIS/EMR 对接</w:t>
            </w:r>
          </w:p>
        </w:tc>
      </w:tr>
    </w:tbl>
    <w:p>
      <w:pPr>
        <w:spacing w:after="40"/>
      </w:pPr>
    </w:p>
    <w:p>
      <w:pPr>
        <w:spacing w:before="120" w:after="40"/>
        <w:jc w:val="center"/>
      </w:pPr>
      <w:r>
        <w:drawing>
          <wp:inline xmlns:a="http://schemas.openxmlformats.org/drawingml/2006/main" xmlns:pic="http://schemas.openxmlformats.org/drawingml/2006/picture">
            <wp:extent cx="5544000" cy="3870240"/>
            <wp:docPr id="1" name="Picture 1"/>
            <wp:cNvGraphicFramePr>
              <a:graphicFrameLocks noChangeAspect="1"/>
            </wp:cNvGraphicFramePr>
            <a:graphic>
              <a:graphicData uri="http://schemas.openxmlformats.org/drawingml/2006/picture">
                <pic:pic>
                  <pic:nvPicPr>
                    <pic:cNvPr id="0" name="architecture.png"/>
                    <pic:cNvPicPr/>
                  </pic:nvPicPr>
                  <pic:blipFill>
                    <a:blip r:embed="rId9"/>
                    <a:stretch>
                      <a:fillRect/>
                    </a:stretch>
                  </pic:blipFill>
                  <pic:spPr>
                    <a:xfrm>
                      <a:off x="0" y="0"/>
                      <a:ext cx="5544000" cy="3870240"/>
                    </a:xfrm>
                    <a:prstGeom prst="rect"/>
                  </pic:spPr>
                </pic:pic>
              </a:graphicData>
            </a:graphic>
          </wp:inline>
        </w:drawing>
      </w:r>
    </w:p>
    <w:p>
      <w:pPr>
        <w:spacing w:after="160"/>
        <w:jc w:val="center"/>
      </w:pPr>
      <w:r>
        <w:rPr>
          <w:rFonts w:ascii="宋体" w:hAnsi="宋体" w:eastAsia="宋体" w:cs="宋体"/>
          <w:b w:val="0"/>
          <w:i w:val="0"/>
          <w:color w:val="595959"/>
          <w:sz w:val="18"/>
        </w:rPr>
        <w:t>图 3-1  居家呼吸声学监测系统总体架构（可直接用于商业计划书与答辩 PPT）</w:t>
      </w:r>
    </w:p>
    <w:p>
      <w:pPr>
        <w:spacing w:after="80"/>
        <w:ind w:firstLine="420"/>
      </w:pPr>
      <w:r>
        <w:rPr>
          <w:rFonts w:ascii="宋体" w:hAnsi="宋体" w:eastAsia="宋体" w:cs="宋体"/>
          <w:b w:val="0"/>
          <w:i w:val="0"/>
          <w:color w:val="000000"/>
          <w:sz w:val="21"/>
        </w:rPr>
        <w:t>数据流闭环：手机采集 → 边缘端实时推理与本地缓存 → 指标与事件摘要上云 → 云端趋势分析与模型迭代 → 医生端与患者端呈现 → 复诊反馈与用药调整 → 新的标注数据回流训练集。该闭环既是产品价值闭环，也是算法持续改进的数据闭环。</w:t>
      </w:r>
    </w:p>
    <w:p>
      <w:pPr>
        <w:pStyle w:val="Heading2"/>
      </w:pPr>
      <w:r>
        <w:rPr>
          <w:rFonts w:ascii="宋体" w:hAnsi="宋体" w:eastAsia="宋体" w:cs="宋体"/>
          <w:b/>
          <w:i w:val="0"/>
          <w:color w:val="2E74B5"/>
          <w:sz w:val="25"/>
        </w:rPr>
        <w:t>3.3 关键设计取舍</w:t>
      </w:r>
    </w:p>
    <w:tbl>
      <w:tblPr>
        <w:tblStyle w:val="TableGrid"/>
        <w:jc w:val="center"/>
        <w:tblLook w:firstColumn="1" w:firstRow="1" w:lastColumn="0" w:lastRow="0" w:noHBand="0" w:noVBand="1" w:val="04A0"/>
        <w:tblCellMar>
          <w:top w:w="60" w:type="dxa"/>
          <w:left w:w="90" w:type="dxa"/>
          <w:bottom w:w="60" w:type="dxa"/>
          <w:right w:w="90" w:type="dxa"/>
        </w:tblCellMar>
        <w:tblW w:w="9129" w:type="dxa"/>
        <w:tblLayout w:type="fixed"/>
      </w:tblPr>
      <w:tblGrid>
        <w:gridCol w:w="1712"/>
        <w:gridCol w:w="3423"/>
        <w:gridCol w:w="3994"/>
      </w:tblGrid>
      <w:tr>
        <w:trPr>
          <w:tblHeader w:val="true"/>
        </w:trPr>
        <w:tc>
          <w:tcPr>
            <w:tcW w:type="dxa" w:w="1711"/>
            <w:shd w:val="clear" w:color="auto" w:fill="1F4E79"/>
          </w:tcPr>
          <w:p>
            <w:pPr>
              <w:spacing w:after="0" w:line="276" w:lineRule="auto"/>
              <w:jc w:val="center"/>
            </w:pPr>
            <w:r/>
            <w:r>
              <w:rPr>
                <w:rFonts w:ascii="宋体" w:hAnsi="宋体" w:eastAsia="宋体" w:cs="宋体"/>
                <w:b/>
                <w:i w:val="0"/>
                <w:color w:val="FFFFFF"/>
                <w:sz w:val="19"/>
              </w:rPr>
              <w:t>设计问题</w:t>
            </w:r>
          </w:p>
        </w:tc>
        <w:tc>
          <w:tcPr>
            <w:tcW w:type="dxa" w:w="3423"/>
            <w:shd w:val="clear" w:color="auto" w:fill="1F4E79"/>
          </w:tcPr>
          <w:p>
            <w:pPr>
              <w:spacing w:after="0" w:line="276" w:lineRule="auto"/>
              <w:jc w:val="center"/>
            </w:pPr>
            <w:r/>
            <w:r>
              <w:rPr>
                <w:rFonts w:ascii="宋体" w:hAnsi="宋体" w:eastAsia="宋体" w:cs="宋体"/>
                <w:b/>
                <w:i w:val="0"/>
                <w:color w:val="FFFFFF"/>
                <w:sz w:val="19"/>
              </w:rPr>
              <w:t>可选方案</w:t>
            </w:r>
          </w:p>
        </w:tc>
        <w:tc>
          <w:tcPr>
            <w:tcW w:type="dxa" w:w="3993"/>
            <w:shd w:val="clear" w:color="auto" w:fill="1F4E79"/>
          </w:tcPr>
          <w:p>
            <w:pPr>
              <w:spacing w:after="0" w:line="276" w:lineRule="auto"/>
              <w:jc w:val="center"/>
            </w:pPr>
            <w:r/>
            <w:r>
              <w:rPr>
                <w:rFonts w:ascii="宋体" w:hAnsi="宋体" w:eastAsia="宋体" w:cs="宋体"/>
                <w:b/>
                <w:i w:val="0"/>
                <w:color w:val="FFFFFF"/>
                <w:sz w:val="19"/>
              </w:rPr>
              <w:t>本项目选择与理由</w:t>
            </w:r>
          </w:p>
        </w:tc>
      </w:tr>
      <w:tr>
        <w:tc>
          <w:tcPr>
            <w:tcW w:type="dxa" w:w="1711"/>
          </w:tcPr>
          <w:p>
            <w:pPr>
              <w:spacing w:after="0" w:line="276" w:lineRule="auto"/>
            </w:pPr>
            <w:r/>
            <w:r>
              <w:rPr>
                <w:rFonts w:ascii="宋体" w:hAnsi="宋体" w:eastAsia="宋体" w:cs="宋体"/>
                <w:b w:val="0"/>
                <w:i w:val="0"/>
                <w:color w:val="000000"/>
                <w:sz w:val="19"/>
              </w:rPr>
              <w:t>算力放在哪</w:t>
            </w:r>
          </w:p>
        </w:tc>
        <w:tc>
          <w:tcPr>
            <w:tcW w:type="dxa" w:w="3423"/>
          </w:tcPr>
          <w:p>
            <w:pPr>
              <w:spacing w:after="0" w:line="276" w:lineRule="auto"/>
            </w:pPr>
            <w:r/>
            <w:r>
              <w:rPr>
                <w:rFonts w:ascii="宋体" w:hAnsi="宋体" w:eastAsia="宋体" w:cs="宋体"/>
                <w:b w:val="0"/>
                <w:i w:val="0"/>
                <w:color w:val="000000"/>
                <w:sz w:val="19"/>
              </w:rPr>
              <w:t>纯云端 / 纯手机端 / 手机 + 专用边缘节点</w:t>
            </w:r>
          </w:p>
        </w:tc>
        <w:tc>
          <w:tcPr>
            <w:tcW w:type="dxa" w:w="3993"/>
          </w:tcPr>
          <w:p>
            <w:pPr>
              <w:spacing w:after="0" w:line="276" w:lineRule="auto"/>
            </w:pPr>
            <w:r/>
            <w:r>
              <w:rPr>
                <w:rFonts w:ascii="宋体" w:hAnsi="宋体" w:eastAsia="宋体" w:cs="宋体"/>
                <w:b w:val="0"/>
                <w:i w:val="0"/>
                <w:color w:val="000000"/>
                <w:sz w:val="19"/>
              </w:rPr>
              <w:t>选手机 + RK3576 边缘节点：手机算力被占用会影响续航与体验，纯云端存在隐私与断网问题；边缘节点提供稳定算力，且可固定放置于床头，拾音位置更优</w:t>
            </w:r>
          </w:p>
        </w:tc>
      </w:tr>
      <w:tr>
        <w:tc>
          <w:tcPr>
            <w:tcW w:type="dxa" w:w="1711"/>
            <w:shd w:val="clear" w:color="auto" w:fill="EDF3F9"/>
          </w:tcPr>
          <w:p>
            <w:pPr>
              <w:spacing w:after="0" w:line="276" w:lineRule="auto"/>
            </w:pPr>
            <w:r/>
            <w:r>
              <w:rPr>
                <w:rFonts w:ascii="宋体" w:hAnsi="宋体" w:eastAsia="宋体" w:cs="宋体"/>
                <w:b w:val="0"/>
                <w:i w:val="0"/>
                <w:color w:val="000000"/>
                <w:sz w:val="19"/>
              </w:rPr>
              <w:t>拾音方式</w:t>
            </w:r>
          </w:p>
        </w:tc>
        <w:tc>
          <w:tcPr>
            <w:tcW w:type="dxa" w:w="3423"/>
            <w:shd w:val="clear" w:color="auto" w:fill="EDF3F9"/>
          </w:tcPr>
          <w:p>
            <w:pPr>
              <w:spacing w:after="0" w:line="276" w:lineRule="auto"/>
            </w:pPr>
            <w:r/>
            <w:r>
              <w:rPr>
                <w:rFonts w:ascii="宋体" w:hAnsi="宋体" w:eastAsia="宋体" w:cs="宋体"/>
                <w:b w:val="0"/>
                <w:i w:val="0"/>
                <w:color w:val="000000"/>
                <w:sz w:val="19"/>
              </w:rPr>
              <w:t>手机内置麦克风 / 专用麦克风阵列</w:t>
            </w:r>
          </w:p>
        </w:tc>
        <w:tc>
          <w:tcPr>
            <w:tcW w:type="dxa" w:w="3993"/>
            <w:shd w:val="clear" w:color="auto" w:fill="EDF3F9"/>
          </w:tcPr>
          <w:p>
            <w:pPr>
              <w:spacing w:after="0" w:line="276" w:lineRule="auto"/>
            </w:pPr>
            <w:r/>
            <w:r>
              <w:rPr>
                <w:rFonts w:ascii="宋体" w:hAnsi="宋体" w:eastAsia="宋体" w:cs="宋体"/>
                <w:b w:val="0"/>
                <w:i w:val="0"/>
                <w:color w:val="000000"/>
                <w:sz w:val="19"/>
              </w:rPr>
              <w:t>以手机为主、配件为辅：手机覆盖率最高、零额外成本；配件用于对精度有更高要求的场景</w:t>
            </w:r>
          </w:p>
        </w:tc>
      </w:tr>
      <w:tr>
        <w:tc>
          <w:tcPr>
            <w:tcW w:type="dxa" w:w="1711"/>
          </w:tcPr>
          <w:p>
            <w:pPr>
              <w:spacing w:after="0" w:line="276" w:lineRule="auto"/>
            </w:pPr>
            <w:r/>
            <w:r>
              <w:rPr>
                <w:rFonts w:ascii="宋体" w:hAnsi="宋体" w:eastAsia="宋体" w:cs="宋体"/>
                <w:b w:val="0"/>
                <w:i w:val="0"/>
                <w:color w:val="000000"/>
                <w:sz w:val="19"/>
              </w:rPr>
              <w:t>模型策略</w:t>
            </w:r>
          </w:p>
        </w:tc>
        <w:tc>
          <w:tcPr>
            <w:tcW w:type="dxa" w:w="3423"/>
          </w:tcPr>
          <w:p>
            <w:pPr>
              <w:spacing w:after="0" w:line="276" w:lineRule="auto"/>
            </w:pPr>
            <w:r/>
            <w:r>
              <w:rPr>
                <w:rFonts w:ascii="宋体" w:hAnsi="宋体" w:eastAsia="宋体" w:cs="宋体"/>
                <w:b w:val="0"/>
                <w:i w:val="0"/>
                <w:color w:val="000000"/>
                <w:sz w:val="19"/>
              </w:rPr>
              <w:t>单一端到端大模型 / 两级级联小模型</w:t>
            </w:r>
          </w:p>
        </w:tc>
        <w:tc>
          <w:tcPr>
            <w:tcW w:type="dxa" w:w="3993"/>
          </w:tcPr>
          <w:p>
            <w:pPr>
              <w:spacing w:after="0" w:line="276" w:lineRule="auto"/>
            </w:pPr>
            <w:r/>
            <w:r>
              <w:rPr>
                <w:rFonts w:ascii="宋体" w:hAnsi="宋体" w:eastAsia="宋体" w:cs="宋体"/>
                <w:b w:val="0"/>
                <w:i w:val="0"/>
                <w:color w:val="000000"/>
                <w:sz w:val="19"/>
              </w:rPr>
              <w:t>选两级级联：常听阶段用极小模型做事件门控，事件触发后再用较强模型分类，兼顾功耗与精度</w:t>
            </w:r>
          </w:p>
        </w:tc>
      </w:tr>
      <w:tr>
        <w:tc>
          <w:tcPr>
            <w:tcW w:type="dxa" w:w="1711"/>
            <w:shd w:val="clear" w:color="auto" w:fill="EDF3F9"/>
          </w:tcPr>
          <w:p>
            <w:pPr>
              <w:spacing w:after="0" w:line="276" w:lineRule="auto"/>
            </w:pPr>
            <w:r/>
            <w:r>
              <w:rPr>
                <w:rFonts w:ascii="宋体" w:hAnsi="宋体" w:eastAsia="宋体" w:cs="宋体"/>
                <w:b w:val="0"/>
                <w:i w:val="0"/>
                <w:color w:val="000000"/>
                <w:sz w:val="19"/>
              </w:rPr>
              <w:t>数据上传</w:t>
            </w:r>
          </w:p>
        </w:tc>
        <w:tc>
          <w:tcPr>
            <w:tcW w:type="dxa" w:w="3423"/>
            <w:shd w:val="clear" w:color="auto" w:fill="EDF3F9"/>
          </w:tcPr>
          <w:p>
            <w:pPr>
              <w:spacing w:after="0" w:line="276" w:lineRule="auto"/>
            </w:pPr>
            <w:r/>
            <w:r>
              <w:rPr>
                <w:rFonts w:ascii="宋体" w:hAnsi="宋体" w:eastAsia="宋体" w:cs="宋体"/>
                <w:b w:val="0"/>
                <w:i w:val="0"/>
                <w:color w:val="000000"/>
                <w:sz w:val="19"/>
              </w:rPr>
              <w:t>上传原始音频 / 仅上传事件片段与指标</w:t>
            </w:r>
          </w:p>
        </w:tc>
        <w:tc>
          <w:tcPr>
            <w:tcW w:type="dxa" w:w="3993"/>
            <w:shd w:val="clear" w:color="auto" w:fill="EDF3F9"/>
          </w:tcPr>
          <w:p>
            <w:pPr>
              <w:spacing w:after="0" w:line="276" w:lineRule="auto"/>
            </w:pPr>
            <w:r/>
            <w:r>
              <w:rPr>
                <w:rFonts w:ascii="宋体" w:hAnsi="宋体" w:eastAsia="宋体" w:cs="宋体"/>
                <w:b w:val="0"/>
                <w:i w:val="0"/>
                <w:color w:val="000000"/>
                <w:sz w:val="19"/>
              </w:rPr>
              <w:t>仅上传事件片段（脱敏后）与指标：满足模型迭代需要，同时把隐私风险与传输成本降到最低</w:t>
            </w:r>
          </w:p>
        </w:tc>
      </w:tr>
      <w:tr>
        <w:tc>
          <w:tcPr>
            <w:tcW w:type="dxa" w:w="1711"/>
          </w:tcPr>
          <w:p>
            <w:pPr>
              <w:spacing w:after="0" w:line="276" w:lineRule="auto"/>
            </w:pPr>
            <w:r/>
            <w:r>
              <w:rPr>
                <w:rFonts w:ascii="宋体" w:hAnsi="宋体" w:eastAsia="宋体" w:cs="宋体"/>
                <w:b w:val="0"/>
                <w:i w:val="0"/>
                <w:color w:val="000000"/>
                <w:sz w:val="19"/>
              </w:rPr>
              <w:t>产品节奏</w:t>
            </w:r>
          </w:p>
        </w:tc>
        <w:tc>
          <w:tcPr>
            <w:tcW w:type="dxa" w:w="3423"/>
          </w:tcPr>
          <w:p>
            <w:pPr>
              <w:spacing w:after="0" w:line="276" w:lineRule="auto"/>
            </w:pPr>
            <w:r/>
            <w:r>
              <w:rPr>
                <w:rFonts w:ascii="宋体" w:hAnsi="宋体" w:eastAsia="宋体" w:cs="宋体"/>
                <w:b w:val="0"/>
                <w:i w:val="0"/>
                <w:color w:val="000000"/>
                <w:sz w:val="19"/>
              </w:rPr>
              <w:t>直接申报医疗器械 / 先健康管理后注册</w:t>
            </w:r>
          </w:p>
        </w:tc>
        <w:tc>
          <w:tcPr>
            <w:tcW w:type="dxa" w:w="3993"/>
          </w:tcPr>
          <w:p>
            <w:pPr>
              <w:spacing w:after="0" w:line="276" w:lineRule="auto"/>
            </w:pPr>
            <w:r/>
            <w:r>
              <w:rPr>
                <w:rFonts w:ascii="宋体" w:hAnsi="宋体" w:eastAsia="宋体" w:cs="宋体"/>
                <w:b w:val="0"/>
                <w:i w:val="0"/>
                <w:color w:val="000000"/>
                <w:sz w:val="19"/>
              </w:rPr>
              <w:t>选分步走：医疗器械注册周期长，先用健康管理形态验证留存与效果，避免现金流断裂</w:t>
            </w:r>
          </w:p>
        </w:tc>
      </w:tr>
      <w:tr>
        <w:tc>
          <w:tcPr>
            <w:tcW w:type="dxa" w:w="1711"/>
            <w:shd w:val="clear" w:color="auto" w:fill="EDF3F9"/>
          </w:tcPr>
          <w:p>
            <w:pPr>
              <w:spacing w:after="0" w:line="276" w:lineRule="auto"/>
            </w:pPr>
            <w:r/>
            <w:r>
              <w:rPr>
                <w:rFonts w:ascii="宋体" w:hAnsi="宋体" w:eastAsia="宋体" w:cs="宋体"/>
                <w:b w:val="0"/>
                <w:i w:val="0"/>
                <w:color w:val="000000"/>
                <w:sz w:val="19"/>
              </w:rPr>
              <w:t>产品分类路径</w:t>
            </w:r>
          </w:p>
        </w:tc>
        <w:tc>
          <w:tcPr>
            <w:tcW w:type="dxa" w:w="3423"/>
            <w:shd w:val="clear" w:color="auto" w:fill="EDF3F9"/>
          </w:tcPr>
          <w:p>
            <w:pPr>
              <w:spacing w:after="0" w:line="276" w:lineRule="auto"/>
            </w:pPr>
            <w:r/>
            <w:r>
              <w:rPr>
                <w:rFonts w:ascii="宋体" w:hAnsi="宋体" w:eastAsia="宋体" w:cs="宋体"/>
                <w:b w:val="0"/>
                <w:i w:val="0"/>
                <w:color w:val="000000"/>
                <w:sz w:val="19"/>
              </w:rPr>
              <w:t>按第二类以数据处理软件申报 / 按第三类以决策支持软件申报</w:t>
            </w:r>
          </w:p>
        </w:tc>
        <w:tc>
          <w:tcPr>
            <w:tcW w:type="dxa" w:w="3993"/>
            <w:shd w:val="clear" w:color="auto" w:fill="EDF3F9"/>
          </w:tcPr>
          <w:p>
            <w:pPr>
              <w:spacing w:after="0" w:line="276" w:lineRule="auto"/>
            </w:pPr>
            <w:r/>
            <w:r>
              <w:rPr>
                <w:rFonts w:ascii="宋体" w:hAnsi="宋体" w:eastAsia="宋体" w:cs="宋体"/>
                <w:b w:val="0"/>
                <w:i w:val="0"/>
                <w:color w:val="000000"/>
                <w:sz w:val="19"/>
              </w:rPr>
              <w:t>选第二类 21-03 数据处理软件方向：仅输出客观测量指标与趋势，不涉及病灶识别、病变性质判定与用药指导。若加入「预警急性加重」「建议调整用药」等表述，则会滑向 21-04 决策支持软件（第三类，且需临床试验）。最终分类以省级药品监督管理部门界定为准</w:t>
            </w:r>
          </w:p>
        </w:tc>
      </w:tr>
      <w:tr>
        <w:tc>
          <w:tcPr>
            <w:tcW w:type="dxa" w:w="1711"/>
          </w:tcPr>
          <w:p>
            <w:pPr>
              <w:spacing w:after="0" w:line="276" w:lineRule="auto"/>
            </w:pPr>
            <w:r/>
            <w:r>
              <w:rPr>
                <w:rFonts w:ascii="宋体" w:hAnsi="宋体" w:eastAsia="宋体" w:cs="宋体"/>
                <w:b w:val="0"/>
                <w:i w:val="0"/>
                <w:color w:val="000000"/>
                <w:sz w:val="19"/>
              </w:rPr>
              <w:t>算法更新方式</w:t>
            </w:r>
          </w:p>
        </w:tc>
        <w:tc>
          <w:tcPr>
            <w:tcW w:type="dxa" w:w="3423"/>
          </w:tcPr>
          <w:p>
            <w:pPr>
              <w:spacing w:after="0" w:line="276" w:lineRule="auto"/>
            </w:pPr>
            <w:r/>
            <w:r>
              <w:rPr>
                <w:rFonts w:ascii="宋体" w:hAnsi="宋体" w:eastAsia="宋体" w:cs="宋体"/>
                <w:b w:val="0"/>
                <w:i w:val="0"/>
                <w:color w:val="000000"/>
                <w:sz w:val="19"/>
              </w:rPr>
              <w:t>在线持续学习 / 锁定模型 + 版本化离线升级</w:t>
            </w:r>
          </w:p>
        </w:tc>
        <w:tc>
          <w:tcPr>
            <w:tcW w:type="dxa" w:w="3993"/>
          </w:tcPr>
          <w:p>
            <w:pPr>
              <w:spacing w:after="0" w:line="276" w:lineRule="auto"/>
            </w:pPr>
            <w:r/>
            <w:r>
              <w:rPr>
                <w:rFonts w:ascii="宋体" w:hAnsi="宋体" w:eastAsia="宋体" w:cs="宋体"/>
                <w:b w:val="0"/>
                <w:i w:val="0"/>
                <w:color w:val="000000"/>
                <w:sz w:val="19"/>
              </w:rPr>
              <w:t>选锁定模型 + 版本化离线升级并保留回滚：按《人工智能医疗器械注册审查指导原则》（2022 年第 8 号），算法驱动型更新通常属于重大软件更新，需申请变更注册；在线持续学习会破坏算法版本的可追溯性，与医疗软件的审评要求冲突</w:t>
            </w:r>
          </w:p>
        </w:tc>
      </w:tr>
    </w:tbl>
    <w:p>
      <w:pPr>
        <w:spacing w:after="40"/>
      </w:pPr>
    </w:p>
    <w:p>
      <w:pPr>
        <w:pStyle w:val="Heading2"/>
      </w:pPr>
      <w:r>
        <w:rPr>
          <w:rFonts w:ascii="宋体" w:hAnsi="宋体" w:eastAsia="宋体" w:cs="宋体"/>
          <w:b/>
          <w:i w:val="0"/>
          <w:color w:val="2E74B5"/>
          <w:sz w:val="25"/>
        </w:rPr>
        <w:t>3.4 技术路线图</w:t>
      </w:r>
    </w:p>
    <w:tbl>
      <w:tblPr>
        <w:tblStyle w:val="TableGrid"/>
        <w:jc w:val="center"/>
        <w:tblLook w:firstColumn="1" w:firstRow="1" w:lastColumn="0" w:lastRow="0" w:noHBand="0" w:noVBand="1" w:val="04A0"/>
        <w:tblCellMar>
          <w:top w:w="60" w:type="dxa"/>
          <w:left w:w="90" w:type="dxa"/>
          <w:bottom w:w="60" w:type="dxa"/>
          <w:right w:w="90" w:type="dxa"/>
        </w:tblCellMar>
        <w:tblW w:w="9129" w:type="dxa"/>
        <w:tblLayout w:type="fixed"/>
      </w:tblPr>
      <w:tblGrid>
        <w:gridCol w:w="1369"/>
        <w:gridCol w:w="2282"/>
        <w:gridCol w:w="1940"/>
        <w:gridCol w:w="1712"/>
        <w:gridCol w:w="1826"/>
      </w:tblGrid>
      <w:tr>
        <w:trPr>
          <w:tblHeader w:val="true"/>
        </w:trPr>
        <w:tc>
          <w:tcPr>
            <w:tcW w:type="dxa" w:w="1369"/>
            <w:shd w:val="clear" w:color="auto" w:fill="1F4E79"/>
          </w:tcPr>
          <w:p>
            <w:pPr>
              <w:spacing w:after="0" w:line="276" w:lineRule="auto"/>
              <w:jc w:val="center"/>
            </w:pPr>
            <w:r/>
            <w:r>
              <w:rPr>
                <w:rFonts w:ascii="宋体" w:hAnsi="宋体" w:eastAsia="宋体" w:cs="宋体"/>
                <w:b/>
                <w:i w:val="0"/>
                <w:color w:val="FFFFFF"/>
                <w:sz w:val="19"/>
              </w:rPr>
              <w:t>阶段</w:t>
            </w:r>
          </w:p>
        </w:tc>
        <w:tc>
          <w:tcPr>
            <w:tcW w:type="dxa" w:w="2282"/>
            <w:shd w:val="clear" w:color="auto" w:fill="1F4E79"/>
          </w:tcPr>
          <w:p>
            <w:pPr>
              <w:spacing w:after="0" w:line="276" w:lineRule="auto"/>
              <w:jc w:val="center"/>
            </w:pPr>
            <w:r/>
            <w:r>
              <w:rPr>
                <w:rFonts w:ascii="宋体" w:hAnsi="宋体" w:eastAsia="宋体" w:cs="宋体"/>
                <w:b/>
                <w:i w:val="0"/>
                <w:color w:val="FFFFFF"/>
                <w:sz w:val="19"/>
              </w:rPr>
              <w:t>时间</w:t>
            </w:r>
          </w:p>
        </w:tc>
        <w:tc>
          <w:tcPr>
            <w:tcW w:type="dxa" w:w="1940"/>
            <w:shd w:val="clear" w:color="auto" w:fill="1F4E79"/>
          </w:tcPr>
          <w:p>
            <w:pPr>
              <w:spacing w:after="0" w:line="276" w:lineRule="auto"/>
              <w:jc w:val="center"/>
            </w:pPr>
            <w:r/>
            <w:r>
              <w:rPr>
                <w:rFonts w:ascii="宋体" w:hAnsi="宋体" w:eastAsia="宋体" w:cs="宋体"/>
                <w:b/>
                <w:i w:val="0"/>
                <w:color w:val="FFFFFF"/>
                <w:sz w:val="19"/>
              </w:rPr>
              <w:t>技术目标</w:t>
            </w:r>
          </w:p>
        </w:tc>
        <w:tc>
          <w:tcPr>
            <w:tcW w:type="dxa" w:w="1711"/>
            <w:shd w:val="clear" w:color="auto" w:fill="1F4E79"/>
          </w:tcPr>
          <w:p>
            <w:pPr>
              <w:spacing w:after="0" w:line="276" w:lineRule="auto"/>
              <w:jc w:val="center"/>
            </w:pPr>
            <w:r/>
            <w:r>
              <w:rPr>
                <w:rFonts w:ascii="宋体" w:hAnsi="宋体" w:eastAsia="宋体" w:cs="宋体"/>
                <w:b/>
                <w:i w:val="0"/>
                <w:color w:val="FFFFFF"/>
                <w:sz w:val="19"/>
              </w:rPr>
              <w:t>验证方式</w:t>
            </w:r>
          </w:p>
        </w:tc>
        <w:tc>
          <w:tcPr>
            <w:tcW w:type="dxa" w:w="1826"/>
            <w:shd w:val="clear" w:color="auto" w:fill="1F4E79"/>
          </w:tcPr>
          <w:p>
            <w:pPr>
              <w:spacing w:after="0" w:line="276" w:lineRule="auto"/>
              <w:jc w:val="center"/>
            </w:pPr>
            <w:r/>
            <w:r>
              <w:rPr>
                <w:rFonts w:ascii="宋体" w:hAnsi="宋体" w:eastAsia="宋体" w:cs="宋体"/>
                <w:b/>
                <w:i w:val="0"/>
                <w:color w:val="FFFFFF"/>
                <w:sz w:val="19"/>
              </w:rPr>
              <w:t>交付物</w:t>
            </w:r>
          </w:p>
        </w:tc>
      </w:tr>
      <w:tr>
        <w:tc>
          <w:tcPr>
            <w:tcW w:type="dxa" w:w="1369"/>
          </w:tcPr>
          <w:p>
            <w:pPr>
              <w:spacing w:after="0" w:line="276" w:lineRule="auto"/>
            </w:pPr>
            <w:r/>
            <w:r>
              <w:rPr>
                <w:rFonts w:ascii="宋体" w:hAnsi="宋体" w:eastAsia="宋体" w:cs="宋体"/>
                <w:b w:val="0"/>
                <w:i w:val="0"/>
                <w:color w:val="000000"/>
                <w:sz w:val="19"/>
              </w:rPr>
              <w:t>第一阶段</w:t>
            </w:r>
          </w:p>
          <w:p>
            <w:pPr>
              <w:spacing w:after="0" w:line="276" w:lineRule="auto"/>
            </w:pPr>
            <w:r>
              <w:rPr>
                <w:rFonts w:ascii="宋体" w:hAnsi="宋体" w:eastAsia="宋体" w:cs="宋体"/>
                <w:b w:val="0"/>
                <w:i w:val="0"/>
                <w:color w:val="000000"/>
                <w:sz w:val="19"/>
              </w:rPr>
              <w:t>原理验证</w:t>
            </w:r>
          </w:p>
        </w:tc>
        <w:tc>
          <w:tcPr>
            <w:tcW w:type="dxa" w:w="2282"/>
          </w:tcPr>
          <w:p>
            <w:pPr>
              <w:spacing w:after="0" w:line="276" w:lineRule="auto"/>
            </w:pPr>
            <w:r/>
            <w:r>
              <w:rPr>
                <w:rFonts w:ascii="宋体" w:hAnsi="宋体" w:eastAsia="宋体" w:cs="宋体"/>
                <w:b w:val="0"/>
                <w:i w:val="0"/>
                <w:color w:val="000000"/>
                <w:sz w:val="19"/>
              </w:rPr>
              <w:t>第 1–6 月</w:t>
            </w:r>
          </w:p>
        </w:tc>
        <w:tc>
          <w:tcPr>
            <w:tcW w:type="dxa" w:w="1940"/>
          </w:tcPr>
          <w:p>
            <w:pPr>
              <w:spacing w:after="0" w:line="276" w:lineRule="auto"/>
            </w:pPr>
            <w:r/>
            <w:r>
              <w:rPr>
                <w:rFonts w:ascii="宋体" w:hAnsi="宋体" w:eastAsia="宋体" w:cs="宋体"/>
                <w:b w:val="0"/>
                <w:i w:val="0"/>
                <w:color w:val="000000"/>
                <w:sz w:val="19"/>
              </w:rPr>
              <w:t>打通手机采集到边缘推理全链路</w:t>
            </w:r>
          </w:p>
        </w:tc>
        <w:tc>
          <w:tcPr>
            <w:tcW w:type="dxa" w:w="1711"/>
          </w:tcPr>
          <w:p>
            <w:pPr>
              <w:spacing w:after="0" w:line="276" w:lineRule="auto"/>
            </w:pPr>
            <w:r/>
            <w:r>
              <w:rPr>
                <w:rFonts w:ascii="宋体" w:hAnsi="宋体" w:eastAsia="宋体" w:cs="宋体"/>
                <w:b w:val="0"/>
                <w:i w:val="0"/>
                <w:color w:val="000000"/>
                <w:sz w:val="19"/>
              </w:rPr>
              <w:t>自建数据集离线评估</w:t>
            </w:r>
          </w:p>
        </w:tc>
        <w:tc>
          <w:tcPr>
            <w:tcW w:type="dxa" w:w="1826"/>
          </w:tcPr>
          <w:p>
            <w:pPr>
              <w:spacing w:after="0" w:line="276" w:lineRule="auto"/>
            </w:pPr>
            <w:r/>
            <w:r>
              <w:rPr>
                <w:rFonts w:ascii="宋体" w:hAnsi="宋体" w:eastAsia="宋体" w:cs="宋体"/>
                <w:b w:val="0"/>
                <w:i w:val="0"/>
                <w:color w:val="000000"/>
                <w:sz w:val="19"/>
              </w:rPr>
              <w:t>算法原型与实验报告</w:t>
            </w:r>
          </w:p>
        </w:tc>
      </w:tr>
      <w:tr>
        <w:tc>
          <w:tcPr>
            <w:tcW w:type="dxa" w:w="1369"/>
            <w:shd w:val="clear" w:color="auto" w:fill="EDF3F9"/>
          </w:tcPr>
          <w:p>
            <w:pPr>
              <w:spacing w:after="0" w:line="276" w:lineRule="auto"/>
            </w:pPr>
            <w:r/>
            <w:r>
              <w:rPr>
                <w:rFonts w:ascii="宋体" w:hAnsi="宋体" w:eastAsia="宋体" w:cs="宋体"/>
                <w:b w:val="0"/>
                <w:i w:val="0"/>
                <w:color w:val="000000"/>
                <w:sz w:val="19"/>
              </w:rPr>
              <w:t>第二阶段</w:t>
            </w:r>
          </w:p>
          <w:p>
            <w:pPr>
              <w:spacing w:after="0" w:line="276" w:lineRule="auto"/>
            </w:pPr>
            <w:r>
              <w:rPr>
                <w:rFonts w:ascii="宋体" w:hAnsi="宋体" w:eastAsia="宋体" w:cs="宋体"/>
                <w:b w:val="0"/>
                <w:i w:val="0"/>
                <w:color w:val="000000"/>
                <w:sz w:val="19"/>
              </w:rPr>
              <w:t>样机集成</w:t>
            </w:r>
          </w:p>
        </w:tc>
        <w:tc>
          <w:tcPr>
            <w:tcW w:type="dxa" w:w="2282"/>
            <w:shd w:val="clear" w:color="auto" w:fill="EDF3F9"/>
          </w:tcPr>
          <w:p>
            <w:pPr>
              <w:spacing w:after="0" w:line="276" w:lineRule="auto"/>
            </w:pPr>
            <w:r/>
            <w:r>
              <w:rPr>
                <w:rFonts w:ascii="宋体" w:hAnsi="宋体" w:eastAsia="宋体" w:cs="宋体"/>
                <w:b w:val="0"/>
                <w:i w:val="0"/>
                <w:color w:val="000000"/>
                <w:sz w:val="19"/>
              </w:rPr>
              <w:t>第 7–12 月</w:t>
            </w:r>
          </w:p>
        </w:tc>
        <w:tc>
          <w:tcPr>
            <w:tcW w:type="dxa" w:w="1940"/>
            <w:shd w:val="clear" w:color="auto" w:fill="EDF3F9"/>
          </w:tcPr>
          <w:p>
            <w:pPr>
              <w:spacing w:after="0" w:line="276" w:lineRule="auto"/>
            </w:pPr>
            <w:r/>
            <w:r>
              <w:rPr>
                <w:rFonts w:ascii="宋体" w:hAnsi="宋体" w:eastAsia="宋体" w:cs="宋体"/>
                <w:b w:val="0"/>
                <w:i w:val="0"/>
                <w:color w:val="000000"/>
                <w:sz w:val="19"/>
              </w:rPr>
              <w:t>完成边缘样机与 APP 联调，指标达设计目标</w:t>
            </w:r>
          </w:p>
        </w:tc>
        <w:tc>
          <w:tcPr>
            <w:tcW w:type="dxa" w:w="1711"/>
            <w:shd w:val="clear" w:color="auto" w:fill="EDF3F9"/>
          </w:tcPr>
          <w:p>
            <w:pPr>
              <w:spacing w:after="0" w:line="276" w:lineRule="auto"/>
            </w:pPr>
            <w:r/>
            <w:r>
              <w:rPr>
                <w:rFonts w:ascii="宋体" w:hAnsi="宋体" w:eastAsia="宋体" w:cs="宋体"/>
                <w:b w:val="0"/>
                <w:i w:val="0"/>
                <w:color w:val="000000"/>
                <w:sz w:val="19"/>
              </w:rPr>
              <w:t>实验室 + 居家小样本测试</w:t>
            </w:r>
          </w:p>
        </w:tc>
        <w:tc>
          <w:tcPr>
            <w:tcW w:type="dxa" w:w="1826"/>
            <w:shd w:val="clear" w:color="auto" w:fill="EDF3F9"/>
          </w:tcPr>
          <w:p>
            <w:pPr>
              <w:spacing w:after="0" w:line="276" w:lineRule="auto"/>
            </w:pPr>
            <w:r/>
            <w:r>
              <w:rPr>
                <w:rFonts w:ascii="宋体" w:hAnsi="宋体" w:eastAsia="宋体" w:cs="宋体"/>
                <w:b w:val="0"/>
                <w:i w:val="0"/>
                <w:color w:val="000000"/>
                <w:sz w:val="19"/>
              </w:rPr>
              <w:t>原理样机、测试报告</w:t>
            </w:r>
          </w:p>
        </w:tc>
      </w:tr>
      <w:tr>
        <w:tc>
          <w:tcPr>
            <w:tcW w:type="dxa" w:w="1369"/>
          </w:tcPr>
          <w:p>
            <w:pPr>
              <w:spacing w:after="0" w:line="276" w:lineRule="auto"/>
            </w:pPr>
            <w:r/>
            <w:r>
              <w:rPr>
                <w:rFonts w:ascii="宋体" w:hAnsi="宋体" w:eastAsia="宋体" w:cs="宋体"/>
                <w:b w:val="0"/>
                <w:i w:val="0"/>
                <w:color w:val="000000"/>
                <w:sz w:val="19"/>
              </w:rPr>
              <w:t>第三阶段</w:t>
            </w:r>
          </w:p>
          <w:p>
            <w:pPr>
              <w:spacing w:after="0" w:line="276" w:lineRule="auto"/>
            </w:pPr>
            <w:r>
              <w:rPr>
                <w:rFonts w:ascii="宋体" w:hAnsi="宋体" w:eastAsia="宋体" w:cs="宋体"/>
                <w:b w:val="0"/>
                <w:i w:val="0"/>
                <w:color w:val="000000"/>
                <w:sz w:val="19"/>
              </w:rPr>
              <w:t>临床验证</w:t>
            </w:r>
          </w:p>
        </w:tc>
        <w:tc>
          <w:tcPr>
            <w:tcW w:type="dxa" w:w="2282"/>
          </w:tcPr>
          <w:p>
            <w:pPr>
              <w:spacing w:after="0" w:line="276" w:lineRule="auto"/>
            </w:pPr>
            <w:r/>
            <w:r>
              <w:rPr>
                <w:rFonts w:ascii="宋体" w:hAnsi="宋体" w:eastAsia="宋体" w:cs="宋体"/>
                <w:b w:val="0"/>
                <w:i w:val="0"/>
                <w:color w:val="000000"/>
                <w:sz w:val="19"/>
              </w:rPr>
              <w:t>第 13–24 月</w:t>
            </w:r>
          </w:p>
        </w:tc>
        <w:tc>
          <w:tcPr>
            <w:tcW w:type="dxa" w:w="1940"/>
          </w:tcPr>
          <w:p>
            <w:pPr>
              <w:spacing w:after="0" w:line="276" w:lineRule="auto"/>
            </w:pPr>
            <w:r/>
            <w:r>
              <w:rPr>
                <w:rFonts w:ascii="宋体" w:hAnsi="宋体" w:eastAsia="宋体" w:cs="宋体"/>
                <w:b w:val="0"/>
                <w:i w:val="0"/>
                <w:color w:val="000000"/>
                <w:sz w:val="19"/>
              </w:rPr>
              <w:t>在合作医院开展一致性与可行性研究</w:t>
            </w:r>
          </w:p>
        </w:tc>
        <w:tc>
          <w:tcPr>
            <w:tcW w:type="dxa" w:w="1711"/>
          </w:tcPr>
          <w:p>
            <w:pPr>
              <w:spacing w:after="0" w:line="276" w:lineRule="auto"/>
            </w:pPr>
            <w:r/>
            <w:r>
              <w:rPr>
                <w:rFonts w:ascii="宋体" w:hAnsi="宋体" w:eastAsia="宋体" w:cs="宋体"/>
                <w:b w:val="0"/>
                <w:i w:val="0"/>
                <w:color w:val="000000"/>
                <w:sz w:val="19"/>
              </w:rPr>
              <w:t>前瞻性研究，以多观察者人工标注的连续录音为参考标准，报告 ICC(2,1)、Bland-Altman 一致性界限与假阳性率（次/小时）</w:t>
            </w:r>
          </w:p>
        </w:tc>
        <w:tc>
          <w:tcPr>
            <w:tcW w:type="dxa" w:w="1826"/>
          </w:tcPr>
          <w:p>
            <w:pPr>
              <w:spacing w:after="0" w:line="276" w:lineRule="auto"/>
            </w:pPr>
            <w:r/>
            <w:r>
              <w:rPr>
                <w:rFonts w:ascii="宋体" w:hAnsi="宋体" w:eastAsia="宋体" w:cs="宋体"/>
                <w:b w:val="0"/>
                <w:i w:val="0"/>
                <w:color w:val="000000"/>
                <w:sz w:val="19"/>
              </w:rPr>
              <w:t>临床研究报告、论文</w:t>
            </w:r>
          </w:p>
        </w:tc>
      </w:tr>
      <w:tr>
        <w:tc>
          <w:tcPr>
            <w:tcW w:type="dxa" w:w="1369"/>
            <w:shd w:val="clear" w:color="auto" w:fill="EDF3F9"/>
          </w:tcPr>
          <w:p>
            <w:pPr>
              <w:spacing w:after="0" w:line="276" w:lineRule="auto"/>
            </w:pPr>
            <w:r/>
            <w:r>
              <w:rPr>
                <w:rFonts w:ascii="宋体" w:hAnsi="宋体" w:eastAsia="宋体" w:cs="宋体"/>
                <w:b w:val="0"/>
                <w:i w:val="0"/>
                <w:color w:val="000000"/>
                <w:sz w:val="19"/>
              </w:rPr>
              <w:t>第四阶段</w:t>
            </w:r>
          </w:p>
          <w:p>
            <w:pPr>
              <w:spacing w:after="0" w:line="276" w:lineRule="auto"/>
            </w:pPr>
            <w:r>
              <w:rPr>
                <w:rFonts w:ascii="宋体" w:hAnsi="宋体" w:eastAsia="宋体" w:cs="宋体"/>
                <w:b w:val="0"/>
                <w:i w:val="0"/>
                <w:color w:val="000000"/>
                <w:sz w:val="19"/>
              </w:rPr>
              <w:t>注册与量产</w:t>
            </w:r>
          </w:p>
        </w:tc>
        <w:tc>
          <w:tcPr>
            <w:tcW w:type="dxa" w:w="2282"/>
            <w:shd w:val="clear" w:color="auto" w:fill="EDF3F9"/>
          </w:tcPr>
          <w:p>
            <w:pPr>
              <w:spacing w:after="0" w:line="276" w:lineRule="auto"/>
            </w:pPr>
            <w:r/>
            <w:r>
              <w:rPr>
                <w:rFonts w:ascii="宋体" w:hAnsi="宋体" w:eastAsia="宋体" w:cs="宋体"/>
                <w:b w:val="0"/>
                <w:i w:val="0"/>
                <w:color w:val="000000"/>
                <w:sz w:val="19"/>
              </w:rPr>
              <w:t>第 25–36 月</w:t>
            </w:r>
          </w:p>
        </w:tc>
        <w:tc>
          <w:tcPr>
            <w:tcW w:type="dxa" w:w="1940"/>
            <w:shd w:val="clear" w:color="auto" w:fill="EDF3F9"/>
          </w:tcPr>
          <w:p>
            <w:pPr>
              <w:spacing w:after="0" w:line="276" w:lineRule="auto"/>
            </w:pPr>
            <w:r/>
            <w:r>
              <w:rPr>
                <w:rFonts w:ascii="宋体" w:hAnsi="宋体" w:eastAsia="宋体" w:cs="宋体"/>
                <w:b w:val="0"/>
                <w:i w:val="0"/>
                <w:color w:val="000000"/>
                <w:sz w:val="19"/>
              </w:rPr>
              <w:t>完成二类器械注册与产线定型</w:t>
            </w:r>
          </w:p>
        </w:tc>
        <w:tc>
          <w:tcPr>
            <w:tcW w:type="dxa" w:w="1711"/>
            <w:shd w:val="clear" w:color="auto" w:fill="EDF3F9"/>
          </w:tcPr>
          <w:p>
            <w:pPr>
              <w:spacing w:after="0" w:line="276" w:lineRule="auto"/>
            </w:pPr>
            <w:r/>
            <w:r>
              <w:rPr>
                <w:rFonts w:ascii="宋体" w:hAnsi="宋体" w:eastAsia="宋体" w:cs="宋体"/>
                <w:b w:val="0"/>
                <w:i w:val="0"/>
                <w:color w:val="000000"/>
                <w:sz w:val="19"/>
              </w:rPr>
              <w:t>注册检验、体系考核；分类界定以省级药监部门书面确认为准</w:t>
            </w:r>
          </w:p>
        </w:tc>
        <w:tc>
          <w:tcPr>
            <w:tcW w:type="dxa" w:w="1826"/>
            <w:shd w:val="clear" w:color="auto" w:fill="EDF3F9"/>
          </w:tcPr>
          <w:p>
            <w:pPr>
              <w:spacing w:after="0" w:line="276" w:lineRule="auto"/>
            </w:pPr>
            <w:r/>
            <w:r>
              <w:rPr>
                <w:rFonts w:ascii="宋体" w:hAnsi="宋体" w:eastAsia="宋体" w:cs="宋体"/>
                <w:b w:val="0"/>
                <w:i w:val="0"/>
                <w:color w:val="000000"/>
                <w:sz w:val="19"/>
              </w:rPr>
              <w:t>注册证、量产产品</w:t>
            </w:r>
          </w:p>
        </w:tc>
      </w:tr>
    </w:tbl>
    <w:p>
      <w:pPr>
        <w:spacing w:after="40"/>
      </w:pPr>
    </w:p>
    <w:p>
      <w:r>
        <w:br w:type="page"/>
      </w:r>
    </w:p>
    <w:p>
      <w:pPr>
        <w:pStyle w:val="Heading1"/>
      </w:pPr>
      <w:r>
        <w:rPr>
          <w:rFonts w:ascii="宋体" w:hAnsi="宋体" w:eastAsia="宋体" w:cs="宋体"/>
          <w:b/>
          <w:i w:val="0"/>
          <w:color w:val="1F4E79"/>
          <w:sz w:val="30"/>
        </w:rPr>
        <w:t>第四章 系统实现方案</w:t>
      </w:r>
    </w:p>
    <w:p>
      <w:pPr>
        <w:pStyle w:val="Heading2"/>
      </w:pPr>
      <w:r>
        <w:rPr>
          <w:rFonts w:ascii="宋体" w:hAnsi="宋体" w:eastAsia="宋体" w:cs="宋体"/>
          <w:b/>
          <w:i w:val="0"/>
          <w:color w:val="2E74B5"/>
          <w:sz w:val="25"/>
        </w:rPr>
        <w:t>4.1 硬件设计：手机端与边缘端</w:t>
      </w:r>
    </w:p>
    <w:p>
      <w:pPr>
        <w:pStyle w:val="Heading3"/>
      </w:pPr>
      <w:r>
        <w:rPr>
          <w:rFonts w:ascii="宋体" w:hAnsi="宋体" w:eastAsia="宋体" w:cs="宋体"/>
          <w:b/>
          <w:i w:val="0"/>
          <w:color w:val="2E74B5"/>
          <w:sz w:val="22"/>
        </w:rPr>
        <w:t>4.1.1 采集前端（手机 / 拾音配件）</w:t>
      </w:r>
    </w:p>
    <w:p>
      <w:pPr>
        <w:spacing w:after="40" w:line="324" w:lineRule="auto"/>
        <w:ind w:left="425" w:hanging="283"/>
      </w:pPr>
      <w:r>
        <w:rPr>
          <w:rFonts w:ascii="宋体" w:hAnsi="宋体" w:eastAsia="宋体" w:cs="宋体"/>
          <w:b w:val="0"/>
          <w:i w:val="0"/>
          <w:color w:val="2E74B5"/>
          <w:sz w:val="18"/>
        </w:rPr>
        <w:t xml:space="preserve">● </w:t>
      </w:r>
      <w:r>
        <w:rPr>
          <w:rFonts w:ascii="宋体" w:hAnsi="宋体" w:eastAsia="宋体" w:cs="宋体"/>
          <w:b/>
          <w:i w:val="0"/>
          <w:color w:val="000000"/>
          <w:sz w:val="21"/>
        </w:rPr>
        <w:t>音频采集参数：</w:t>
      </w:r>
      <w:r>
        <w:rPr>
          <w:rFonts w:ascii="宋体" w:hAnsi="宋体" w:eastAsia="宋体" w:cs="宋体"/>
          <w:b w:val="0"/>
          <w:i w:val="0"/>
          <w:color w:val="000000"/>
          <w:sz w:val="21"/>
        </w:rPr>
        <w:t>16 kHz 采样率、16 bit 量化、单声道为主；咳嗽与喘息的有效能量集中在 4 kHz 以下，16 kHz 已覆盖主要诊断相关频段，同时把数据量与算力需求控制在合理范围。</w:t>
      </w:r>
    </w:p>
    <w:p>
      <w:pPr>
        <w:spacing w:after="40" w:line="324" w:lineRule="auto"/>
        <w:ind w:left="425" w:hanging="283"/>
      </w:pPr>
      <w:r>
        <w:rPr>
          <w:rFonts w:ascii="宋体" w:hAnsi="宋体" w:eastAsia="宋体" w:cs="宋体"/>
          <w:b w:val="0"/>
          <w:i w:val="0"/>
          <w:color w:val="2E74B5"/>
          <w:sz w:val="18"/>
        </w:rPr>
        <w:t xml:space="preserve">● </w:t>
      </w:r>
      <w:r>
        <w:rPr>
          <w:rFonts w:ascii="宋体" w:hAnsi="宋体" w:eastAsia="宋体" w:cs="宋体"/>
          <w:b/>
          <w:i w:val="0"/>
          <w:color w:val="000000"/>
          <w:sz w:val="21"/>
        </w:rPr>
        <w:t>工作模式：</w:t>
      </w:r>
      <w:r>
        <w:rPr>
          <w:rFonts w:ascii="宋体" w:hAnsi="宋体" w:eastAsia="宋体" w:cs="宋体"/>
          <w:b w:val="0"/>
          <w:i w:val="0"/>
          <w:color w:val="000000"/>
          <w:sz w:val="21"/>
        </w:rPr>
        <w:t>常听模式（低功耗声学事件检测，持续监听）与录音模式（事件触发后保留前后各 2–3 秒上下文）双模式切换。</w:t>
      </w:r>
    </w:p>
    <w:p>
      <w:pPr>
        <w:spacing w:after="40" w:line="324" w:lineRule="auto"/>
        <w:ind w:left="425" w:hanging="283"/>
      </w:pPr>
      <w:r>
        <w:rPr>
          <w:rFonts w:ascii="宋体" w:hAnsi="宋体" w:eastAsia="宋体" w:cs="宋体"/>
          <w:b w:val="0"/>
          <w:i w:val="0"/>
          <w:color w:val="2E74B5"/>
          <w:sz w:val="18"/>
        </w:rPr>
        <w:t xml:space="preserve">● </w:t>
      </w:r>
      <w:r>
        <w:rPr>
          <w:rFonts w:ascii="宋体" w:hAnsi="宋体" w:eastAsia="宋体" w:cs="宋体"/>
          <w:b/>
          <w:i w:val="0"/>
          <w:color w:val="000000"/>
          <w:sz w:val="21"/>
        </w:rPr>
        <w:t>设备校准：</w:t>
      </w:r>
      <w:r>
        <w:rPr>
          <w:rFonts w:ascii="宋体" w:hAnsi="宋体" w:eastAsia="宋体" w:cs="宋体"/>
          <w:b w:val="0"/>
          <w:i w:val="0"/>
          <w:color w:val="000000"/>
          <w:sz w:val="21"/>
        </w:rPr>
        <w:t>出厂前用标准声源校准麦克风灵敏度，并在 APP 内提供简易校准流程，通过播放参考音估计设备频响偏差，生成校准系数参与特征归一化。</w:t>
      </w:r>
    </w:p>
    <w:p>
      <w:pPr>
        <w:spacing w:after="40" w:line="324" w:lineRule="auto"/>
        <w:ind w:left="425" w:hanging="283"/>
      </w:pPr>
      <w:r>
        <w:rPr>
          <w:rFonts w:ascii="宋体" w:hAnsi="宋体" w:eastAsia="宋体" w:cs="宋体"/>
          <w:b w:val="0"/>
          <w:i w:val="0"/>
          <w:color w:val="2E74B5"/>
          <w:sz w:val="18"/>
        </w:rPr>
        <w:t xml:space="preserve">● </w:t>
      </w:r>
      <w:r>
        <w:rPr>
          <w:rFonts w:ascii="宋体" w:hAnsi="宋体" w:eastAsia="宋体" w:cs="宋体"/>
          <w:b/>
          <w:i w:val="0"/>
          <w:color w:val="000000"/>
          <w:sz w:val="21"/>
        </w:rPr>
        <w:t>数据质量监控：</w:t>
      </w:r>
      <w:r>
        <w:rPr>
          <w:rFonts w:ascii="宋体" w:hAnsi="宋体" w:eastAsia="宋体" w:cs="宋体"/>
          <w:b w:val="0"/>
          <w:i w:val="0"/>
          <w:color w:val="000000"/>
          <w:sz w:val="21"/>
        </w:rPr>
        <w:t>实时检测环境噪声底、削波、断流与麦克风遮挡，质量不达标的时段打标并在统计中剔除，避免把无效数据当作病情变化。</w:t>
      </w:r>
    </w:p>
    <w:p>
      <w:pPr>
        <w:spacing w:after="40" w:line="324" w:lineRule="auto"/>
        <w:ind w:left="425" w:hanging="283"/>
      </w:pPr>
      <w:r>
        <w:rPr>
          <w:rFonts w:ascii="宋体" w:hAnsi="宋体" w:eastAsia="宋体" w:cs="宋体"/>
          <w:b w:val="0"/>
          <w:i w:val="0"/>
          <w:color w:val="2E74B5"/>
          <w:sz w:val="18"/>
        </w:rPr>
        <w:t xml:space="preserve">● </w:t>
      </w:r>
      <w:r>
        <w:rPr>
          <w:rFonts w:ascii="宋体" w:hAnsi="宋体" w:eastAsia="宋体" w:cs="宋体"/>
          <w:b/>
          <w:i w:val="0"/>
          <w:color w:val="000000"/>
          <w:sz w:val="21"/>
        </w:rPr>
        <w:t>配件形态（选配）：</w:t>
      </w:r>
      <w:r>
        <w:rPr>
          <w:rFonts w:ascii="宋体" w:hAnsi="宋体" w:eastAsia="宋体" w:cs="宋体"/>
          <w:b w:val="0"/>
          <w:i w:val="0"/>
          <w:color w:val="000000"/>
          <w:sz w:val="21"/>
        </w:rPr>
        <w:t>USB-C 供电的驻极体麦克风小盒，或蓝牙拾音器置于床头柜，与手机形成双通道，为后续声源定位与降噪研究预留接口。</w:t>
      </w:r>
    </w:p>
    <w:p>
      <w:pPr>
        <w:pStyle w:val="Heading3"/>
      </w:pPr>
      <w:r>
        <w:rPr>
          <w:rFonts w:ascii="宋体" w:hAnsi="宋体" w:eastAsia="宋体" w:cs="宋体"/>
          <w:b/>
          <w:i w:val="0"/>
          <w:color w:val="2E74B5"/>
          <w:sz w:val="22"/>
        </w:rPr>
        <w:t>4.1.2 边缘计算节点（RK3576）</w:t>
      </w:r>
    </w:p>
    <w:p>
      <w:pPr>
        <w:spacing w:after="80"/>
        <w:ind w:firstLine="420"/>
      </w:pPr>
      <w:r>
        <w:rPr>
          <w:rFonts w:ascii="宋体" w:hAnsi="宋体" w:eastAsia="宋体" w:cs="宋体"/>
          <w:b w:val="0"/>
          <w:i w:val="0"/>
          <w:color w:val="000000"/>
          <w:sz w:val="21"/>
        </w:rPr>
        <w:t>边缘节点是系统的算力与隐私核心，承担音频前端处理、AI 推理、本地存储与断网续传。选型 RK3576 的关键理由在于：它同时具备可用的 NPU 算力、丰富的音频接口、较低的整体功耗以及国产供应链的可获得性。</w:t>
      </w:r>
    </w:p>
    <w:tbl>
      <w:tblPr>
        <w:tblStyle w:val="TableGrid"/>
        <w:jc w:val="center"/>
        <w:tblLook w:firstColumn="1" w:firstRow="1" w:lastColumn="0" w:lastRow="0" w:noHBand="0" w:noVBand="1" w:val="04A0"/>
        <w:tblCellMar>
          <w:top w:w="60" w:type="dxa"/>
          <w:left w:w="90" w:type="dxa"/>
          <w:bottom w:w="60" w:type="dxa"/>
          <w:right w:w="90" w:type="dxa"/>
        </w:tblCellMar>
        <w:tblW w:w="9129" w:type="dxa"/>
        <w:tblLayout w:type="fixed"/>
      </w:tblPr>
      <w:tblGrid>
        <w:gridCol w:w="1940"/>
        <w:gridCol w:w="7189"/>
      </w:tblGrid>
      <w:tr>
        <w:trPr>
          <w:tblHeader w:val="true"/>
        </w:trPr>
        <w:tc>
          <w:tcPr>
            <w:tcW w:type="dxa" w:w="1940"/>
            <w:shd w:val="clear" w:color="auto" w:fill="1F4E79"/>
          </w:tcPr>
          <w:p>
            <w:pPr>
              <w:spacing w:after="0" w:line="276" w:lineRule="auto"/>
              <w:jc w:val="center"/>
            </w:pPr>
            <w:r/>
            <w:r>
              <w:rPr>
                <w:rFonts w:ascii="宋体" w:hAnsi="宋体" w:eastAsia="宋体" w:cs="宋体"/>
                <w:b/>
                <w:i w:val="0"/>
                <w:color w:val="FFFFFF"/>
                <w:sz w:val="19"/>
              </w:rPr>
              <w:t>项目</w:t>
            </w:r>
          </w:p>
        </w:tc>
        <w:tc>
          <w:tcPr>
            <w:tcW w:type="dxa" w:w="7188"/>
            <w:shd w:val="clear" w:color="auto" w:fill="1F4E79"/>
          </w:tcPr>
          <w:p>
            <w:pPr>
              <w:spacing w:after="0" w:line="276" w:lineRule="auto"/>
              <w:jc w:val="center"/>
            </w:pPr>
            <w:r/>
            <w:r>
              <w:rPr>
                <w:rFonts w:ascii="宋体" w:hAnsi="宋体" w:eastAsia="宋体" w:cs="宋体"/>
                <w:b/>
                <w:i w:val="0"/>
                <w:color w:val="FFFFFF"/>
                <w:sz w:val="19"/>
              </w:rPr>
              <w:t>规格与选型理由</w:t>
            </w:r>
          </w:p>
        </w:tc>
      </w:tr>
      <w:tr>
        <w:tc>
          <w:tcPr>
            <w:tcW w:type="dxa" w:w="1940"/>
          </w:tcPr>
          <w:p>
            <w:pPr>
              <w:spacing w:after="0" w:line="276" w:lineRule="auto"/>
            </w:pPr>
            <w:r/>
            <w:r>
              <w:rPr>
                <w:rFonts w:ascii="宋体" w:hAnsi="宋体" w:eastAsia="宋体" w:cs="宋体"/>
                <w:b w:val="0"/>
                <w:i w:val="0"/>
                <w:color w:val="000000"/>
                <w:sz w:val="19"/>
              </w:rPr>
              <w:t>CPU</w:t>
            </w:r>
          </w:p>
        </w:tc>
        <w:tc>
          <w:tcPr>
            <w:tcW w:type="dxa" w:w="7188"/>
          </w:tcPr>
          <w:p>
            <w:pPr>
              <w:spacing w:after="0" w:line="276" w:lineRule="auto"/>
            </w:pPr>
            <w:r/>
            <w:r>
              <w:rPr>
                <w:rFonts w:ascii="宋体" w:hAnsi="宋体" w:eastAsia="宋体" w:cs="宋体"/>
                <w:b w:val="0"/>
                <w:i w:val="0"/>
                <w:color w:val="000000"/>
                <w:sz w:val="19"/>
              </w:rPr>
              <w:t>八核 64 位处理器：4×Cortex-A72 + 4×Cortex-A53，最高 2.2 GHz。大核用于音频前端处理与业务逻辑，小核承担常驻监听任务，便于功耗分级调度</w:t>
            </w:r>
          </w:p>
        </w:tc>
      </w:tr>
      <w:tr>
        <w:tc>
          <w:tcPr>
            <w:tcW w:type="dxa" w:w="1940"/>
            <w:shd w:val="clear" w:color="auto" w:fill="EDF3F9"/>
          </w:tcPr>
          <w:p>
            <w:pPr>
              <w:spacing w:after="0" w:line="276" w:lineRule="auto"/>
            </w:pPr>
            <w:r/>
            <w:r>
              <w:rPr>
                <w:rFonts w:ascii="宋体" w:hAnsi="宋体" w:eastAsia="宋体" w:cs="宋体"/>
                <w:b w:val="0"/>
                <w:i w:val="0"/>
                <w:color w:val="000000"/>
                <w:sz w:val="19"/>
              </w:rPr>
              <w:t>NPU</w:t>
            </w:r>
          </w:p>
        </w:tc>
        <w:tc>
          <w:tcPr>
            <w:tcW w:type="dxa" w:w="7188"/>
            <w:shd w:val="clear" w:color="auto" w:fill="EDF3F9"/>
          </w:tcPr>
          <w:p>
            <w:pPr>
              <w:spacing w:after="0" w:line="276" w:lineRule="auto"/>
            </w:pPr>
            <w:r/>
            <w:r>
              <w:rPr>
                <w:rFonts w:ascii="宋体" w:hAnsi="宋体" w:eastAsia="宋体" w:cs="宋体"/>
                <w:b w:val="0"/>
                <w:i w:val="0"/>
                <w:color w:val="000000"/>
                <w:sz w:val="19"/>
              </w:rPr>
              <w:t>6 TOPS 自研 NPU，支持 RKNN 工具链。声学模型参数量小、输入带宽低，6 TOPS 对应本项目负载有充足余量，可同时常驻事件检测与分类模型</w:t>
            </w:r>
          </w:p>
        </w:tc>
      </w:tr>
      <w:tr>
        <w:tc>
          <w:tcPr>
            <w:tcW w:type="dxa" w:w="1940"/>
          </w:tcPr>
          <w:p>
            <w:pPr>
              <w:spacing w:after="0" w:line="276" w:lineRule="auto"/>
            </w:pPr>
            <w:r/>
            <w:r>
              <w:rPr>
                <w:rFonts w:ascii="宋体" w:hAnsi="宋体" w:eastAsia="宋体" w:cs="宋体"/>
                <w:b w:val="0"/>
                <w:i w:val="0"/>
                <w:color w:val="000000"/>
                <w:sz w:val="19"/>
              </w:rPr>
              <w:t>GPU</w:t>
            </w:r>
          </w:p>
        </w:tc>
        <w:tc>
          <w:tcPr>
            <w:tcW w:type="dxa" w:w="7188"/>
          </w:tcPr>
          <w:p>
            <w:pPr>
              <w:spacing w:after="0" w:line="276" w:lineRule="auto"/>
            </w:pPr>
            <w:r/>
            <w:r>
              <w:rPr>
                <w:rFonts w:ascii="宋体" w:hAnsi="宋体" w:eastAsia="宋体" w:cs="宋体"/>
                <w:b w:val="0"/>
                <w:i w:val="0"/>
                <w:color w:val="000000"/>
                <w:sz w:val="19"/>
              </w:rPr>
              <w:t>ARM G52 MC3，用于界面渲染与必要的数据可视化（本地屏幕形态时）</w:t>
            </w:r>
          </w:p>
        </w:tc>
      </w:tr>
      <w:tr>
        <w:tc>
          <w:tcPr>
            <w:tcW w:type="dxa" w:w="1940"/>
            <w:shd w:val="clear" w:color="auto" w:fill="EDF3F9"/>
          </w:tcPr>
          <w:p>
            <w:pPr>
              <w:spacing w:after="0" w:line="276" w:lineRule="auto"/>
            </w:pPr>
            <w:r/>
            <w:r>
              <w:rPr>
                <w:rFonts w:ascii="宋体" w:hAnsi="宋体" w:eastAsia="宋体" w:cs="宋体"/>
                <w:b w:val="0"/>
                <w:i w:val="0"/>
                <w:color w:val="000000"/>
                <w:sz w:val="19"/>
              </w:rPr>
              <w:t>内存与存储</w:t>
            </w:r>
          </w:p>
        </w:tc>
        <w:tc>
          <w:tcPr>
            <w:tcW w:type="dxa" w:w="7188"/>
            <w:shd w:val="clear" w:color="auto" w:fill="EDF3F9"/>
          </w:tcPr>
          <w:p>
            <w:pPr>
              <w:spacing w:after="0" w:line="276" w:lineRule="auto"/>
            </w:pPr>
            <w:r/>
            <w:r>
              <w:rPr>
                <w:rFonts w:ascii="宋体" w:hAnsi="宋体" w:eastAsia="宋体" w:cs="宋体"/>
                <w:b w:val="0"/>
                <w:i w:val="0"/>
                <w:color w:val="000000"/>
                <w:sz w:val="19"/>
              </w:rPr>
              <w:t>支持 LPDDR4/4x/LPDDR5，eMMC 5.1 / UFS 2.0 / SPI Nand。本项目配置 4 GB 内存 + 32 GB 存储即可满足模型常驻、本地音频缓存与日志留存需求</w:t>
            </w:r>
          </w:p>
        </w:tc>
      </w:tr>
      <w:tr>
        <w:tc>
          <w:tcPr>
            <w:tcW w:type="dxa" w:w="1940"/>
          </w:tcPr>
          <w:p>
            <w:pPr>
              <w:spacing w:after="0" w:line="276" w:lineRule="auto"/>
            </w:pPr>
            <w:r/>
            <w:r>
              <w:rPr>
                <w:rFonts w:ascii="宋体" w:hAnsi="宋体" w:eastAsia="宋体" w:cs="宋体"/>
                <w:b w:val="0"/>
                <w:i w:val="0"/>
                <w:color w:val="000000"/>
                <w:sz w:val="19"/>
              </w:rPr>
              <w:t>音频接口</w:t>
            </w:r>
          </w:p>
        </w:tc>
        <w:tc>
          <w:tcPr>
            <w:tcW w:type="dxa" w:w="7188"/>
          </w:tcPr>
          <w:p>
            <w:pPr>
              <w:spacing w:after="0" w:line="276" w:lineRule="auto"/>
            </w:pPr>
            <w:r/>
            <w:r>
              <w:rPr>
                <w:rFonts w:ascii="宋体" w:hAnsi="宋体" w:eastAsia="宋体" w:cs="宋体"/>
                <w:b w:val="0"/>
                <w:i w:val="0"/>
                <w:color w:val="000000"/>
                <w:sz w:val="19"/>
              </w:rPr>
              <w:t>5 路 SAI 接口（合计 7 路发送与 7 路接收通道，每路支持 8 通道 I2S/PCM/TDM）、2 路 PCM（各 8 通道）、2 路 S/PDIF 发送与 1 路接收、ASRC 采样率转换。音频资源充裕，天然支持多麦克风阵列与多路同步采集，这是本项目选择该平台的关键原因之一</w:t>
            </w:r>
          </w:p>
        </w:tc>
      </w:tr>
      <w:tr>
        <w:tc>
          <w:tcPr>
            <w:tcW w:type="dxa" w:w="1940"/>
            <w:shd w:val="clear" w:color="auto" w:fill="EDF3F9"/>
          </w:tcPr>
          <w:p>
            <w:pPr>
              <w:spacing w:after="0" w:line="276" w:lineRule="auto"/>
            </w:pPr>
            <w:r/>
            <w:r>
              <w:rPr>
                <w:rFonts w:ascii="宋体" w:hAnsi="宋体" w:eastAsia="宋体" w:cs="宋体"/>
                <w:b w:val="0"/>
                <w:i w:val="0"/>
                <w:color w:val="000000"/>
                <w:sz w:val="19"/>
              </w:rPr>
              <w:t>高速接口</w:t>
            </w:r>
          </w:p>
        </w:tc>
        <w:tc>
          <w:tcPr>
            <w:tcW w:type="dxa" w:w="7188"/>
            <w:shd w:val="clear" w:color="auto" w:fill="EDF3F9"/>
          </w:tcPr>
          <w:p>
            <w:pPr>
              <w:spacing w:after="0" w:line="276" w:lineRule="auto"/>
            </w:pPr>
            <w:r/>
            <w:r>
              <w:rPr>
                <w:rFonts w:ascii="宋体" w:hAnsi="宋体" w:eastAsia="宋体" w:cs="宋体"/>
                <w:b w:val="0"/>
                <w:i w:val="0"/>
                <w:color w:val="000000"/>
                <w:sz w:val="19"/>
              </w:rPr>
              <w:t>USB 3.0 DRD（支持 Alt mode）、PCIe 2.1、SATA3、双 RGMII 千兆网口，便于扩展 4G/5G 模组、Wi-Fi 6、外置存储与院内网关形态</w:t>
            </w:r>
          </w:p>
        </w:tc>
      </w:tr>
      <w:tr>
        <w:tc>
          <w:tcPr>
            <w:tcW w:type="dxa" w:w="1940"/>
          </w:tcPr>
          <w:p>
            <w:pPr>
              <w:spacing w:after="0" w:line="276" w:lineRule="auto"/>
            </w:pPr>
            <w:r/>
            <w:r>
              <w:rPr>
                <w:rFonts w:ascii="宋体" w:hAnsi="宋体" w:eastAsia="宋体" w:cs="宋体"/>
                <w:b w:val="0"/>
                <w:i w:val="0"/>
                <w:color w:val="000000"/>
                <w:sz w:val="19"/>
              </w:rPr>
              <w:t>低功耗外设</w:t>
            </w:r>
          </w:p>
        </w:tc>
        <w:tc>
          <w:tcPr>
            <w:tcW w:type="dxa" w:w="7188"/>
          </w:tcPr>
          <w:p>
            <w:pPr>
              <w:spacing w:after="0" w:line="276" w:lineRule="auto"/>
            </w:pPr>
            <w:r/>
            <w:r>
              <w:rPr>
                <w:rFonts w:ascii="宋体" w:hAnsi="宋体" w:eastAsia="宋体" w:cs="宋体"/>
                <w:b w:val="0"/>
                <w:i w:val="0"/>
                <w:color w:val="000000"/>
                <w:sz w:val="19"/>
              </w:rPr>
              <w:t>CAN FD、DSMC、UART、SPI、I2C、I3C、PWM、SAR-ADC，满足传感器扩展、按键指示灯与低功耗唤醒设计</w:t>
            </w:r>
          </w:p>
        </w:tc>
      </w:tr>
      <w:tr>
        <w:tc>
          <w:tcPr>
            <w:tcW w:type="dxa" w:w="1940"/>
            <w:shd w:val="clear" w:color="auto" w:fill="EDF3F9"/>
          </w:tcPr>
          <w:p>
            <w:pPr>
              <w:spacing w:after="0" w:line="276" w:lineRule="auto"/>
            </w:pPr>
            <w:r/>
            <w:r>
              <w:rPr>
                <w:rFonts w:ascii="宋体" w:hAnsi="宋体" w:eastAsia="宋体" w:cs="宋体"/>
                <w:b w:val="0"/>
                <w:i w:val="0"/>
                <w:color w:val="000000"/>
                <w:sz w:val="19"/>
              </w:rPr>
              <w:t>软件生态</w:t>
            </w:r>
          </w:p>
        </w:tc>
        <w:tc>
          <w:tcPr>
            <w:tcW w:type="dxa" w:w="7188"/>
            <w:shd w:val="clear" w:color="auto" w:fill="EDF3F9"/>
          </w:tcPr>
          <w:p>
            <w:pPr>
              <w:spacing w:after="0" w:line="276" w:lineRule="auto"/>
            </w:pPr>
            <w:r/>
            <w:r>
              <w:rPr>
                <w:rFonts w:ascii="宋体" w:hAnsi="宋体" w:eastAsia="宋体" w:cs="宋体"/>
                <w:b w:val="0"/>
                <w:i w:val="0"/>
                <w:color w:val="000000"/>
                <w:sz w:val="19"/>
              </w:rPr>
              <w:t>支持标准 Android 与 Linux SDK，支持国产操作系统。采用 Linux + RKNN Runtime 构建推理服务，便于长期稳定运行与远程维护</w:t>
            </w:r>
          </w:p>
        </w:tc>
      </w:tr>
      <w:tr>
        <w:tc>
          <w:tcPr>
            <w:tcW w:type="dxa" w:w="1940"/>
          </w:tcPr>
          <w:p>
            <w:pPr>
              <w:spacing w:after="0" w:line="276" w:lineRule="auto"/>
            </w:pPr>
            <w:r/>
            <w:r>
              <w:rPr>
                <w:rFonts w:ascii="宋体" w:hAnsi="宋体" w:eastAsia="宋体" w:cs="宋体"/>
                <w:b w:val="0"/>
                <w:i w:val="0"/>
                <w:color w:val="000000"/>
                <w:sz w:val="19"/>
              </w:rPr>
              <w:t>供应链与成本</w:t>
            </w:r>
          </w:p>
        </w:tc>
        <w:tc>
          <w:tcPr>
            <w:tcW w:type="dxa" w:w="7188"/>
          </w:tcPr>
          <w:p>
            <w:pPr>
              <w:spacing w:after="0" w:line="276" w:lineRule="auto"/>
            </w:pPr>
            <w:r/>
            <w:r>
              <w:rPr>
                <w:rFonts w:ascii="宋体" w:hAnsi="宋体" w:eastAsia="宋体" w:cs="宋体"/>
                <w:b w:val="0"/>
                <w:i w:val="0"/>
                <w:color w:val="000000"/>
                <w:sz w:val="19"/>
              </w:rPr>
              <w:t>国产芯片，供货与价格稳定性优于进口同类方案，符合医疗设备与信创场景的国产化趋势，核心板批量成本可控</w:t>
            </w:r>
          </w:p>
        </w:tc>
      </w:tr>
    </w:tbl>
    <w:p>
      <w:pPr>
        <w:spacing w:after="40"/>
      </w:pPr>
    </w:p>
    <w:p>
      <w:pPr>
        <w:pStyle w:val="Heading3"/>
      </w:pPr>
      <w:r>
        <w:rPr>
          <w:rFonts w:ascii="宋体" w:hAnsi="宋体" w:eastAsia="宋体" w:cs="宋体"/>
          <w:b/>
          <w:i w:val="0"/>
          <w:color w:val="2E74B5"/>
          <w:sz w:val="22"/>
        </w:rPr>
        <w:t>4.1.3 硬件成本预算（单台边缘节点）</w:t>
      </w:r>
    </w:p>
    <w:tbl>
      <w:tblPr>
        <w:tblStyle w:val="TableGrid"/>
        <w:jc w:val="center"/>
        <w:tblLook w:firstColumn="1" w:firstRow="1" w:lastColumn="0" w:lastRow="0" w:noHBand="0" w:noVBand="1" w:val="04A0"/>
        <w:tblCellMar>
          <w:top w:w="60" w:type="dxa"/>
          <w:left w:w="90" w:type="dxa"/>
          <w:bottom w:w="60" w:type="dxa"/>
          <w:right w:w="90" w:type="dxa"/>
        </w:tblCellMar>
        <w:tblW w:w="9129" w:type="dxa"/>
        <w:tblLayout w:type="fixed"/>
      </w:tblPr>
      <w:tblGrid>
        <w:gridCol w:w="2054"/>
        <w:gridCol w:w="2396"/>
        <w:gridCol w:w="1483"/>
        <w:gridCol w:w="3195"/>
      </w:tblGrid>
      <w:tr>
        <w:trPr>
          <w:tblHeader w:val="true"/>
        </w:trPr>
        <w:tc>
          <w:tcPr>
            <w:tcW w:type="dxa" w:w="2054"/>
            <w:shd w:val="clear" w:color="auto" w:fill="1F4E79"/>
          </w:tcPr>
          <w:p>
            <w:pPr>
              <w:spacing w:after="0" w:line="276" w:lineRule="auto"/>
              <w:jc w:val="center"/>
            </w:pPr>
            <w:r/>
            <w:r>
              <w:rPr>
                <w:rFonts w:ascii="宋体" w:hAnsi="宋体" w:eastAsia="宋体" w:cs="宋体"/>
                <w:b/>
                <w:i w:val="0"/>
                <w:color w:val="FFFFFF"/>
                <w:sz w:val="19"/>
              </w:rPr>
              <w:t>部件</w:t>
            </w:r>
          </w:p>
        </w:tc>
        <w:tc>
          <w:tcPr>
            <w:tcW w:type="dxa" w:w="2396"/>
            <w:shd w:val="clear" w:color="auto" w:fill="1F4E79"/>
          </w:tcPr>
          <w:p>
            <w:pPr>
              <w:spacing w:after="0" w:line="276" w:lineRule="auto"/>
              <w:jc w:val="center"/>
            </w:pPr>
            <w:r/>
            <w:r>
              <w:rPr>
                <w:rFonts w:ascii="宋体" w:hAnsi="宋体" w:eastAsia="宋体" w:cs="宋体"/>
                <w:b/>
                <w:i w:val="0"/>
                <w:color w:val="FFFFFF"/>
                <w:sz w:val="19"/>
              </w:rPr>
              <w:t>规格说明</w:t>
            </w:r>
          </w:p>
        </w:tc>
        <w:tc>
          <w:tcPr>
            <w:tcW w:type="dxa" w:w="1483"/>
            <w:shd w:val="clear" w:color="auto" w:fill="1F4E79"/>
          </w:tcPr>
          <w:p>
            <w:pPr>
              <w:spacing w:after="0" w:line="276" w:lineRule="auto"/>
              <w:jc w:val="center"/>
            </w:pPr>
            <w:r/>
            <w:r>
              <w:rPr>
                <w:rFonts w:ascii="宋体" w:hAnsi="宋体" w:eastAsia="宋体" w:cs="宋体"/>
                <w:b/>
                <w:i w:val="0"/>
                <w:color w:val="FFFFFF"/>
                <w:sz w:val="19"/>
              </w:rPr>
              <w:t>估算单价（元）</w:t>
            </w:r>
          </w:p>
        </w:tc>
        <w:tc>
          <w:tcPr>
            <w:tcW w:type="dxa" w:w="3195"/>
            <w:shd w:val="clear" w:color="auto" w:fill="1F4E79"/>
          </w:tcPr>
          <w:p>
            <w:pPr>
              <w:spacing w:after="0" w:line="276" w:lineRule="auto"/>
              <w:jc w:val="center"/>
            </w:pPr>
            <w:r/>
            <w:r>
              <w:rPr>
                <w:rFonts w:ascii="宋体" w:hAnsi="宋体" w:eastAsia="宋体" w:cs="宋体"/>
                <w:b/>
                <w:i w:val="0"/>
                <w:color w:val="FFFFFF"/>
                <w:sz w:val="19"/>
              </w:rPr>
              <w:t>备注</w:t>
            </w:r>
          </w:p>
        </w:tc>
      </w:tr>
      <w:tr>
        <w:tc>
          <w:tcPr>
            <w:tcW w:type="dxa" w:w="2054"/>
          </w:tcPr>
          <w:p>
            <w:pPr>
              <w:spacing w:after="0" w:line="276" w:lineRule="auto"/>
            </w:pPr>
            <w:r/>
            <w:r>
              <w:rPr>
                <w:rFonts w:ascii="宋体" w:hAnsi="宋体" w:eastAsia="宋体" w:cs="宋体"/>
                <w:b w:val="0"/>
                <w:i w:val="0"/>
                <w:color w:val="000000"/>
                <w:sz w:val="19"/>
              </w:rPr>
              <w:t>RK3576 核心板</w:t>
            </w:r>
          </w:p>
        </w:tc>
        <w:tc>
          <w:tcPr>
            <w:tcW w:type="dxa" w:w="2396"/>
          </w:tcPr>
          <w:p>
            <w:pPr>
              <w:spacing w:after="0" w:line="276" w:lineRule="auto"/>
            </w:pPr>
            <w:r/>
            <w:r>
              <w:rPr>
                <w:rFonts w:ascii="宋体" w:hAnsi="宋体" w:eastAsia="宋体" w:cs="宋体"/>
                <w:b w:val="0"/>
                <w:i w:val="0"/>
                <w:color w:val="000000"/>
                <w:sz w:val="19"/>
              </w:rPr>
              <w:t>4 GB LPDDR4 + 32 GB eMMC</w:t>
            </w:r>
          </w:p>
        </w:tc>
        <w:tc>
          <w:tcPr>
            <w:tcW w:type="dxa" w:w="1483"/>
          </w:tcPr>
          <w:p>
            <w:pPr>
              <w:spacing w:after="0" w:line="276" w:lineRule="auto"/>
            </w:pPr>
            <w:r/>
            <w:r>
              <w:rPr>
                <w:rFonts w:ascii="宋体" w:hAnsi="宋体" w:eastAsia="宋体" w:cs="宋体"/>
                <w:b w:val="0"/>
                <w:i w:val="0"/>
                <w:color w:val="000000"/>
                <w:sz w:val="19"/>
              </w:rPr>
              <w:t>180–260</w:t>
            </w:r>
          </w:p>
        </w:tc>
        <w:tc>
          <w:tcPr>
            <w:tcW w:type="dxa" w:w="3195"/>
          </w:tcPr>
          <w:p>
            <w:pPr>
              <w:spacing w:after="0" w:line="276" w:lineRule="auto"/>
            </w:pPr>
            <w:r/>
            <w:r>
              <w:rPr>
                <w:rFonts w:ascii="宋体" w:hAnsi="宋体" w:eastAsia="宋体" w:cs="宋体"/>
                <w:b w:val="0"/>
                <w:i w:val="0"/>
                <w:color w:val="000000"/>
                <w:sz w:val="19"/>
              </w:rPr>
              <w:t>随批量浮动，量产可降至 150 元级</w:t>
            </w:r>
          </w:p>
        </w:tc>
      </w:tr>
      <w:tr>
        <w:tc>
          <w:tcPr>
            <w:tcW w:type="dxa" w:w="2054"/>
            <w:shd w:val="clear" w:color="auto" w:fill="EDF3F9"/>
          </w:tcPr>
          <w:p>
            <w:pPr>
              <w:spacing w:after="0" w:line="276" w:lineRule="auto"/>
            </w:pPr>
            <w:r/>
            <w:r>
              <w:rPr>
                <w:rFonts w:ascii="宋体" w:hAnsi="宋体" w:eastAsia="宋体" w:cs="宋体"/>
                <w:b w:val="0"/>
                <w:i w:val="0"/>
                <w:color w:val="000000"/>
                <w:sz w:val="19"/>
              </w:rPr>
              <w:t>底板与电源</w:t>
            </w:r>
          </w:p>
        </w:tc>
        <w:tc>
          <w:tcPr>
            <w:tcW w:type="dxa" w:w="2396"/>
            <w:shd w:val="clear" w:color="auto" w:fill="EDF3F9"/>
          </w:tcPr>
          <w:p>
            <w:pPr>
              <w:spacing w:after="0" w:line="276" w:lineRule="auto"/>
            </w:pPr>
            <w:r/>
            <w:r>
              <w:rPr>
                <w:rFonts w:ascii="宋体" w:hAnsi="宋体" w:eastAsia="宋体" w:cs="宋体"/>
                <w:b w:val="0"/>
                <w:i w:val="0"/>
                <w:color w:val="000000"/>
                <w:sz w:val="19"/>
              </w:rPr>
              <w:t>PCB、电源管理、接口、保护电路</w:t>
            </w:r>
          </w:p>
        </w:tc>
        <w:tc>
          <w:tcPr>
            <w:tcW w:type="dxa" w:w="1483"/>
            <w:shd w:val="clear" w:color="auto" w:fill="EDF3F9"/>
          </w:tcPr>
          <w:p>
            <w:pPr>
              <w:spacing w:after="0" w:line="276" w:lineRule="auto"/>
            </w:pPr>
            <w:r/>
            <w:r>
              <w:rPr>
                <w:rFonts w:ascii="宋体" w:hAnsi="宋体" w:eastAsia="宋体" w:cs="宋体"/>
                <w:b w:val="0"/>
                <w:i w:val="0"/>
                <w:color w:val="000000"/>
                <w:sz w:val="19"/>
              </w:rPr>
              <w:t>40–60</w:t>
            </w:r>
          </w:p>
        </w:tc>
        <w:tc>
          <w:tcPr>
            <w:tcW w:type="dxa" w:w="3195"/>
            <w:shd w:val="clear" w:color="auto" w:fill="EDF3F9"/>
          </w:tcPr>
          <w:p>
            <w:pPr>
              <w:spacing w:after="0" w:line="276" w:lineRule="auto"/>
            </w:pPr>
            <w:r/>
            <w:r>
              <w:rPr>
                <w:rFonts w:ascii="宋体" w:hAnsi="宋体" w:eastAsia="宋体" w:cs="宋体"/>
                <w:b w:val="0"/>
                <w:i w:val="0"/>
                <w:color w:val="000000"/>
                <w:sz w:val="19"/>
              </w:rPr>
              <w:t>含 4 层板打样与小批量贴片分摊</w:t>
            </w:r>
          </w:p>
        </w:tc>
      </w:tr>
      <w:tr>
        <w:tc>
          <w:tcPr>
            <w:tcW w:type="dxa" w:w="2054"/>
          </w:tcPr>
          <w:p>
            <w:pPr>
              <w:spacing w:after="0" w:line="276" w:lineRule="auto"/>
            </w:pPr>
            <w:r/>
            <w:r>
              <w:rPr>
                <w:rFonts w:ascii="宋体" w:hAnsi="宋体" w:eastAsia="宋体" w:cs="宋体"/>
                <w:b w:val="0"/>
                <w:i w:val="0"/>
                <w:color w:val="000000"/>
                <w:sz w:val="19"/>
              </w:rPr>
              <w:t>音频前端</w:t>
            </w:r>
          </w:p>
        </w:tc>
        <w:tc>
          <w:tcPr>
            <w:tcW w:type="dxa" w:w="2396"/>
          </w:tcPr>
          <w:p>
            <w:pPr>
              <w:spacing w:after="0" w:line="276" w:lineRule="auto"/>
            </w:pPr>
            <w:r/>
            <w:r>
              <w:rPr>
                <w:rFonts w:ascii="宋体" w:hAnsi="宋体" w:eastAsia="宋体" w:cs="宋体"/>
                <w:b w:val="0"/>
                <w:i w:val="0"/>
                <w:color w:val="000000"/>
                <w:sz w:val="19"/>
              </w:rPr>
              <w:t>MEMS 麦克风 + 运放 + ADC/编解码</w:t>
            </w:r>
          </w:p>
        </w:tc>
        <w:tc>
          <w:tcPr>
            <w:tcW w:type="dxa" w:w="1483"/>
          </w:tcPr>
          <w:p>
            <w:pPr>
              <w:spacing w:after="0" w:line="276" w:lineRule="auto"/>
            </w:pPr>
            <w:r/>
            <w:r>
              <w:rPr>
                <w:rFonts w:ascii="宋体" w:hAnsi="宋体" w:eastAsia="宋体" w:cs="宋体"/>
                <w:b w:val="0"/>
                <w:i w:val="0"/>
                <w:color w:val="000000"/>
                <w:sz w:val="19"/>
              </w:rPr>
              <w:t>15–30</w:t>
            </w:r>
          </w:p>
        </w:tc>
        <w:tc>
          <w:tcPr>
            <w:tcW w:type="dxa" w:w="3195"/>
          </w:tcPr>
          <w:p>
            <w:pPr>
              <w:spacing w:after="0" w:line="276" w:lineRule="auto"/>
            </w:pPr>
            <w:r/>
            <w:r>
              <w:rPr>
                <w:rFonts w:ascii="宋体" w:hAnsi="宋体" w:eastAsia="宋体" w:cs="宋体"/>
                <w:b w:val="0"/>
                <w:i w:val="0"/>
                <w:color w:val="000000"/>
                <w:sz w:val="19"/>
              </w:rPr>
              <w:t>含双麦克风方案</w:t>
            </w:r>
          </w:p>
        </w:tc>
      </w:tr>
      <w:tr>
        <w:tc>
          <w:tcPr>
            <w:tcW w:type="dxa" w:w="2054"/>
            <w:shd w:val="clear" w:color="auto" w:fill="EDF3F9"/>
          </w:tcPr>
          <w:p>
            <w:pPr>
              <w:spacing w:after="0" w:line="276" w:lineRule="auto"/>
            </w:pPr>
            <w:r/>
            <w:r>
              <w:rPr>
                <w:rFonts w:ascii="宋体" w:hAnsi="宋体" w:eastAsia="宋体" w:cs="宋体"/>
                <w:b w:val="0"/>
                <w:i w:val="0"/>
                <w:color w:val="000000"/>
                <w:sz w:val="19"/>
              </w:rPr>
              <w:t>存储与时钟</w:t>
            </w:r>
          </w:p>
        </w:tc>
        <w:tc>
          <w:tcPr>
            <w:tcW w:type="dxa" w:w="2396"/>
            <w:shd w:val="clear" w:color="auto" w:fill="EDF3F9"/>
          </w:tcPr>
          <w:p>
            <w:pPr>
              <w:spacing w:after="0" w:line="276" w:lineRule="auto"/>
            </w:pPr>
            <w:r/>
            <w:r>
              <w:rPr>
                <w:rFonts w:ascii="宋体" w:hAnsi="宋体" w:eastAsia="宋体" w:cs="宋体"/>
                <w:b w:val="0"/>
                <w:i w:val="0"/>
                <w:color w:val="000000"/>
                <w:sz w:val="19"/>
              </w:rPr>
              <w:t>TF 卡 / 扩展存储、晶振</w:t>
            </w:r>
          </w:p>
        </w:tc>
        <w:tc>
          <w:tcPr>
            <w:tcW w:type="dxa" w:w="1483"/>
            <w:shd w:val="clear" w:color="auto" w:fill="EDF3F9"/>
          </w:tcPr>
          <w:p>
            <w:pPr>
              <w:spacing w:after="0" w:line="276" w:lineRule="auto"/>
            </w:pPr>
            <w:r/>
            <w:r>
              <w:rPr>
                <w:rFonts w:ascii="宋体" w:hAnsi="宋体" w:eastAsia="宋体" w:cs="宋体"/>
                <w:b w:val="0"/>
                <w:i w:val="0"/>
                <w:color w:val="000000"/>
                <w:sz w:val="19"/>
              </w:rPr>
              <w:t>10–20</w:t>
            </w:r>
          </w:p>
        </w:tc>
        <w:tc>
          <w:tcPr>
            <w:tcW w:type="dxa" w:w="3195"/>
            <w:shd w:val="clear" w:color="auto" w:fill="EDF3F9"/>
          </w:tcPr>
          <w:p>
            <w:pPr>
              <w:spacing w:after="0" w:line="276" w:lineRule="auto"/>
            </w:pPr>
            <w:r/>
            <w:r>
              <w:rPr>
                <w:rFonts w:ascii="宋体" w:hAnsi="宋体" w:eastAsia="宋体" w:cs="宋体"/>
                <w:b w:val="0"/>
                <w:i w:val="0"/>
                <w:color w:val="000000"/>
                <w:sz w:val="19"/>
              </w:rPr>
              <w:t>本地音频缓存</w:t>
            </w:r>
          </w:p>
        </w:tc>
      </w:tr>
      <w:tr>
        <w:tc>
          <w:tcPr>
            <w:tcW w:type="dxa" w:w="2054"/>
          </w:tcPr>
          <w:p>
            <w:pPr>
              <w:spacing w:after="0" w:line="276" w:lineRule="auto"/>
            </w:pPr>
            <w:r/>
            <w:r>
              <w:rPr>
                <w:rFonts w:ascii="宋体" w:hAnsi="宋体" w:eastAsia="宋体" w:cs="宋体"/>
                <w:b w:val="0"/>
                <w:i w:val="0"/>
                <w:color w:val="000000"/>
                <w:sz w:val="19"/>
              </w:rPr>
              <w:t>外壳与结构件</w:t>
            </w:r>
          </w:p>
        </w:tc>
        <w:tc>
          <w:tcPr>
            <w:tcW w:type="dxa" w:w="2396"/>
          </w:tcPr>
          <w:p>
            <w:pPr>
              <w:spacing w:after="0" w:line="276" w:lineRule="auto"/>
            </w:pPr>
            <w:r/>
            <w:r>
              <w:rPr>
                <w:rFonts w:ascii="宋体" w:hAnsi="宋体" w:eastAsia="宋体" w:cs="宋体"/>
                <w:b w:val="0"/>
                <w:i w:val="0"/>
                <w:color w:val="000000"/>
                <w:sz w:val="19"/>
              </w:rPr>
              <w:t>注塑外壳、支架、散热</w:t>
            </w:r>
          </w:p>
        </w:tc>
        <w:tc>
          <w:tcPr>
            <w:tcW w:type="dxa" w:w="1483"/>
          </w:tcPr>
          <w:p>
            <w:pPr>
              <w:spacing w:after="0" w:line="276" w:lineRule="auto"/>
            </w:pPr>
            <w:r/>
            <w:r>
              <w:rPr>
                <w:rFonts w:ascii="宋体" w:hAnsi="宋体" w:eastAsia="宋体" w:cs="宋体"/>
                <w:b w:val="0"/>
                <w:i w:val="0"/>
                <w:color w:val="000000"/>
                <w:sz w:val="19"/>
              </w:rPr>
              <w:t>25–45</w:t>
            </w:r>
          </w:p>
        </w:tc>
        <w:tc>
          <w:tcPr>
            <w:tcW w:type="dxa" w:w="3195"/>
          </w:tcPr>
          <w:p>
            <w:pPr>
              <w:spacing w:after="0" w:line="276" w:lineRule="auto"/>
            </w:pPr>
            <w:r/>
            <w:r>
              <w:rPr>
                <w:rFonts w:ascii="宋体" w:hAnsi="宋体" w:eastAsia="宋体" w:cs="宋体"/>
                <w:b w:val="0"/>
                <w:i w:val="0"/>
                <w:color w:val="000000"/>
                <w:sz w:val="19"/>
              </w:rPr>
              <w:t>小批量用 3D 打印/CNC，量产开模后下降</w:t>
            </w:r>
          </w:p>
        </w:tc>
      </w:tr>
      <w:tr>
        <w:tc>
          <w:tcPr>
            <w:tcW w:type="dxa" w:w="2054"/>
            <w:shd w:val="clear" w:color="auto" w:fill="EDF3F9"/>
          </w:tcPr>
          <w:p>
            <w:pPr>
              <w:spacing w:after="0" w:line="276" w:lineRule="auto"/>
            </w:pPr>
            <w:r/>
            <w:r>
              <w:rPr>
                <w:rFonts w:ascii="宋体" w:hAnsi="宋体" w:eastAsia="宋体" w:cs="宋体"/>
                <w:b w:val="0"/>
                <w:i w:val="0"/>
                <w:color w:val="000000"/>
                <w:sz w:val="19"/>
              </w:rPr>
              <w:t>无线与线材</w:t>
            </w:r>
          </w:p>
        </w:tc>
        <w:tc>
          <w:tcPr>
            <w:tcW w:type="dxa" w:w="2396"/>
            <w:shd w:val="clear" w:color="auto" w:fill="EDF3F9"/>
          </w:tcPr>
          <w:p>
            <w:pPr>
              <w:spacing w:after="0" w:line="276" w:lineRule="auto"/>
            </w:pPr>
            <w:r/>
            <w:r>
              <w:rPr>
                <w:rFonts w:ascii="宋体" w:hAnsi="宋体" w:eastAsia="宋体" w:cs="宋体"/>
                <w:b w:val="0"/>
                <w:i w:val="0"/>
                <w:color w:val="000000"/>
                <w:sz w:val="19"/>
              </w:rPr>
              <w:t>Wi-Fi 模组（选 4G）、USB 线材、电源适配器</w:t>
            </w:r>
          </w:p>
        </w:tc>
        <w:tc>
          <w:tcPr>
            <w:tcW w:type="dxa" w:w="1483"/>
            <w:shd w:val="clear" w:color="auto" w:fill="EDF3F9"/>
          </w:tcPr>
          <w:p>
            <w:pPr>
              <w:spacing w:after="0" w:line="276" w:lineRule="auto"/>
            </w:pPr>
            <w:r/>
            <w:r>
              <w:rPr>
                <w:rFonts w:ascii="宋体" w:hAnsi="宋体" w:eastAsia="宋体" w:cs="宋体"/>
                <w:b w:val="0"/>
                <w:i w:val="0"/>
                <w:color w:val="000000"/>
                <w:sz w:val="19"/>
              </w:rPr>
              <w:t>30–60</w:t>
            </w:r>
          </w:p>
        </w:tc>
        <w:tc>
          <w:tcPr>
            <w:tcW w:type="dxa" w:w="3195"/>
            <w:shd w:val="clear" w:color="auto" w:fill="EDF3F9"/>
          </w:tcPr>
          <w:p>
            <w:pPr>
              <w:spacing w:after="0" w:line="276" w:lineRule="auto"/>
            </w:pPr>
            <w:r/>
            <w:r>
              <w:rPr>
                <w:rFonts w:ascii="宋体" w:hAnsi="宋体" w:eastAsia="宋体" w:cs="宋体"/>
                <w:b w:val="0"/>
                <w:i w:val="0"/>
                <w:color w:val="000000"/>
                <w:sz w:val="19"/>
              </w:rPr>
              <w:t>4G 为选配</w:t>
            </w:r>
          </w:p>
        </w:tc>
      </w:tr>
      <w:tr>
        <w:tc>
          <w:tcPr>
            <w:tcW w:type="dxa" w:w="2054"/>
          </w:tcPr>
          <w:p>
            <w:pPr>
              <w:spacing w:after="0" w:line="276" w:lineRule="auto"/>
            </w:pPr>
            <w:r/>
            <w:r>
              <w:rPr>
                <w:rFonts w:ascii="宋体" w:hAnsi="宋体" w:eastAsia="宋体" w:cs="宋体"/>
                <w:b w:val="0"/>
                <w:i w:val="0"/>
                <w:color w:val="000000"/>
                <w:sz w:val="19"/>
              </w:rPr>
              <w:t>包装与附件</w:t>
            </w:r>
          </w:p>
        </w:tc>
        <w:tc>
          <w:tcPr>
            <w:tcW w:type="dxa" w:w="2396"/>
          </w:tcPr>
          <w:p>
            <w:pPr>
              <w:spacing w:after="0" w:line="276" w:lineRule="auto"/>
            </w:pPr>
            <w:r/>
            <w:r>
              <w:rPr>
                <w:rFonts w:ascii="宋体" w:hAnsi="宋体" w:eastAsia="宋体" w:cs="宋体"/>
                <w:b w:val="0"/>
                <w:i w:val="0"/>
                <w:color w:val="000000"/>
                <w:sz w:val="19"/>
              </w:rPr>
              <w:t>说明书、快速指南、包装盒</w:t>
            </w:r>
          </w:p>
        </w:tc>
        <w:tc>
          <w:tcPr>
            <w:tcW w:type="dxa" w:w="1483"/>
          </w:tcPr>
          <w:p>
            <w:pPr>
              <w:spacing w:after="0" w:line="276" w:lineRule="auto"/>
            </w:pPr>
            <w:r/>
            <w:r>
              <w:rPr>
                <w:rFonts w:ascii="宋体" w:hAnsi="宋体" w:eastAsia="宋体" w:cs="宋体"/>
                <w:b w:val="0"/>
                <w:i w:val="0"/>
                <w:color w:val="000000"/>
                <w:sz w:val="19"/>
              </w:rPr>
              <w:t>10–20</w:t>
            </w:r>
          </w:p>
        </w:tc>
        <w:tc>
          <w:tcPr>
            <w:tcW w:type="dxa" w:w="3195"/>
          </w:tcPr>
          <w:p>
            <w:pPr>
              <w:spacing w:after="0" w:line="276" w:lineRule="auto"/>
            </w:pPr>
            <w:r/>
            <w:r>
              <w:rPr>
                <w:rFonts w:ascii="宋体" w:hAnsi="宋体" w:eastAsia="宋体" w:cs="宋体"/>
                <w:b w:val="0"/>
                <w:i w:val="0"/>
                <w:color w:val="000000"/>
                <w:sz w:val="19"/>
              </w:rPr>
              <w:t>医疗器械版本需符合标签规范</w:t>
            </w:r>
          </w:p>
        </w:tc>
      </w:tr>
      <w:tr>
        <w:tc>
          <w:tcPr>
            <w:tcW w:type="dxa" w:w="2054"/>
            <w:shd w:val="clear" w:color="auto" w:fill="EDF3F9"/>
          </w:tcPr>
          <w:p>
            <w:pPr>
              <w:spacing w:after="0" w:line="276" w:lineRule="auto"/>
            </w:pPr>
            <w:r/>
            <w:r>
              <w:rPr>
                <w:rFonts w:ascii="宋体" w:hAnsi="宋体" w:eastAsia="宋体" w:cs="宋体"/>
                <w:b w:val="0"/>
                <w:i w:val="0"/>
                <w:color w:val="000000"/>
                <w:sz w:val="19"/>
              </w:rPr>
              <w:t>测试与老化</w:t>
            </w:r>
          </w:p>
        </w:tc>
        <w:tc>
          <w:tcPr>
            <w:tcW w:type="dxa" w:w="2396"/>
            <w:shd w:val="clear" w:color="auto" w:fill="EDF3F9"/>
          </w:tcPr>
          <w:p>
            <w:pPr>
              <w:spacing w:after="0" w:line="276" w:lineRule="auto"/>
            </w:pPr>
            <w:r/>
            <w:r>
              <w:rPr>
                <w:rFonts w:ascii="宋体" w:hAnsi="宋体" w:eastAsia="宋体" w:cs="宋体"/>
                <w:b w:val="0"/>
                <w:i w:val="0"/>
                <w:color w:val="000000"/>
                <w:sz w:val="19"/>
              </w:rPr>
              <w:t>出厂校准、老化测试分摊</w:t>
            </w:r>
          </w:p>
        </w:tc>
        <w:tc>
          <w:tcPr>
            <w:tcW w:type="dxa" w:w="1483"/>
            <w:shd w:val="clear" w:color="auto" w:fill="EDF3F9"/>
          </w:tcPr>
          <w:p>
            <w:pPr>
              <w:spacing w:after="0" w:line="276" w:lineRule="auto"/>
            </w:pPr>
            <w:r/>
            <w:r>
              <w:rPr>
                <w:rFonts w:ascii="宋体" w:hAnsi="宋体" w:eastAsia="宋体" w:cs="宋体"/>
                <w:b w:val="0"/>
                <w:i w:val="0"/>
                <w:color w:val="000000"/>
                <w:sz w:val="19"/>
              </w:rPr>
              <w:t>8–15</w:t>
            </w:r>
          </w:p>
        </w:tc>
        <w:tc>
          <w:tcPr>
            <w:tcW w:type="dxa" w:w="3195"/>
            <w:shd w:val="clear" w:color="auto" w:fill="EDF3F9"/>
          </w:tcPr>
          <w:p>
            <w:pPr>
              <w:spacing w:after="0" w:line="276" w:lineRule="auto"/>
            </w:pPr>
            <w:r/>
            <w:r>
              <w:rPr>
                <w:rFonts w:ascii="宋体" w:hAnsi="宋体" w:eastAsia="宋体" w:cs="宋体"/>
                <w:b w:val="0"/>
                <w:i w:val="0"/>
                <w:color w:val="000000"/>
                <w:sz w:val="19"/>
              </w:rPr>
              <w:t>含标准声源校准工装分摊</w:t>
            </w:r>
          </w:p>
        </w:tc>
      </w:tr>
      <w:tr>
        <w:tc>
          <w:tcPr>
            <w:tcW w:type="dxa" w:w="2054"/>
          </w:tcPr>
          <w:p>
            <w:pPr>
              <w:spacing w:after="0" w:line="276" w:lineRule="auto"/>
            </w:pPr>
            <w:r/>
            <w:r>
              <w:rPr>
                <w:rFonts w:ascii="宋体" w:hAnsi="宋体" w:eastAsia="宋体" w:cs="宋体"/>
                <w:b w:val="0"/>
                <w:i w:val="0"/>
                <w:color w:val="000000"/>
                <w:sz w:val="19"/>
              </w:rPr>
              <w:t>合计</w:t>
            </w:r>
          </w:p>
        </w:tc>
        <w:tc>
          <w:tcPr>
            <w:tcW w:type="dxa" w:w="2396"/>
          </w:tcPr>
          <w:p>
            <w:pPr>
              <w:spacing w:after="0" w:line="276" w:lineRule="auto"/>
            </w:pPr>
            <w:r/>
            <w:r>
              <w:rPr>
                <w:rFonts w:ascii="宋体" w:hAnsi="宋体" w:eastAsia="宋体" w:cs="宋体"/>
                <w:b w:val="0"/>
                <w:i w:val="0"/>
                <w:color w:val="000000"/>
                <w:sz w:val="19"/>
              </w:rPr>
              <w:t>小批量试产单台硬件成本</w:t>
            </w:r>
          </w:p>
        </w:tc>
        <w:tc>
          <w:tcPr>
            <w:tcW w:type="dxa" w:w="1483"/>
          </w:tcPr>
          <w:p>
            <w:pPr>
              <w:spacing w:after="0" w:line="276" w:lineRule="auto"/>
            </w:pPr>
            <w:r/>
            <w:r>
              <w:rPr>
                <w:rFonts w:ascii="宋体" w:hAnsi="宋体" w:eastAsia="宋体" w:cs="宋体"/>
                <w:b w:val="0"/>
                <w:i w:val="0"/>
                <w:color w:val="000000"/>
                <w:sz w:val="19"/>
              </w:rPr>
              <w:t>约 318–510</w:t>
            </w:r>
          </w:p>
        </w:tc>
        <w:tc>
          <w:tcPr>
            <w:tcW w:type="dxa" w:w="3195"/>
          </w:tcPr>
          <w:p>
            <w:pPr>
              <w:spacing w:after="0" w:line="276" w:lineRule="auto"/>
            </w:pPr>
            <w:r/>
            <w:r>
              <w:rPr>
                <w:rFonts w:ascii="宋体" w:hAnsi="宋体" w:eastAsia="宋体" w:cs="宋体"/>
                <w:b w:val="0"/>
                <w:i w:val="0"/>
                <w:color w:val="000000"/>
                <w:sz w:val="19"/>
              </w:rPr>
              <w:t>量产 5,000 台以上预计可降至 300 元以内</w:t>
            </w:r>
          </w:p>
        </w:tc>
      </w:tr>
    </w:tbl>
    <w:p>
      <w:pPr>
        <w:spacing w:after="40"/>
      </w:pPr>
    </w:p>
    <w:p>
      <w:pPr>
        <w:spacing w:after="80"/>
        <w:jc w:val="left"/>
      </w:pPr>
      <w:r>
        <w:rPr>
          <w:rFonts w:ascii="宋体" w:hAnsi="宋体" w:eastAsia="宋体" w:cs="宋体"/>
          <w:b w:val="0"/>
          <w:i w:val="0"/>
          <w:color w:val="595959"/>
          <w:sz w:val="18"/>
        </w:rPr>
        <w:t>注：为小批量试产阶段的估算价，量产 5000 台以上时结构件与线材成本可显著下降；实际以采购询价为准。</w:t>
      </w:r>
    </w:p>
    <w:p>
      <w:pPr>
        <w:pStyle w:val="Heading3"/>
      </w:pPr>
      <w:r>
        <w:rPr>
          <w:rFonts w:ascii="宋体" w:hAnsi="宋体" w:eastAsia="宋体" w:cs="宋体"/>
          <w:b/>
          <w:i w:val="0"/>
          <w:color w:val="2E74B5"/>
          <w:sz w:val="22"/>
        </w:rPr>
        <w:t>4.1.4 麦克风阵列与声学结构</w:t>
      </w:r>
    </w:p>
    <w:p>
      <w:pPr>
        <w:spacing w:after="40" w:line="324" w:lineRule="auto"/>
        <w:ind w:left="425" w:hanging="283"/>
      </w:pPr>
      <w:r>
        <w:rPr>
          <w:rFonts w:ascii="宋体" w:hAnsi="宋体" w:eastAsia="宋体" w:cs="宋体"/>
          <w:b w:val="0"/>
          <w:i w:val="0"/>
          <w:color w:val="2E74B5"/>
          <w:sz w:val="18"/>
        </w:rPr>
        <w:t xml:space="preserve">● </w:t>
      </w:r>
      <w:r>
        <w:rPr>
          <w:rFonts w:ascii="宋体" w:hAnsi="宋体" w:eastAsia="宋体" w:cs="宋体"/>
          <w:b/>
          <w:i w:val="0"/>
          <w:color w:val="000000"/>
          <w:sz w:val="21"/>
        </w:rPr>
        <w:t>拾音位置原则：</w:t>
      </w:r>
      <w:r>
        <w:rPr>
          <w:rFonts w:ascii="宋体" w:hAnsi="宋体" w:eastAsia="宋体" w:cs="宋体"/>
          <w:b w:val="0"/>
          <w:i w:val="0"/>
          <w:color w:val="000000"/>
          <w:sz w:val="21"/>
        </w:rPr>
        <w:t>床头柜高度（距床面 40–60 cm）、避免贴墙与正对空调出风口，与患者口鼻保持 0.5–1.5 m 的舒适距离，兼顾声压级与远场衰减。</w:t>
      </w:r>
    </w:p>
    <w:p>
      <w:pPr>
        <w:spacing w:after="40" w:line="324" w:lineRule="auto"/>
        <w:ind w:left="425" w:hanging="283"/>
      </w:pPr>
      <w:r>
        <w:rPr>
          <w:rFonts w:ascii="宋体" w:hAnsi="宋体" w:eastAsia="宋体" w:cs="宋体"/>
          <w:b w:val="0"/>
          <w:i w:val="0"/>
          <w:color w:val="2E74B5"/>
          <w:sz w:val="18"/>
        </w:rPr>
        <w:t xml:space="preserve">● </w:t>
      </w:r>
      <w:r>
        <w:rPr>
          <w:rFonts w:ascii="宋体" w:hAnsi="宋体" w:eastAsia="宋体" w:cs="宋体"/>
          <w:b/>
          <w:i w:val="0"/>
          <w:color w:val="000000"/>
          <w:sz w:val="21"/>
        </w:rPr>
        <w:t>双麦克风方案：</w:t>
      </w:r>
      <w:r>
        <w:rPr>
          <w:rFonts w:ascii="宋体" w:hAnsi="宋体" w:eastAsia="宋体" w:cs="宋体"/>
          <w:b w:val="0"/>
          <w:i w:val="0"/>
          <w:color w:val="000000"/>
          <w:sz w:val="21"/>
        </w:rPr>
        <w:t>主麦克风朝向床铺、参考麦克风朝向房间，利用两路信号差异抑制稳态环境噪声（空调、风扇），为可选升级路径。</w:t>
      </w:r>
    </w:p>
    <w:p>
      <w:pPr>
        <w:spacing w:after="40" w:line="324" w:lineRule="auto"/>
        <w:ind w:left="425" w:hanging="283"/>
      </w:pPr>
      <w:r>
        <w:rPr>
          <w:rFonts w:ascii="宋体" w:hAnsi="宋体" w:eastAsia="宋体" w:cs="宋体"/>
          <w:b w:val="0"/>
          <w:i w:val="0"/>
          <w:color w:val="2E74B5"/>
          <w:sz w:val="18"/>
        </w:rPr>
        <w:t xml:space="preserve">● </w:t>
      </w:r>
      <w:r>
        <w:rPr>
          <w:rFonts w:ascii="宋体" w:hAnsi="宋体" w:eastAsia="宋体" w:cs="宋体"/>
          <w:b/>
          <w:i w:val="0"/>
          <w:color w:val="000000"/>
          <w:sz w:val="21"/>
        </w:rPr>
        <w:t>结构设计：</w:t>
      </w:r>
      <w:r>
        <w:rPr>
          <w:rFonts w:ascii="宋体" w:hAnsi="宋体" w:eastAsia="宋体" w:cs="宋体"/>
          <w:b w:val="0"/>
          <w:i w:val="0"/>
          <w:color w:val="000000"/>
          <w:sz w:val="21"/>
        </w:rPr>
        <w:t>外壳开孔与麦克风之间设置声学阻尼与防尘网，减少风噪与结构共振；底部加防滑硅胶垫，降低被碰移位的概率。</w:t>
      </w:r>
    </w:p>
    <w:p>
      <w:pPr>
        <w:spacing w:after="40" w:line="324" w:lineRule="auto"/>
        <w:ind w:left="425" w:hanging="283"/>
      </w:pPr>
      <w:r>
        <w:rPr>
          <w:rFonts w:ascii="宋体" w:hAnsi="宋体" w:eastAsia="宋体" w:cs="宋体"/>
          <w:b w:val="0"/>
          <w:i w:val="0"/>
          <w:color w:val="2E74B5"/>
          <w:sz w:val="18"/>
        </w:rPr>
        <w:t xml:space="preserve">● </w:t>
      </w:r>
      <w:r>
        <w:rPr>
          <w:rFonts w:ascii="宋体" w:hAnsi="宋体" w:eastAsia="宋体" w:cs="宋体"/>
          <w:b/>
          <w:i w:val="0"/>
          <w:color w:val="000000"/>
          <w:sz w:val="21"/>
        </w:rPr>
        <w:t>环境自适应：</w:t>
      </w:r>
      <w:r>
        <w:rPr>
          <w:rFonts w:ascii="宋体" w:hAnsi="宋体" w:eastAsia="宋体" w:cs="宋体"/>
          <w:b w:val="0"/>
          <w:i w:val="0"/>
          <w:color w:val="000000"/>
          <w:sz w:val="21"/>
        </w:rPr>
        <w:t>上电后先进行 30 秒环境噪声采样，建立噪声底基线，据此动态调整检测阈值，避免不同房间噪声差异导致灵敏度漂移。</w:t>
      </w:r>
    </w:p>
    <w:p>
      <w:pPr>
        <w:pStyle w:val="Heading2"/>
      </w:pPr>
      <w:r>
        <w:rPr>
          <w:rFonts w:ascii="宋体" w:hAnsi="宋体" w:eastAsia="宋体" w:cs="宋体"/>
          <w:b/>
          <w:i w:val="0"/>
          <w:color w:val="2E74B5"/>
          <w:sz w:val="25"/>
        </w:rPr>
        <w:t>4.2 手机端 APP 方案</w:t>
      </w:r>
    </w:p>
    <w:tbl>
      <w:tblPr>
        <w:tblStyle w:val="TableGrid"/>
        <w:jc w:val="center"/>
        <w:tblLook w:firstColumn="1" w:firstRow="1" w:lastColumn="0" w:lastRow="0" w:noHBand="0" w:noVBand="1" w:val="04A0"/>
        <w:tblCellMar>
          <w:top w:w="60" w:type="dxa"/>
          <w:left w:w="90" w:type="dxa"/>
          <w:bottom w:w="60" w:type="dxa"/>
          <w:right w:w="90" w:type="dxa"/>
        </w:tblCellMar>
        <w:tblW w:w="9129" w:type="dxa"/>
        <w:tblLayout w:type="fixed"/>
      </w:tblPr>
      <w:tblGrid>
        <w:gridCol w:w="1598"/>
        <w:gridCol w:w="3651"/>
        <w:gridCol w:w="3880"/>
      </w:tblGrid>
      <w:tr>
        <w:trPr>
          <w:tblHeader w:val="true"/>
        </w:trPr>
        <w:tc>
          <w:tcPr>
            <w:tcW w:type="dxa" w:w="1597"/>
            <w:shd w:val="clear" w:color="auto" w:fill="1F4E79"/>
          </w:tcPr>
          <w:p>
            <w:pPr>
              <w:spacing w:after="0" w:line="276" w:lineRule="auto"/>
              <w:jc w:val="center"/>
            </w:pPr>
            <w:r/>
            <w:r>
              <w:rPr>
                <w:rFonts w:ascii="宋体" w:hAnsi="宋体" w:eastAsia="宋体" w:cs="宋体"/>
                <w:b/>
                <w:i w:val="0"/>
                <w:color w:val="FFFFFF"/>
                <w:sz w:val="19"/>
              </w:rPr>
              <w:t>模块</w:t>
            </w:r>
          </w:p>
        </w:tc>
        <w:tc>
          <w:tcPr>
            <w:tcW w:type="dxa" w:w="3651"/>
            <w:shd w:val="clear" w:color="auto" w:fill="1F4E79"/>
          </w:tcPr>
          <w:p>
            <w:pPr>
              <w:spacing w:after="0" w:line="276" w:lineRule="auto"/>
              <w:jc w:val="center"/>
            </w:pPr>
            <w:r/>
            <w:r>
              <w:rPr>
                <w:rFonts w:ascii="宋体" w:hAnsi="宋体" w:eastAsia="宋体" w:cs="宋体"/>
                <w:b/>
                <w:i w:val="0"/>
                <w:color w:val="FFFFFF"/>
                <w:sz w:val="19"/>
              </w:rPr>
              <w:t>主要功能</w:t>
            </w:r>
          </w:p>
        </w:tc>
        <w:tc>
          <w:tcPr>
            <w:tcW w:type="dxa" w:w="3879"/>
            <w:shd w:val="clear" w:color="auto" w:fill="1F4E79"/>
          </w:tcPr>
          <w:p>
            <w:pPr>
              <w:spacing w:after="0" w:line="276" w:lineRule="auto"/>
              <w:jc w:val="center"/>
            </w:pPr>
            <w:r/>
            <w:r>
              <w:rPr>
                <w:rFonts w:ascii="宋体" w:hAnsi="宋体" w:eastAsia="宋体" w:cs="宋体"/>
                <w:b/>
                <w:i w:val="0"/>
                <w:color w:val="FFFFFF"/>
                <w:sz w:val="19"/>
              </w:rPr>
              <w:t>关键设计考虑</w:t>
            </w:r>
          </w:p>
        </w:tc>
      </w:tr>
      <w:tr>
        <w:tc>
          <w:tcPr>
            <w:tcW w:type="dxa" w:w="1597"/>
          </w:tcPr>
          <w:p>
            <w:pPr>
              <w:spacing w:after="0" w:line="276" w:lineRule="auto"/>
            </w:pPr>
            <w:r/>
            <w:r>
              <w:rPr>
                <w:rFonts w:ascii="宋体" w:hAnsi="宋体" w:eastAsia="宋体" w:cs="宋体"/>
                <w:b w:val="0"/>
                <w:i w:val="0"/>
                <w:color w:val="000000"/>
                <w:sz w:val="19"/>
              </w:rPr>
              <w:t>采集服务</w:t>
            </w:r>
          </w:p>
        </w:tc>
        <w:tc>
          <w:tcPr>
            <w:tcW w:type="dxa" w:w="3651"/>
          </w:tcPr>
          <w:p>
            <w:pPr>
              <w:spacing w:after="0" w:line="276" w:lineRule="auto"/>
            </w:pPr>
            <w:r/>
            <w:r>
              <w:rPr>
                <w:rFonts w:ascii="宋体" w:hAnsi="宋体" w:eastAsia="宋体" w:cs="宋体"/>
                <w:b w:val="0"/>
                <w:i w:val="0"/>
                <w:color w:val="000000"/>
                <w:sz w:val="19"/>
              </w:rPr>
              <w:t>常听/录音模式控制、降噪与增益归一化、分片上传</w:t>
            </w:r>
          </w:p>
        </w:tc>
        <w:tc>
          <w:tcPr>
            <w:tcW w:type="dxa" w:w="3879"/>
          </w:tcPr>
          <w:p>
            <w:pPr>
              <w:spacing w:after="0" w:line="276" w:lineRule="auto"/>
            </w:pPr>
            <w:r/>
            <w:r>
              <w:rPr>
                <w:rFonts w:ascii="宋体" w:hAnsi="宋体" w:eastAsia="宋体" w:cs="宋体"/>
                <w:b w:val="0"/>
                <w:i w:val="0"/>
                <w:color w:val="000000"/>
                <w:sz w:val="19"/>
              </w:rPr>
              <w:t>后台常驻需处理 Android/iOS 权限与省电策略限制，提供前台服务通知与低功耗参数选项</w:t>
            </w:r>
          </w:p>
        </w:tc>
      </w:tr>
      <w:tr>
        <w:tc>
          <w:tcPr>
            <w:tcW w:type="dxa" w:w="1597"/>
            <w:shd w:val="clear" w:color="auto" w:fill="EDF3F9"/>
          </w:tcPr>
          <w:p>
            <w:pPr>
              <w:spacing w:after="0" w:line="276" w:lineRule="auto"/>
            </w:pPr>
            <w:r/>
            <w:r>
              <w:rPr>
                <w:rFonts w:ascii="宋体" w:hAnsi="宋体" w:eastAsia="宋体" w:cs="宋体"/>
                <w:b w:val="0"/>
                <w:i w:val="0"/>
                <w:color w:val="000000"/>
                <w:sz w:val="19"/>
              </w:rPr>
              <w:t>实时反馈</w:t>
            </w:r>
          </w:p>
        </w:tc>
        <w:tc>
          <w:tcPr>
            <w:tcW w:type="dxa" w:w="3651"/>
            <w:shd w:val="clear" w:color="auto" w:fill="EDF3F9"/>
          </w:tcPr>
          <w:p>
            <w:pPr>
              <w:spacing w:after="0" w:line="276" w:lineRule="auto"/>
            </w:pPr>
            <w:r/>
            <w:r>
              <w:rPr>
                <w:rFonts w:ascii="宋体" w:hAnsi="宋体" w:eastAsia="宋体" w:cs="宋体"/>
                <w:b w:val="0"/>
                <w:i w:val="0"/>
                <w:color w:val="000000"/>
                <w:sz w:val="19"/>
              </w:rPr>
              <w:t>当前环境噪声提示、设备状态、最近一次事件</w:t>
            </w:r>
          </w:p>
        </w:tc>
        <w:tc>
          <w:tcPr>
            <w:tcW w:type="dxa" w:w="3879"/>
            <w:shd w:val="clear" w:color="auto" w:fill="EDF3F9"/>
          </w:tcPr>
          <w:p>
            <w:pPr>
              <w:spacing w:after="0" w:line="276" w:lineRule="auto"/>
            </w:pPr>
            <w:r/>
            <w:r>
              <w:rPr>
                <w:rFonts w:ascii="宋体" w:hAnsi="宋体" w:eastAsia="宋体" w:cs="宋体"/>
                <w:b w:val="0"/>
                <w:i w:val="0"/>
                <w:color w:val="000000"/>
                <w:sz w:val="19"/>
              </w:rPr>
              <w:t>让用户知道设备是否在工作，降低「不知道有没有在测」的不信任感</w:t>
            </w:r>
          </w:p>
        </w:tc>
      </w:tr>
      <w:tr>
        <w:tc>
          <w:tcPr>
            <w:tcW w:type="dxa" w:w="1597"/>
          </w:tcPr>
          <w:p>
            <w:pPr>
              <w:spacing w:after="0" w:line="276" w:lineRule="auto"/>
            </w:pPr>
            <w:r/>
            <w:r>
              <w:rPr>
                <w:rFonts w:ascii="宋体" w:hAnsi="宋体" w:eastAsia="宋体" w:cs="宋体"/>
                <w:b w:val="0"/>
                <w:i w:val="0"/>
                <w:color w:val="000000"/>
                <w:sz w:val="19"/>
              </w:rPr>
              <w:t>趋势看板</w:t>
            </w:r>
          </w:p>
        </w:tc>
        <w:tc>
          <w:tcPr>
            <w:tcW w:type="dxa" w:w="3651"/>
          </w:tcPr>
          <w:p>
            <w:pPr>
              <w:spacing w:after="0" w:line="276" w:lineRule="auto"/>
            </w:pPr>
            <w:r/>
            <w:r>
              <w:rPr>
                <w:rFonts w:ascii="宋体" w:hAnsi="宋体" w:eastAsia="宋体" w:cs="宋体"/>
                <w:b w:val="0"/>
                <w:i w:val="0"/>
                <w:color w:val="000000"/>
                <w:sz w:val="19"/>
              </w:rPr>
              <w:t>日/周/月咳嗽频次、夜间咳嗽指数、呼吸率、喘息发生时段</w:t>
            </w:r>
          </w:p>
        </w:tc>
        <w:tc>
          <w:tcPr>
            <w:tcW w:type="dxa" w:w="3879"/>
          </w:tcPr>
          <w:p>
            <w:pPr>
              <w:spacing w:after="0" w:line="276" w:lineRule="auto"/>
            </w:pPr>
            <w:r/>
            <w:r>
              <w:rPr>
                <w:rFonts w:ascii="宋体" w:hAnsi="宋体" w:eastAsia="宋体" w:cs="宋体"/>
                <w:b w:val="0"/>
                <w:i w:val="0"/>
                <w:color w:val="000000"/>
                <w:sz w:val="19"/>
              </w:rPr>
              <w:t>默认只呈现 2–3 个最重要的指标，避免信息过载；支持一键生成随访报告</w:t>
            </w:r>
          </w:p>
        </w:tc>
      </w:tr>
      <w:tr>
        <w:tc>
          <w:tcPr>
            <w:tcW w:type="dxa" w:w="1597"/>
            <w:shd w:val="clear" w:color="auto" w:fill="EDF3F9"/>
          </w:tcPr>
          <w:p>
            <w:pPr>
              <w:spacing w:after="0" w:line="276" w:lineRule="auto"/>
            </w:pPr>
            <w:r/>
            <w:r>
              <w:rPr>
                <w:rFonts w:ascii="宋体" w:hAnsi="宋体" w:eastAsia="宋体" w:cs="宋体"/>
                <w:b w:val="0"/>
                <w:i w:val="0"/>
                <w:color w:val="000000"/>
                <w:sz w:val="19"/>
              </w:rPr>
              <w:t>预警设置</w:t>
            </w:r>
          </w:p>
        </w:tc>
        <w:tc>
          <w:tcPr>
            <w:tcW w:type="dxa" w:w="3651"/>
            <w:shd w:val="clear" w:color="auto" w:fill="EDF3F9"/>
          </w:tcPr>
          <w:p>
            <w:pPr>
              <w:spacing w:after="0" w:line="276" w:lineRule="auto"/>
            </w:pPr>
            <w:r/>
            <w:r>
              <w:rPr>
                <w:rFonts w:ascii="宋体" w:hAnsi="宋体" w:eastAsia="宋体" w:cs="宋体"/>
                <w:b w:val="0"/>
                <w:i w:val="0"/>
                <w:color w:val="000000"/>
                <w:sz w:val="19"/>
              </w:rPr>
              <w:t>阈值与基线偏离双重触发，家属端同步</w:t>
            </w:r>
          </w:p>
        </w:tc>
        <w:tc>
          <w:tcPr>
            <w:tcW w:type="dxa" w:w="3879"/>
            <w:shd w:val="clear" w:color="auto" w:fill="EDF3F9"/>
          </w:tcPr>
          <w:p>
            <w:pPr>
              <w:spacing w:after="0" w:line="276" w:lineRule="auto"/>
            </w:pPr>
            <w:r/>
            <w:r>
              <w:rPr>
                <w:rFonts w:ascii="宋体" w:hAnsi="宋体" w:eastAsia="宋体" w:cs="宋体"/>
                <w:b w:val="0"/>
                <w:i w:val="0"/>
                <w:color w:val="000000"/>
                <w:sz w:val="19"/>
              </w:rPr>
              <w:t>采用「个人基线 + 绝对阈值」双重判定，减少个体差异导致的误报</w:t>
            </w:r>
          </w:p>
        </w:tc>
      </w:tr>
      <w:tr>
        <w:tc>
          <w:tcPr>
            <w:tcW w:type="dxa" w:w="1597"/>
          </w:tcPr>
          <w:p>
            <w:pPr>
              <w:spacing w:after="0" w:line="276" w:lineRule="auto"/>
            </w:pPr>
            <w:r/>
            <w:r>
              <w:rPr>
                <w:rFonts w:ascii="宋体" w:hAnsi="宋体" w:eastAsia="宋体" w:cs="宋体"/>
                <w:b w:val="0"/>
                <w:i w:val="0"/>
                <w:color w:val="000000"/>
                <w:sz w:val="19"/>
              </w:rPr>
              <w:t>日志与依从性</w:t>
            </w:r>
          </w:p>
        </w:tc>
        <w:tc>
          <w:tcPr>
            <w:tcW w:type="dxa" w:w="3651"/>
          </w:tcPr>
          <w:p>
            <w:pPr>
              <w:spacing w:after="0" w:line="276" w:lineRule="auto"/>
            </w:pPr>
            <w:r/>
            <w:r>
              <w:rPr>
                <w:rFonts w:ascii="宋体" w:hAnsi="宋体" w:eastAsia="宋体" w:cs="宋体"/>
                <w:b w:val="0"/>
                <w:i w:val="0"/>
                <w:color w:val="000000"/>
                <w:sz w:val="19"/>
              </w:rPr>
              <w:t>用药记录、症状自评、峰值流速录入（可选）</w:t>
            </w:r>
          </w:p>
        </w:tc>
        <w:tc>
          <w:tcPr>
            <w:tcW w:type="dxa" w:w="3879"/>
          </w:tcPr>
          <w:p>
            <w:pPr>
              <w:spacing w:after="0" w:line="276" w:lineRule="auto"/>
            </w:pPr>
            <w:r/>
            <w:r>
              <w:rPr>
                <w:rFonts w:ascii="宋体" w:hAnsi="宋体" w:eastAsia="宋体" w:cs="宋体"/>
                <w:b w:val="0"/>
                <w:i w:val="0"/>
                <w:color w:val="000000"/>
                <w:sz w:val="19"/>
              </w:rPr>
              <w:t>与声学指标同屏对照，帮助医患共同判断症状与用药的关系</w:t>
            </w:r>
          </w:p>
        </w:tc>
      </w:tr>
      <w:tr>
        <w:tc>
          <w:tcPr>
            <w:tcW w:type="dxa" w:w="1597"/>
            <w:shd w:val="clear" w:color="auto" w:fill="EDF3F9"/>
          </w:tcPr>
          <w:p>
            <w:pPr>
              <w:spacing w:after="0" w:line="276" w:lineRule="auto"/>
            </w:pPr>
            <w:r/>
            <w:r>
              <w:rPr>
                <w:rFonts w:ascii="宋体" w:hAnsi="宋体" w:eastAsia="宋体" w:cs="宋体"/>
                <w:b w:val="0"/>
                <w:i w:val="0"/>
                <w:color w:val="000000"/>
                <w:sz w:val="19"/>
              </w:rPr>
              <w:t>隐私中心</w:t>
            </w:r>
          </w:p>
        </w:tc>
        <w:tc>
          <w:tcPr>
            <w:tcW w:type="dxa" w:w="3651"/>
            <w:shd w:val="clear" w:color="auto" w:fill="EDF3F9"/>
          </w:tcPr>
          <w:p>
            <w:pPr>
              <w:spacing w:after="0" w:line="276" w:lineRule="auto"/>
            </w:pPr>
            <w:r/>
            <w:r>
              <w:rPr>
                <w:rFonts w:ascii="宋体" w:hAnsi="宋体" w:eastAsia="宋体" w:cs="宋体"/>
                <w:b w:val="0"/>
                <w:i w:val="0"/>
                <w:color w:val="000000"/>
                <w:sz w:val="19"/>
              </w:rPr>
              <w:t>数据授权管理、录音开关、数据导出与删除</w:t>
            </w:r>
          </w:p>
        </w:tc>
        <w:tc>
          <w:tcPr>
            <w:tcW w:type="dxa" w:w="3879"/>
            <w:shd w:val="clear" w:color="auto" w:fill="EDF3F9"/>
          </w:tcPr>
          <w:p>
            <w:pPr>
              <w:spacing w:after="0" w:line="276" w:lineRule="auto"/>
            </w:pPr>
            <w:r/>
            <w:r>
              <w:rPr>
                <w:rFonts w:ascii="宋体" w:hAnsi="宋体" w:eastAsia="宋体" w:cs="宋体"/>
                <w:b w:val="0"/>
                <w:i w:val="0"/>
                <w:color w:val="000000"/>
                <w:sz w:val="19"/>
              </w:rPr>
              <w:t>提供一键关闭录音与删除历史数据的入口，是获取用户信任的必要设计</w:t>
            </w:r>
          </w:p>
        </w:tc>
      </w:tr>
    </w:tbl>
    <w:p>
      <w:pPr>
        <w:spacing w:after="40"/>
      </w:pPr>
    </w:p>
    <w:p>
      <w:pPr>
        <w:pStyle w:val="Heading2"/>
      </w:pPr>
      <w:r>
        <w:rPr>
          <w:rFonts w:ascii="宋体" w:hAnsi="宋体" w:eastAsia="宋体" w:cs="宋体"/>
          <w:b/>
          <w:i w:val="0"/>
          <w:color w:val="2E74B5"/>
          <w:sz w:val="25"/>
        </w:rPr>
        <w:t>4.3 云端管理平台</w:t>
      </w:r>
    </w:p>
    <w:tbl>
      <w:tblPr>
        <w:tblStyle w:val="TableGrid"/>
        <w:jc w:val="center"/>
        <w:tblLook w:firstColumn="1" w:firstRow="1" w:lastColumn="0" w:lastRow="0" w:noHBand="0" w:noVBand="1" w:val="04A0"/>
        <w:tblCellMar>
          <w:top w:w="60" w:type="dxa"/>
          <w:left w:w="90" w:type="dxa"/>
          <w:bottom w:w="60" w:type="dxa"/>
          <w:right w:w="90" w:type="dxa"/>
        </w:tblCellMar>
        <w:tblW w:w="9129" w:type="dxa"/>
        <w:tblLayout w:type="fixed"/>
      </w:tblPr>
      <w:tblGrid>
        <w:gridCol w:w="1826"/>
        <w:gridCol w:w="3423"/>
        <w:gridCol w:w="3880"/>
      </w:tblGrid>
      <w:tr>
        <w:trPr>
          <w:tblHeader w:val="true"/>
        </w:trPr>
        <w:tc>
          <w:tcPr>
            <w:tcW w:type="dxa" w:w="1826"/>
            <w:shd w:val="clear" w:color="auto" w:fill="1F4E79"/>
          </w:tcPr>
          <w:p>
            <w:pPr>
              <w:spacing w:after="0" w:line="276" w:lineRule="auto"/>
              <w:jc w:val="center"/>
            </w:pPr>
            <w:r/>
            <w:r>
              <w:rPr>
                <w:rFonts w:ascii="宋体" w:hAnsi="宋体" w:eastAsia="宋体" w:cs="宋体"/>
                <w:b/>
                <w:i w:val="0"/>
                <w:color w:val="FFFFFF"/>
                <w:sz w:val="19"/>
              </w:rPr>
              <w:t>模块</w:t>
            </w:r>
          </w:p>
        </w:tc>
        <w:tc>
          <w:tcPr>
            <w:tcW w:type="dxa" w:w="3423"/>
            <w:shd w:val="clear" w:color="auto" w:fill="1F4E79"/>
          </w:tcPr>
          <w:p>
            <w:pPr>
              <w:spacing w:after="0" w:line="276" w:lineRule="auto"/>
              <w:jc w:val="center"/>
            </w:pPr>
            <w:r/>
            <w:r>
              <w:rPr>
                <w:rFonts w:ascii="宋体" w:hAnsi="宋体" w:eastAsia="宋体" w:cs="宋体"/>
                <w:b/>
                <w:i w:val="0"/>
                <w:color w:val="FFFFFF"/>
                <w:sz w:val="19"/>
              </w:rPr>
              <w:t>主要功能</w:t>
            </w:r>
          </w:p>
        </w:tc>
        <w:tc>
          <w:tcPr>
            <w:tcW w:type="dxa" w:w="3879"/>
            <w:shd w:val="clear" w:color="auto" w:fill="1F4E79"/>
          </w:tcPr>
          <w:p>
            <w:pPr>
              <w:spacing w:after="0" w:line="276" w:lineRule="auto"/>
              <w:jc w:val="center"/>
            </w:pPr>
            <w:r/>
            <w:r>
              <w:rPr>
                <w:rFonts w:ascii="宋体" w:hAnsi="宋体" w:eastAsia="宋体" w:cs="宋体"/>
                <w:b/>
                <w:i w:val="0"/>
                <w:color w:val="FFFFFF"/>
                <w:sz w:val="19"/>
              </w:rPr>
              <w:t>技术要点</w:t>
            </w:r>
          </w:p>
        </w:tc>
      </w:tr>
      <w:tr>
        <w:tc>
          <w:tcPr>
            <w:tcW w:type="dxa" w:w="1826"/>
          </w:tcPr>
          <w:p>
            <w:pPr>
              <w:spacing w:after="0" w:line="276" w:lineRule="auto"/>
            </w:pPr>
            <w:r/>
            <w:r>
              <w:rPr>
                <w:rFonts w:ascii="宋体" w:hAnsi="宋体" w:eastAsia="宋体" w:cs="宋体"/>
                <w:b w:val="0"/>
                <w:i w:val="0"/>
                <w:color w:val="000000"/>
                <w:sz w:val="19"/>
              </w:rPr>
              <w:t>设备管理</w:t>
            </w:r>
          </w:p>
        </w:tc>
        <w:tc>
          <w:tcPr>
            <w:tcW w:type="dxa" w:w="3423"/>
          </w:tcPr>
          <w:p>
            <w:pPr>
              <w:spacing w:after="0" w:line="276" w:lineRule="auto"/>
            </w:pPr>
            <w:r/>
            <w:r>
              <w:rPr>
                <w:rFonts w:ascii="宋体" w:hAnsi="宋体" w:eastAsia="宋体" w:cs="宋体"/>
                <w:b w:val="0"/>
                <w:i w:val="0"/>
                <w:color w:val="000000"/>
                <w:sz w:val="19"/>
              </w:rPr>
              <w:t>设备注册、绑定、在线状态、固件与模型版本管理</w:t>
            </w:r>
          </w:p>
        </w:tc>
        <w:tc>
          <w:tcPr>
            <w:tcW w:type="dxa" w:w="3879"/>
          </w:tcPr>
          <w:p>
            <w:pPr>
              <w:spacing w:after="0" w:line="276" w:lineRule="auto"/>
            </w:pPr>
            <w:r/>
            <w:r>
              <w:rPr>
                <w:rFonts w:ascii="宋体" w:hAnsi="宋体" w:eastAsia="宋体" w:cs="宋体"/>
                <w:b w:val="0"/>
                <w:i w:val="0"/>
                <w:color w:val="000000"/>
                <w:sz w:val="19"/>
              </w:rPr>
              <w:t>支持模型灰度发布与回滚；医疗器械版本需锁定算法版本，禁止静默更新，保留可回滚的历史版本与每次发布的评估报告</w:t>
            </w:r>
          </w:p>
        </w:tc>
      </w:tr>
      <w:tr>
        <w:tc>
          <w:tcPr>
            <w:tcW w:type="dxa" w:w="1826"/>
            <w:shd w:val="clear" w:color="auto" w:fill="EDF3F9"/>
          </w:tcPr>
          <w:p>
            <w:pPr>
              <w:spacing w:after="0" w:line="276" w:lineRule="auto"/>
            </w:pPr>
            <w:r/>
            <w:r>
              <w:rPr>
                <w:rFonts w:ascii="宋体" w:hAnsi="宋体" w:eastAsia="宋体" w:cs="宋体"/>
                <w:b w:val="0"/>
                <w:i w:val="0"/>
                <w:color w:val="000000"/>
                <w:sz w:val="19"/>
              </w:rPr>
              <w:t>数据接入</w:t>
            </w:r>
          </w:p>
        </w:tc>
        <w:tc>
          <w:tcPr>
            <w:tcW w:type="dxa" w:w="3423"/>
            <w:shd w:val="clear" w:color="auto" w:fill="EDF3F9"/>
          </w:tcPr>
          <w:p>
            <w:pPr>
              <w:spacing w:after="0" w:line="276" w:lineRule="auto"/>
            </w:pPr>
            <w:r/>
            <w:r>
              <w:rPr>
                <w:rFonts w:ascii="宋体" w:hAnsi="宋体" w:eastAsia="宋体" w:cs="宋体"/>
                <w:b w:val="0"/>
                <w:i w:val="0"/>
                <w:color w:val="000000"/>
                <w:sz w:val="19"/>
              </w:rPr>
              <w:t>指标与事件摘要入库、时序数据聚合</w:t>
            </w:r>
          </w:p>
        </w:tc>
        <w:tc>
          <w:tcPr>
            <w:tcW w:type="dxa" w:w="3879"/>
            <w:shd w:val="clear" w:color="auto" w:fill="EDF3F9"/>
          </w:tcPr>
          <w:p>
            <w:pPr>
              <w:spacing w:after="0" w:line="276" w:lineRule="auto"/>
            </w:pPr>
            <w:r/>
            <w:r>
              <w:rPr>
                <w:rFonts w:ascii="宋体" w:hAnsi="宋体" w:eastAsia="宋体" w:cs="宋体"/>
                <w:b w:val="0"/>
                <w:i w:val="0"/>
                <w:color w:val="000000"/>
                <w:sz w:val="19"/>
              </w:rPr>
              <w:t>采用消息队列削峰；事件片段单独加密存储并设置留存期限；原始音频不上云</w:t>
            </w:r>
          </w:p>
        </w:tc>
      </w:tr>
      <w:tr>
        <w:tc>
          <w:tcPr>
            <w:tcW w:type="dxa" w:w="1826"/>
          </w:tcPr>
          <w:p>
            <w:pPr>
              <w:spacing w:after="0" w:line="276" w:lineRule="auto"/>
            </w:pPr>
            <w:r/>
            <w:r>
              <w:rPr>
                <w:rFonts w:ascii="宋体" w:hAnsi="宋体" w:eastAsia="宋体" w:cs="宋体"/>
                <w:b w:val="0"/>
                <w:i w:val="0"/>
                <w:color w:val="000000"/>
                <w:sz w:val="19"/>
              </w:rPr>
              <w:t>分析服务</w:t>
            </w:r>
          </w:p>
        </w:tc>
        <w:tc>
          <w:tcPr>
            <w:tcW w:type="dxa" w:w="3423"/>
          </w:tcPr>
          <w:p>
            <w:pPr>
              <w:spacing w:after="0" w:line="276" w:lineRule="auto"/>
            </w:pPr>
            <w:r/>
            <w:r>
              <w:rPr>
                <w:rFonts w:ascii="宋体" w:hAnsi="宋体" w:eastAsia="宋体" w:cs="宋体"/>
                <w:b w:val="0"/>
                <w:i w:val="0"/>
                <w:color w:val="000000"/>
                <w:sz w:val="19"/>
              </w:rPr>
              <w:t>个体化基线建模、趋势与异常检测、报告生成</w:t>
            </w:r>
          </w:p>
        </w:tc>
        <w:tc>
          <w:tcPr>
            <w:tcW w:type="dxa" w:w="3879"/>
          </w:tcPr>
          <w:p>
            <w:pPr>
              <w:spacing w:after="0" w:line="276" w:lineRule="auto"/>
            </w:pPr>
            <w:r/>
            <w:r>
              <w:rPr>
                <w:rFonts w:ascii="宋体" w:hAnsi="宋体" w:eastAsia="宋体" w:cs="宋体"/>
                <w:b w:val="0"/>
                <w:i w:val="0"/>
                <w:color w:val="000000"/>
                <w:sz w:val="19"/>
              </w:rPr>
              <w:t>基线模型按用户历史滚动更新，避免用群体阈值判断个体</w:t>
            </w:r>
          </w:p>
        </w:tc>
      </w:tr>
      <w:tr>
        <w:tc>
          <w:tcPr>
            <w:tcW w:type="dxa" w:w="1826"/>
            <w:shd w:val="clear" w:color="auto" w:fill="EDF3F9"/>
          </w:tcPr>
          <w:p>
            <w:pPr>
              <w:spacing w:after="0" w:line="276" w:lineRule="auto"/>
            </w:pPr>
            <w:r/>
            <w:r>
              <w:rPr>
                <w:rFonts w:ascii="宋体" w:hAnsi="宋体" w:eastAsia="宋体" w:cs="宋体"/>
                <w:b w:val="0"/>
                <w:i w:val="0"/>
                <w:color w:val="000000"/>
                <w:sz w:val="19"/>
              </w:rPr>
              <w:t>模型平台</w:t>
            </w:r>
          </w:p>
        </w:tc>
        <w:tc>
          <w:tcPr>
            <w:tcW w:type="dxa" w:w="3423"/>
            <w:shd w:val="clear" w:color="auto" w:fill="EDF3F9"/>
          </w:tcPr>
          <w:p>
            <w:pPr>
              <w:spacing w:after="0" w:line="276" w:lineRule="auto"/>
            </w:pPr>
            <w:r/>
            <w:r>
              <w:rPr>
                <w:rFonts w:ascii="宋体" w:hAnsi="宋体" w:eastAsia="宋体" w:cs="宋体"/>
                <w:b w:val="0"/>
                <w:i w:val="0"/>
                <w:color w:val="000000"/>
                <w:sz w:val="19"/>
              </w:rPr>
              <w:t>训练数据管理、实验追踪、模型评估与转换</w:t>
            </w:r>
          </w:p>
        </w:tc>
        <w:tc>
          <w:tcPr>
            <w:tcW w:type="dxa" w:w="3879"/>
            <w:shd w:val="clear" w:color="auto" w:fill="EDF3F9"/>
          </w:tcPr>
          <w:p>
            <w:pPr>
              <w:spacing w:after="0" w:line="276" w:lineRule="auto"/>
            </w:pPr>
            <w:r/>
            <w:r>
              <w:rPr>
                <w:rFonts w:ascii="宋体" w:hAnsi="宋体" w:eastAsia="宋体" w:cs="宋体"/>
                <w:b w:val="0"/>
                <w:i w:val="0"/>
                <w:color w:val="000000"/>
                <w:sz w:val="19"/>
              </w:rPr>
              <w:t>打通从标注到 RKNN 转换的流水线，缩短算法迭代周期</w:t>
            </w:r>
          </w:p>
        </w:tc>
      </w:tr>
      <w:tr>
        <w:tc>
          <w:tcPr>
            <w:tcW w:type="dxa" w:w="1826"/>
          </w:tcPr>
          <w:p>
            <w:pPr>
              <w:spacing w:after="0" w:line="276" w:lineRule="auto"/>
            </w:pPr>
            <w:r/>
            <w:r>
              <w:rPr>
                <w:rFonts w:ascii="宋体" w:hAnsi="宋体" w:eastAsia="宋体" w:cs="宋体"/>
                <w:b w:val="0"/>
                <w:i w:val="0"/>
                <w:color w:val="000000"/>
                <w:sz w:val="19"/>
              </w:rPr>
              <w:t>开放与对接</w:t>
            </w:r>
          </w:p>
        </w:tc>
        <w:tc>
          <w:tcPr>
            <w:tcW w:type="dxa" w:w="3423"/>
          </w:tcPr>
          <w:p>
            <w:pPr>
              <w:spacing w:after="0" w:line="276" w:lineRule="auto"/>
            </w:pPr>
            <w:r/>
            <w:r>
              <w:rPr>
                <w:rFonts w:ascii="宋体" w:hAnsi="宋体" w:eastAsia="宋体" w:cs="宋体"/>
                <w:b w:val="0"/>
                <w:i w:val="0"/>
                <w:color w:val="000000"/>
                <w:sz w:val="19"/>
              </w:rPr>
              <w:t>HL7/FHIR 接口、HIS/EMR 对接、药企数据交付</w:t>
            </w:r>
          </w:p>
        </w:tc>
        <w:tc>
          <w:tcPr>
            <w:tcW w:type="dxa" w:w="3879"/>
          </w:tcPr>
          <w:p>
            <w:pPr>
              <w:spacing w:after="0" w:line="276" w:lineRule="auto"/>
            </w:pPr>
            <w:r/>
            <w:r>
              <w:rPr>
                <w:rFonts w:ascii="宋体" w:hAnsi="宋体" w:eastAsia="宋体" w:cs="宋体"/>
                <w:b w:val="0"/>
                <w:i w:val="0"/>
                <w:color w:val="000000"/>
                <w:sz w:val="19"/>
              </w:rPr>
              <w:t>按项目隔离数据，提供审计日志，满足临床研究的可追溯要求</w:t>
            </w:r>
          </w:p>
        </w:tc>
      </w:tr>
    </w:tbl>
    <w:p>
      <w:pPr>
        <w:spacing w:after="40"/>
      </w:pPr>
    </w:p>
    <w:p>
      <w:pPr>
        <w:pStyle w:val="Heading2"/>
      </w:pPr>
      <w:r>
        <w:rPr>
          <w:rFonts w:ascii="宋体" w:hAnsi="宋体" w:eastAsia="宋体" w:cs="宋体"/>
          <w:b/>
          <w:i w:val="0"/>
          <w:color w:val="2E74B5"/>
          <w:sz w:val="25"/>
        </w:rPr>
        <w:t>4.4 应用界面与交互设计</w:t>
      </w:r>
    </w:p>
    <w:tbl>
      <w:tblPr>
        <w:tblStyle w:val="TableGrid"/>
        <w:jc w:val="center"/>
        <w:tblLook w:firstColumn="1" w:firstRow="1" w:lastColumn="0" w:lastRow="0" w:noHBand="0" w:noVBand="1" w:val="04A0"/>
        <w:tblCellMar>
          <w:top w:w="60" w:type="dxa"/>
          <w:left w:w="90" w:type="dxa"/>
          <w:bottom w:w="60" w:type="dxa"/>
          <w:right w:w="90" w:type="dxa"/>
        </w:tblCellMar>
        <w:tblW w:w="9129" w:type="dxa"/>
        <w:tblLayout w:type="fixed"/>
      </w:tblPr>
      <w:tblGrid>
        <w:gridCol w:w="1369"/>
        <w:gridCol w:w="3766"/>
        <w:gridCol w:w="3994"/>
      </w:tblGrid>
      <w:tr>
        <w:trPr>
          <w:tblHeader w:val="true"/>
        </w:trPr>
        <w:tc>
          <w:tcPr>
            <w:tcW w:type="dxa" w:w="1369"/>
            <w:shd w:val="clear" w:color="auto" w:fill="1F4E79"/>
          </w:tcPr>
          <w:p>
            <w:pPr>
              <w:spacing w:after="0" w:line="276" w:lineRule="auto"/>
              <w:jc w:val="center"/>
            </w:pPr>
            <w:r/>
            <w:r>
              <w:rPr>
                <w:rFonts w:ascii="宋体" w:hAnsi="宋体" w:eastAsia="宋体" w:cs="宋体"/>
                <w:b/>
                <w:i w:val="0"/>
                <w:color w:val="FFFFFF"/>
                <w:sz w:val="19"/>
              </w:rPr>
              <w:t>端</w:t>
            </w:r>
          </w:p>
        </w:tc>
        <w:tc>
          <w:tcPr>
            <w:tcW w:type="dxa" w:w="3765"/>
            <w:shd w:val="clear" w:color="auto" w:fill="1F4E79"/>
          </w:tcPr>
          <w:p>
            <w:pPr>
              <w:spacing w:after="0" w:line="276" w:lineRule="auto"/>
              <w:jc w:val="center"/>
            </w:pPr>
            <w:r/>
            <w:r>
              <w:rPr>
                <w:rFonts w:ascii="宋体" w:hAnsi="宋体" w:eastAsia="宋体" w:cs="宋体"/>
                <w:b/>
                <w:i w:val="0"/>
                <w:color w:val="FFFFFF"/>
                <w:sz w:val="19"/>
              </w:rPr>
              <w:t>核心界面</w:t>
            </w:r>
          </w:p>
        </w:tc>
        <w:tc>
          <w:tcPr>
            <w:tcW w:type="dxa" w:w="3993"/>
            <w:shd w:val="clear" w:color="auto" w:fill="1F4E79"/>
          </w:tcPr>
          <w:p>
            <w:pPr>
              <w:spacing w:after="0" w:line="276" w:lineRule="auto"/>
              <w:jc w:val="center"/>
            </w:pPr>
            <w:r/>
            <w:r>
              <w:rPr>
                <w:rFonts w:ascii="宋体" w:hAnsi="宋体" w:eastAsia="宋体" w:cs="宋体"/>
                <w:b/>
                <w:i w:val="0"/>
                <w:color w:val="FFFFFF"/>
                <w:sz w:val="19"/>
              </w:rPr>
              <w:t>交互要点</w:t>
            </w:r>
          </w:p>
        </w:tc>
      </w:tr>
      <w:tr>
        <w:tc>
          <w:tcPr>
            <w:tcW w:type="dxa" w:w="1369"/>
          </w:tcPr>
          <w:p>
            <w:pPr>
              <w:spacing w:after="0" w:line="276" w:lineRule="auto"/>
            </w:pPr>
            <w:r/>
            <w:r>
              <w:rPr>
                <w:rFonts w:ascii="宋体" w:hAnsi="宋体" w:eastAsia="宋体" w:cs="宋体"/>
                <w:b w:val="0"/>
                <w:i w:val="0"/>
                <w:color w:val="000000"/>
                <w:sz w:val="19"/>
              </w:rPr>
              <w:t>患者端</w:t>
            </w:r>
          </w:p>
        </w:tc>
        <w:tc>
          <w:tcPr>
            <w:tcW w:type="dxa" w:w="3765"/>
          </w:tcPr>
          <w:p>
            <w:pPr>
              <w:spacing w:after="0" w:line="276" w:lineRule="auto"/>
            </w:pPr>
            <w:r/>
            <w:r>
              <w:rPr>
                <w:rFonts w:ascii="宋体" w:hAnsi="宋体" w:eastAsia="宋体" w:cs="宋体"/>
                <w:b w:val="0"/>
                <w:i w:val="0"/>
                <w:color w:val="000000"/>
                <w:sz w:val="19"/>
              </w:rPr>
              <w:t>首页状态卡、趋势图、事件时间轴、报告页</w:t>
            </w:r>
          </w:p>
        </w:tc>
        <w:tc>
          <w:tcPr>
            <w:tcW w:type="dxa" w:w="3993"/>
          </w:tcPr>
          <w:p>
            <w:pPr>
              <w:spacing w:after="0" w:line="276" w:lineRule="auto"/>
            </w:pPr>
            <w:r/>
            <w:r>
              <w:rPr>
                <w:rFonts w:ascii="宋体" w:hAnsi="宋体" w:eastAsia="宋体" w:cs="宋体"/>
                <w:b w:val="0"/>
                <w:i w:val="0"/>
                <w:color w:val="000000"/>
                <w:sz w:val="19"/>
              </w:rPr>
              <w:t>大字号、少按钮；趋势图默认展示「与上周对比」的箭头结论而非原始曲线</w:t>
            </w:r>
          </w:p>
        </w:tc>
      </w:tr>
      <w:tr>
        <w:tc>
          <w:tcPr>
            <w:tcW w:type="dxa" w:w="1369"/>
            <w:shd w:val="clear" w:color="auto" w:fill="EDF3F9"/>
          </w:tcPr>
          <w:p>
            <w:pPr>
              <w:spacing w:after="0" w:line="276" w:lineRule="auto"/>
            </w:pPr>
            <w:r/>
            <w:r>
              <w:rPr>
                <w:rFonts w:ascii="宋体" w:hAnsi="宋体" w:eastAsia="宋体" w:cs="宋体"/>
                <w:b w:val="0"/>
                <w:i w:val="0"/>
                <w:color w:val="000000"/>
                <w:sz w:val="19"/>
              </w:rPr>
              <w:t>医生端</w:t>
            </w:r>
          </w:p>
        </w:tc>
        <w:tc>
          <w:tcPr>
            <w:tcW w:type="dxa" w:w="3765"/>
            <w:shd w:val="clear" w:color="auto" w:fill="EDF3F9"/>
          </w:tcPr>
          <w:p>
            <w:pPr>
              <w:spacing w:after="0" w:line="276" w:lineRule="auto"/>
            </w:pPr>
            <w:r/>
            <w:r>
              <w:rPr>
                <w:rFonts w:ascii="宋体" w:hAnsi="宋体" w:eastAsia="宋体" w:cs="宋体"/>
                <w:b w:val="0"/>
                <w:i w:val="0"/>
                <w:color w:val="000000"/>
                <w:sz w:val="19"/>
              </w:rPr>
              <w:t>患者队列、个体详情、事件回放与标注、报告导出</w:t>
            </w:r>
          </w:p>
        </w:tc>
        <w:tc>
          <w:tcPr>
            <w:tcW w:type="dxa" w:w="3993"/>
            <w:shd w:val="clear" w:color="auto" w:fill="EDF3F9"/>
          </w:tcPr>
          <w:p>
            <w:pPr>
              <w:spacing w:after="0" w:line="276" w:lineRule="auto"/>
            </w:pPr>
            <w:r/>
            <w:r>
              <w:rPr>
                <w:rFonts w:ascii="宋体" w:hAnsi="宋体" w:eastAsia="宋体" w:cs="宋体"/>
                <w:b w:val="0"/>
                <w:i w:val="0"/>
                <w:color w:val="000000"/>
                <w:sz w:val="19"/>
              </w:rPr>
              <w:t>支持按咳嗽趋势排序筛出恶化患者；事件回放支持听音频并标注误报，形成标注回流</w:t>
            </w:r>
          </w:p>
        </w:tc>
      </w:tr>
      <w:tr>
        <w:tc>
          <w:tcPr>
            <w:tcW w:type="dxa" w:w="1369"/>
          </w:tcPr>
          <w:p>
            <w:pPr>
              <w:spacing w:after="0" w:line="276" w:lineRule="auto"/>
            </w:pPr>
            <w:r/>
            <w:r>
              <w:rPr>
                <w:rFonts w:ascii="宋体" w:hAnsi="宋体" w:eastAsia="宋体" w:cs="宋体"/>
                <w:b w:val="0"/>
                <w:i w:val="0"/>
                <w:color w:val="000000"/>
                <w:sz w:val="19"/>
              </w:rPr>
              <w:t>家属端</w:t>
            </w:r>
          </w:p>
        </w:tc>
        <w:tc>
          <w:tcPr>
            <w:tcW w:type="dxa" w:w="3765"/>
          </w:tcPr>
          <w:p>
            <w:pPr>
              <w:spacing w:after="0" w:line="276" w:lineRule="auto"/>
            </w:pPr>
            <w:r/>
            <w:r>
              <w:rPr>
                <w:rFonts w:ascii="宋体" w:hAnsi="宋体" w:eastAsia="宋体" w:cs="宋体"/>
                <w:b w:val="0"/>
                <w:i w:val="0"/>
                <w:color w:val="000000"/>
                <w:sz w:val="19"/>
              </w:rPr>
              <w:t>告警推送、简要状态</w:t>
            </w:r>
          </w:p>
        </w:tc>
        <w:tc>
          <w:tcPr>
            <w:tcW w:type="dxa" w:w="3993"/>
          </w:tcPr>
          <w:p>
            <w:pPr>
              <w:spacing w:after="0" w:line="276" w:lineRule="auto"/>
            </w:pPr>
            <w:r/>
            <w:r>
              <w:rPr>
                <w:rFonts w:ascii="宋体" w:hAnsi="宋体" w:eastAsia="宋体" w:cs="宋体"/>
                <w:b w:val="0"/>
                <w:i w:val="0"/>
                <w:color w:val="000000"/>
                <w:sz w:val="19"/>
              </w:rPr>
              <w:t>只推送需要行动的信息，避免过度打扰导致关闭通知</w:t>
            </w:r>
          </w:p>
        </w:tc>
      </w:tr>
      <w:tr>
        <w:tc>
          <w:tcPr>
            <w:tcW w:type="dxa" w:w="1369"/>
            <w:shd w:val="clear" w:color="auto" w:fill="EDF3F9"/>
          </w:tcPr>
          <w:p>
            <w:pPr>
              <w:spacing w:after="0" w:line="276" w:lineRule="auto"/>
            </w:pPr>
            <w:r/>
            <w:r>
              <w:rPr>
                <w:rFonts w:ascii="宋体" w:hAnsi="宋体" w:eastAsia="宋体" w:cs="宋体"/>
                <w:b w:val="0"/>
                <w:i w:val="0"/>
                <w:color w:val="000000"/>
                <w:sz w:val="19"/>
              </w:rPr>
              <w:t>管理端</w:t>
            </w:r>
          </w:p>
        </w:tc>
        <w:tc>
          <w:tcPr>
            <w:tcW w:type="dxa" w:w="3765"/>
            <w:shd w:val="clear" w:color="auto" w:fill="EDF3F9"/>
          </w:tcPr>
          <w:p>
            <w:pPr>
              <w:spacing w:after="0" w:line="276" w:lineRule="auto"/>
            </w:pPr>
            <w:r/>
            <w:r>
              <w:rPr>
                <w:rFonts w:ascii="宋体" w:hAnsi="宋体" w:eastAsia="宋体" w:cs="宋体"/>
                <w:b w:val="0"/>
                <w:i w:val="0"/>
                <w:color w:val="000000"/>
                <w:sz w:val="19"/>
              </w:rPr>
              <w:t>设备与用户管理、数据授权审计、运营看板</w:t>
            </w:r>
          </w:p>
        </w:tc>
        <w:tc>
          <w:tcPr>
            <w:tcW w:type="dxa" w:w="3993"/>
            <w:shd w:val="clear" w:color="auto" w:fill="EDF3F9"/>
          </w:tcPr>
          <w:p>
            <w:pPr>
              <w:spacing w:after="0" w:line="276" w:lineRule="auto"/>
            </w:pPr>
            <w:r/>
            <w:r>
              <w:rPr>
                <w:rFonts w:ascii="宋体" w:hAnsi="宋体" w:eastAsia="宋体" w:cs="宋体"/>
                <w:b w:val="0"/>
                <w:i w:val="0"/>
                <w:color w:val="000000"/>
                <w:sz w:val="19"/>
              </w:rPr>
              <w:t>满足合规审计与运营分析双重需要</w:t>
            </w:r>
          </w:p>
        </w:tc>
      </w:tr>
    </w:tbl>
    <w:p>
      <w:pPr>
        <w:spacing w:after="40"/>
      </w:pPr>
    </w:p>
    <w:p>
      <w:pPr>
        <w:pStyle w:val="Heading2"/>
      </w:pPr>
      <w:r>
        <w:rPr>
          <w:rFonts w:ascii="宋体" w:hAnsi="宋体" w:eastAsia="宋体" w:cs="宋体"/>
          <w:b/>
          <w:i w:val="0"/>
          <w:color w:val="2E74B5"/>
          <w:sz w:val="25"/>
        </w:rPr>
        <w:t>4.5 安全与隐私设计</w:t>
      </w:r>
    </w:p>
    <w:p>
      <w:pPr>
        <w:spacing w:after="40" w:line="324" w:lineRule="auto"/>
        <w:ind w:left="425" w:hanging="283"/>
      </w:pPr>
      <w:r>
        <w:rPr>
          <w:rFonts w:ascii="宋体" w:hAnsi="宋体" w:eastAsia="宋体" w:cs="宋体"/>
          <w:b w:val="0"/>
          <w:i w:val="0"/>
          <w:color w:val="2E74B5"/>
          <w:sz w:val="18"/>
        </w:rPr>
        <w:t xml:space="preserve">● </w:t>
      </w:r>
      <w:r>
        <w:rPr>
          <w:rFonts w:ascii="宋体" w:hAnsi="宋体" w:eastAsia="宋体" w:cs="宋体"/>
          <w:b/>
          <w:i w:val="0"/>
          <w:color w:val="000000"/>
          <w:sz w:val="21"/>
        </w:rPr>
        <w:t>原始音频不出户：</w:t>
      </w:r>
      <w:r>
        <w:rPr>
          <w:rFonts w:ascii="宋体" w:hAnsi="宋体" w:eastAsia="宋体" w:cs="宋体"/>
          <w:b w:val="0"/>
          <w:i w:val="0"/>
          <w:color w:val="000000"/>
          <w:sz w:val="21"/>
        </w:rPr>
        <w:t>边缘端完成推理后仅保留事件片段，片段可选择加密后上传或完全本地留存，由用户决定。</w:t>
      </w:r>
    </w:p>
    <w:p>
      <w:pPr>
        <w:spacing w:after="40" w:line="324" w:lineRule="auto"/>
        <w:ind w:left="425" w:hanging="283"/>
      </w:pPr>
      <w:r>
        <w:rPr>
          <w:rFonts w:ascii="宋体" w:hAnsi="宋体" w:eastAsia="宋体" w:cs="宋体"/>
          <w:b w:val="0"/>
          <w:i w:val="0"/>
          <w:color w:val="2E74B5"/>
          <w:sz w:val="18"/>
        </w:rPr>
        <w:t xml:space="preserve">● </w:t>
      </w:r>
      <w:r>
        <w:rPr>
          <w:rFonts w:ascii="宋体" w:hAnsi="宋体" w:eastAsia="宋体" w:cs="宋体"/>
          <w:b/>
          <w:i w:val="0"/>
          <w:color w:val="000000"/>
          <w:sz w:val="21"/>
        </w:rPr>
        <w:t>最小必要原则：</w:t>
      </w:r>
      <w:r>
        <w:rPr>
          <w:rFonts w:ascii="宋体" w:hAnsi="宋体" w:eastAsia="宋体" w:cs="宋体"/>
          <w:b w:val="0"/>
          <w:i w:val="0"/>
          <w:color w:val="000000"/>
          <w:sz w:val="21"/>
        </w:rPr>
        <w:t>云端仅接收指标、事件标签与时间戳；不采集与病情无关的语音内容，并对事件片段做人声抑制处理，避免录入对话等敏感信息。</w:t>
      </w:r>
    </w:p>
    <w:p>
      <w:pPr>
        <w:spacing w:after="40" w:line="324" w:lineRule="auto"/>
        <w:ind w:left="425" w:hanging="283"/>
      </w:pPr>
      <w:r>
        <w:rPr>
          <w:rFonts w:ascii="宋体" w:hAnsi="宋体" w:eastAsia="宋体" w:cs="宋体"/>
          <w:b w:val="0"/>
          <w:i w:val="0"/>
          <w:color w:val="2E74B5"/>
          <w:sz w:val="18"/>
        </w:rPr>
        <w:t xml:space="preserve">● </w:t>
      </w:r>
      <w:r>
        <w:rPr>
          <w:rFonts w:ascii="宋体" w:hAnsi="宋体" w:eastAsia="宋体" w:cs="宋体"/>
          <w:b/>
          <w:i w:val="0"/>
          <w:color w:val="000000"/>
          <w:sz w:val="21"/>
        </w:rPr>
        <w:t>第三方语音的处理：</w:t>
      </w:r>
      <w:r>
        <w:rPr>
          <w:rFonts w:ascii="宋体" w:hAnsi="宋体" w:eastAsia="宋体" w:cs="宋体"/>
          <w:b w:val="0"/>
          <w:i w:val="0"/>
          <w:color w:val="000000"/>
          <w:sz w:val="21"/>
        </w:rPr>
        <w:t>居家连续录音可能录到家属与访客的对话，因此在架构上叠加「边缘端本地特征提取 + 原始音频不出设备 + 事件片段人声抑制 + 片段切分小于 60 秒并施加语音滤波」四重措施，使偶然捕获的语音不可辨识；该设计可对标临床试验级声学监测设备的既有隐私方案。</w:t>
      </w:r>
    </w:p>
    <w:p>
      <w:pPr>
        <w:spacing w:after="40" w:line="324" w:lineRule="auto"/>
        <w:ind w:left="425" w:hanging="283"/>
      </w:pPr>
      <w:r>
        <w:rPr>
          <w:rFonts w:ascii="宋体" w:hAnsi="宋体" w:eastAsia="宋体" w:cs="宋体"/>
          <w:b w:val="0"/>
          <w:i w:val="0"/>
          <w:color w:val="2E74B5"/>
          <w:sz w:val="18"/>
        </w:rPr>
        <w:t xml:space="preserve">● </w:t>
      </w:r>
      <w:r>
        <w:rPr>
          <w:rFonts w:ascii="宋体" w:hAnsi="宋体" w:eastAsia="宋体" w:cs="宋体"/>
          <w:b/>
          <w:i w:val="0"/>
          <w:color w:val="000000"/>
          <w:sz w:val="21"/>
        </w:rPr>
        <w:t>加密与权限：</w:t>
      </w:r>
      <w:r>
        <w:rPr>
          <w:rFonts w:ascii="宋体" w:hAnsi="宋体" w:eastAsia="宋体" w:cs="宋体"/>
          <w:b w:val="0"/>
          <w:i w:val="0"/>
          <w:color w:val="000000"/>
          <w:sz w:val="21"/>
        </w:rPr>
        <w:t>传输采用 TLS，静态数据加密存储；「谁在什么时候查看了谁的什么数据」全程留痕，支持患者撤回授权。</w:t>
      </w:r>
    </w:p>
    <w:p>
      <w:pPr>
        <w:spacing w:after="40" w:line="324" w:lineRule="auto"/>
        <w:ind w:left="425" w:hanging="283"/>
      </w:pPr>
      <w:r>
        <w:rPr>
          <w:rFonts w:ascii="宋体" w:hAnsi="宋体" w:eastAsia="宋体" w:cs="宋体"/>
          <w:b w:val="0"/>
          <w:i w:val="0"/>
          <w:color w:val="2E74B5"/>
          <w:sz w:val="18"/>
        </w:rPr>
        <w:t xml:space="preserve">● </w:t>
      </w:r>
      <w:r>
        <w:rPr>
          <w:rFonts w:ascii="宋体" w:hAnsi="宋体" w:eastAsia="宋体" w:cs="宋体"/>
          <w:b/>
          <w:i w:val="0"/>
          <w:color w:val="000000"/>
          <w:sz w:val="21"/>
        </w:rPr>
        <w:t>合规对齐：</w:t>
      </w:r>
      <w:r>
        <w:rPr>
          <w:rFonts w:ascii="宋体" w:hAnsi="宋体" w:eastAsia="宋体" w:cs="宋体"/>
          <w:b w:val="0"/>
          <w:i w:val="0"/>
          <w:color w:val="000000"/>
          <w:sz w:val="21"/>
        </w:rPr>
        <w:t>设计对齐《个人信息保护法》第 28、29、31、38–40、55、56 条对敏感个人信息的要求（单独同意、未成年人监护人同意、个人信息保护影响评估、跨境传输合规），并同步满足《数据安全法》与医疗器械网络安全相关指导原则。</w:t>
      </w:r>
    </w:p>
    <w:p>
      <w:pPr>
        <w:spacing w:after="40" w:line="324" w:lineRule="auto"/>
        <w:ind w:left="425" w:hanging="283"/>
      </w:pPr>
      <w:r>
        <w:rPr>
          <w:rFonts w:ascii="宋体" w:hAnsi="宋体" w:eastAsia="宋体" w:cs="宋体"/>
          <w:b w:val="0"/>
          <w:i w:val="0"/>
          <w:color w:val="2E74B5"/>
          <w:sz w:val="18"/>
        </w:rPr>
        <w:t xml:space="preserve">● </w:t>
      </w:r>
      <w:r>
        <w:rPr>
          <w:rFonts w:ascii="宋体" w:hAnsi="宋体" w:eastAsia="宋体" w:cs="宋体"/>
          <w:b/>
          <w:i w:val="0"/>
          <w:color w:val="000000"/>
          <w:sz w:val="21"/>
        </w:rPr>
        <w:t>本地优先的可靠性收益：</w:t>
      </w:r>
      <w:r>
        <w:rPr>
          <w:rFonts w:ascii="宋体" w:hAnsi="宋体" w:eastAsia="宋体" w:cs="宋体"/>
          <w:b w:val="0"/>
          <w:i w:val="0"/>
          <w:color w:val="000000"/>
          <w:sz w:val="21"/>
        </w:rPr>
        <w:t>断网可用意味着产品在无网络或网络受限的家庭同样可工作，这既是隐私优势也是可用性优势。</w:t>
      </w:r>
    </w:p>
    <w:p>
      <w:pPr>
        <w:spacing w:after="40" w:line="324" w:lineRule="auto"/>
        <w:ind w:left="425" w:hanging="283"/>
      </w:pPr>
      <w:r>
        <w:rPr>
          <w:rFonts w:ascii="宋体" w:hAnsi="宋体" w:eastAsia="宋体" w:cs="宋体"/>
          <w:b w:val="0"/>
          <w:i w:val="0"/>
          <w:color w:val="2E74B5"/>
          <w:sz w:val="18"/>
        </w:rPr>
        <w:t xml:space="preserve">● </w:t>
      </w:r>
      <w:r>
        <w:rPr>
          <w:rFonts w:ascii="宋体" w:hAnsi="宋体" w:eastAsia="宋体" w:cs="宋体"/>
          <w:b/>
          <w:i w:val="0"/>
          <w:color w:val="000000"/>
          <w:sz w:val="21"/>
        </w:rPr>
        <w:t>表述纪律：</w:t>
      </w:r>
      <w:r>
        <w:rPr>
          <w:rFonts w:ascii="宋体" w:hAnsi="宋体" w:eastAsia="宋体" w:cs="宋体"/>
          <w:b w:val="0"/>
          <w:i w:val="0"/>
          <w:color w:val="000000"/>
          <w:sz w:val="21"/>
        </w:rPr>
        <w:t>项目文档、演示界面文案与宣传物料同步避免「诊断 / 筛查 / 确诊 / 预警急性加重」等宣称性表述，统一使用「记录、测量、趋势、提示关注」口径——答辩演示界面中的文案同样属于宣称。</w:t>
      </w:r>
    </w:p>
    <w:p>
      <w:r>
        <w:br w:type="page"/>
      </w:r>
    </w:p>
    <w:p>
      <w:pPr>
        <w:pStyle w:val="Heading1"/>
      </w:pPr>
      <w:r>
        <w:rPr>
          <w:rFonts w:ascii="宋体" w:hAnsi="宋体" w:eastAsia="宋体" w:cs="宋体"/>
          <w:b/>
          <w:i w:val="0"/>
          <w:color w:val="1F4E79"/>
          <w:sz w:val="30"/>
        </w:rPr>
        <w:t>第五章 算法方案</w:t>
      </w:r>
    </w:p>
    <w:p>
      <w:pPr>
        <w:pStyle w:val="Heading2"/>
      </w:pPr>
      <w:r>
        <w:rPr>
          <w:rFonts w:ascii="宋体" w:hAnsi="宋体" w:eastAsia="宋体" w:cs="宋体"/>
          <w:b/>
          <w:i w:val="0"/>
          <w:color w:val="2E74B5"/>
          <w:sz w:val="25"/>
        </w:rPr>
        <w:t>5.1 算法总体链路</w:t>
      </w:r>
    </w:p>
    <w:p>
      <w:pPr>
        <w:spacing w:after="80"/>
        <w:ind w:firstLine="420"/>
      </w:pPr>
      <w:r>
        <w:rPr>
          <w:rFonts w:ascii="宋体" w:hAnsi="宋体" w:eastAsia="宋体" w:cs="宋体"/>
          <w:b w:val="0"/>
          <w:i w:val="0"/>
          <w:color w:val="000000"/>
          <w:sz w:val="21"/>
        </w:rPr>
        <w:t>算法采用“两级检测 + 多任务输出”的分层架构，核心思想是让高算力模型只在真正有事件发生时启动，从而在精度与功耗之间取得平衡。</w:t>
      </w:r>
    </w:p>
    <w:tbl>
      <w:tblPr>
        <w:tblStyle w:val="TableGrid"/>
        <w:jc w:val="center"/>
        <w:tblLook w:firstColumn="1" w:firstRow="1" w:lastColumn="0" w:lastRow="0" w:noHBand="0" w:noVBand="1" w:val="04A0"/>
        <w:tblCellMar>
          <w:top w:w="60" w:type="dxa"/>
          <w:left w:w="90" w:type="dxa"/>
          <w:bottom w:w="60" w:type="dxa"/>
          <w:right w:w="90" w:type="dxa"/>
        </w:tblCellMar>
        <w:tblW w:w="9129" w:type="dxa"/>
        <w:tblLayout w:type="fixed"/>
      </w:tblPr>
      <w:tblGrid>
        <w:gridCol w:w="799"/>
        <w:gridCol w:w="1712"/>
        <w:gridCol w:w="3537"/>
        <w:gridCol w:w="3081"/>
      </w:tblGrid>
      <w:tr>
        <w:trPr>
          <w:tblHeader w:val="true"/>
        </w:trPr>
        <w:tc>
          <w:tcPr>
            <w:tcW w:type="dxa" w:w="799"/>
            <w:shd w:val="clear" w:color="auto" w:fill="1F4E79"/>
          </w:tcPr>
          <w:p>
            <w:pPr>
              <w:spacing w:after="0" w:line="276" w:lineRule="auto"/>
              <w:jc w:val="center"/>
            </w:pPr>
            <w:r/>
            <w:r>
              <w:rPr>
                <w:rFonts w:ascii="宋体" w:hAnsi="宋体" w:eastAsia="宋体" w:cs="宋体"/>
                <w:b/>
                <w:i w:val="0"/>
                <w:color w:val="FFFFFF"/>
                <w:sz w:val="19"/>
              </w:rPr>
              <w:t>层级</w:t>
            </w:r>
          </w:p>
        </w:tc>
        <w:tc>
          <w:tcPr>
            <w:tcW w:type="dxa" w:w="1711"/>
            <w:shd w:val="clear" w:color="auto" w:fill="1F4E79"/>
          </w:tcPr>
          <w:p>
            <w:pPr>
              <w:spacing w:after="0" w:line="276" w:lineRule="auto"/>
              <w:jc w:val="center"/>
            </w:pPr>
            <w:r/>
            <w:r>
              <w:rPr>
                <w:rFonts w:ascii="宋体" w:hAnsi="宋体" w:eastAsia="宋体" w:cs="宋体"/>
                <w:b/>
                <w:i w:val="0"/>
                <w:color w:val="FFFFFF"/>
                <w:sz w:val="19"/>
              </w:rPr>
              <w:t>模块</w:t>
            </w:r>
          </w:p>
        </w:tc>
        <w:tc>
          <w:tcPr>
            <w:tcW w:type="dxa" w:w="3537"/>
            <w:shd w:val="clear" w:color="auto" w:fill="1F4E79"/>
          </w:tcPr>
          <w:p>
            <w:pPr>
              <w:spacing w:after="0" w:line="276" w:lineRule="auto"/>
              <w:jc w:val="center"/>
            </w:pPr>
            <w:r/>
            <w:r>
              <w:rPr>
                <w:rFonts w:ascii="宋体" w:hAnsi="宋体" w:eastAsia="宋体" w:cs="宋体"/>
                <w:b/>
                <w:i w:val="0"/>
                <w:color w:val="FFFFFF"/>
                <w:sz w:val="19"/>
              </w:rPr>
              <w:t>输入输出</w:t>
            </w:r>
          </w:p>
        </w:tc>
        <w:tc>
          <w:tcPr>
            <w:tcW w:type="dxa" w:w="3081"/>
            <w:shd w:val="clear" w:color="auto" w:fill="1F4E79"/>
          </w:tcPr>
          <w:p>
            <w:pPr>
              <w:spacing w:after="0" w:line="276" w:lineRule="auto"/>
              <w:jc w:val="center"/>
            </w:pPr>
            <w:r/>
            <w:r>
              <w:rPr>
                <w:rFonts w:ascii="宋体" w:hAnsi="宋体" w:eastAsia="宋体" w:cs="宋体"/>
                <w:b/>
                <w:i w:val="0"/>
                <w:color w:val="FFFFFF"/>
                <w:sz w:val="19"/>
              </w:rPr>
              <w:t>设计要点</w:t>
            </w:r>
          </w:p>
        </w:tc>
      </w:tr>
      <w:tr>
        <w:tc>
          <w:tcPr>
            <w:tcW w:type="dxa" w:w="799"/>
          </w:tcPr>
          <w:p>
            <w:pPr>
              <w:spacing w:after="0" w:line="276" w:lineRule="auto"/>
            </w:pPr>
            <w:r/>
            <w:r>
              <w:rPr>
                <w:rFonts w:ascii="宋体" w:hAnsi="宋体" w:eastAsia="宋体" w:cs="宋体"/>
                <w:b w:val="0"/>
                <w:i w:val="0"/>
                <w:color w:val="000000"/>
                <w:sz w:val="19"/>
              </w:rPr>
              <w:t>L0</w:t>
            </w:r>
          </w:p>
        </w:tc>
        <w:tc>
          <w:tcPr>
            <w:tcW w:type="dxa" w:w="1711"/>
          </w:tcPr>
          <w:p>
            <w:pPr>
              <w:spacing w:after="0" w:line="276" w:lineRule="auto"/>
            </w:pPr>
            <w:r/>
            <w:r>
              <w:rPr>
                <w:rFonts w:ascii="宋体" w:hAnsi="宋体" w:eastAsia="宋体" w:cs="宋体"/>
                <w:b w:val="0"/>
                <w:i w:val="0"/>
                <w:color w:val="000000"/>
                <w:sz w:val="19"/>
              </w:rPr>
              <w:t>音频前端</w:t>
            </w:r>
          </w:p>
        </w:tc>
        <w:tc>
          <w:tcPr>
            <w:tcW w:type="dxa" w:w="3537"/>
          </w:tcPr>
          <w:p>
            <w:pPr>
              <w:spacing w:after="0" w:line="276" w:lineRule="auto"/>
            </w:pPr>
            <w:r/>
            <w:r>
              <w:rPr>
                <w:rFonts w:ascii="宋体" w:hAnsi="宋体" w:eastAsia="宋体" w:cs="宋体"/>
                <w:b w:val="0"/>
                <w:i w:val="0"/>
                <w:color w:val="000000"/>
                <w:sz w:val="19"/>
              </w:rPr>
              <w:t>原始音频 → 降噪音频 + 质量标记</w:t>
            </w:r>
          </w:p>
        </w:tc>
        <w:tc>
          <w:tcPr>
            <w:tcW w:type="dxa" w:w="3081"/>
          </w:tcPr>
          <w:p>
            <w:pPr>
              <w:spacing w:after="0" w:line="276" w:lineRule="auto"/>
            </w:pPr>
            <w:r/>
            <w:r>
              <w:rPr>
                <w:rFonts w:ascii="宋体" w:hAnsi="宋体" w:eastAsia="宋体" w:cs="宋体"/>
                <w:b w:val="0"/>
                <w:i w:val="0"/>
                <w:color w:val="000000"/>
                <w:sz w:val="19"/>
              </w:rPr>
              <w:t>降噪、增益归一化、重采样、削波与静音检测、环境噪声底估计</w:t>
            </w:r>
          </w:p>
        </w:tc>
      </w:tr>
      <w:tr>
        <w:tc>
          <w:tcPr>
            <w:tcW w:type="dxa" w:w="799"/>
            <w:shd w:val="clear" w:color="auto" w:fill="EDF3F9"/>
          </w:tcPr>
          <w:p>
            <w:pPr>
              <w:spacing w:after="0" w:line="276" w:lineRule="auto"/>
            </w:pPr>
            <w:r/>
            <w:r>
              <w:rPr>
                <w:rFonts w:ascii="宋体" w:hAnsi="宋体" w:eastAsia="宋体" w:cs="宋体"/>
                <w:b w:val="0"/>
                <w:i w:val="0"/>
                <w:color w:val="000000"/>
                <w:sz w:val="19"/>
              </w:rPr>
              <w:t>L1</w:t>
            </w:r>
          </w:p>
        </w:tc>
        <w:tc>
          <w:tcPr>
            <w:tcW w:type="dxa" w:w="1711"/>
            <w:shd w:val="clear" w:color="auto" w:fill="EDF3F9"/>
          </w:tcPr>
          <w:p>
            <w:pPr>
              <w:spacing w:after="0" w:line="276" w:lineRule="auto"/>
            </w:pPr>
            <w:r/>
            <w:r>
              <w:rPr>
                <w:rFonts w:ascii="宋体" w:hAnsi="宋体" w:eastAsia="宋体" w:cs="宋体"/>
                <w:b w:val="0"/>
                <w:i w:val="0"/>
                <w:color w:val="000000"/>
                <w:sz w:val="19"/>
              </w:rPr>
              <w:t>声学事件检测（常听）</w:t>
            </w:r>
          </w:p>
        </w:tc>
        <w:tc>
          <w:tcPr>
            <w:tcW w:type="dxa" w:w="3537"/>
            <w:shd w:val="clear" w:color="auto" w:fill="EDF3F9"/>
          </w:tcPr>
          <w:p>
            <w:pPr>
              <w:spacing w:after="0" w:line="276" w:lineRule="auto"/>
            </w:pPr>
            <w:r/>
            <w:r>
              <w:rPr>
                <w:rFonts w:ascii="宋体" w:hAnsi="宋体" w:eastAsia="宋体" w:cs="宋体"/>
                <w:b w:val="0"/>
                <w:i w:val="0"/>
                <w:color w:val="000000"/>
                <w:sz w:val="19"/>
              </w:rPr>
              <w:t>1 秒窗 → 是否含候选事件</w:t>
            </w:r>
          </w:p>
        </w:tc>
        <w:tc>
          <w:tcPr>
            <w:tcW w:type="dxa" w:w="3081"/>
            <w:shd w:val="clear" w:color="auto" w:fill="EDF3F9"/>
          </w:tcPr>
          <w:p>
            <w:pPr>
              <w:spacing w:after="0" w:line="276" w:lineRule="auto"/>
            </w:pPr>
            <w:r/>
            <w:r>
              <w:rPr>
                <w:rFonts w:ascii="宋体" w:hAnsi="宋体" w:eastAsia="宋体" w:cs="宋体"/>
                <w:b w:val="0"/>
                <w:i w:val="0"/>
                <w:color w:val="000000"/>
                <w:sz w:val="19"/>
              </w:rPr>
              <w:t>极小模型（≤ 1 MB），持续运行，目标高召回、允许较多误报</w:t>
            </w:r>
          </w:p>
        </w:tc>
      </w:tr>
      <w:tr>
        <w:tc>
          <w:tcPr>
            <w:tcW w:type="dxa" w:w="799"/>
          </w:tcPr>
          <w:p>
            <w:pPr>
              <w:spacing w:after="0" w:line="276" w:lineRule="auto"/>
            </w:pPr>
            <w:r/>
            <w:r>
              <w:rPr>
                <w:rFonts w:ascii="宋体" w:hAnsi="宋体" w:eastAsia="宋体" w:cs="宋体"/>
                <w:b w:val="0"/>
                <w:i w:val="0"/>
                <w:color w:val="000000"/>
                <w:sz w:val="19"/>
              </w:rPr>
              <w:t>L2</w:t>
            </w:r>
          </w:p>
        </w:tc>
        <w:tc>
          <w:tcPr>
            <w:tcW w:type="dxa" w:w="1711"/>
          </w:tcPr>
          <w:p>
            <w:pPr>
              <w:spacing w:after="0" w:line="276" w:lineRule="auto"/>
            </w:pPr>
            <w:r/>
            <w:r>
              <w:rPr>
                <w:rFonts w:ascii="宋体" w:hAnsi="宋体" w:eastAsia="宋体" w:cs="宋体"/>
                <w:b w:val="0"/>
                <w:i w:val="0"/>
                <w:color w:val="000000"/>
                <w:sz w:val="19"/>
              </w:rPr>
              <w:t>事件分类</w:t>
            </w:r>
          </w:p>
        </w:tc>
        <w:tc>
          <w:tcPr>
            <w:tcW w:type="dxa" w:w="3537"/>
          </w:tcPr>
          <w:p>
            <w:pPr>
              <w:spacing w:after="0" w:line="276" w:lineRule="auto"/>
            </w:pPr>
            <w:r/>
            <w:r>
              <w:rPr>
                <w:rFonts w:ascii="宋体" w:hAnsi="宋体" w:eastAsia="宋体" w:cs="宋体"/>
                <w:b w:val="0"/>
                <w:i w:val="0"/>
                <w:color w:val="000000"/>
                <w:sz w:val="19"/>
              </w:rPr>
              <w:t>候选片段 → 咳嗽/喘息/清嗓/说话/环境噪声</w:t>
            </w:r>
          </w:p>
        </w:tc>
        <w:tc>
          <w:tcPr>
            <w:tcW w:type="dxa" w:w="3081"/>
          </w:tcPr>
          <w:p>
            <w:pPr>
              <w:spacing w:after="0" w:line="276" w:lineRule="auto"/>
            </w:pPr>
            <w:r/>
            <w:r>
              <w:rPr>
                <w:rFonts w:ascii="宋体" w:hAnsi="宋体" w:eastAsia="宋体" w:cs="宋体"/>
                <w:b w:val="0"/>
                <w:i w:val="0"/>
                <w:color w:val="000000"/>
                <w:sz w:val="19"/>
              </w:rPr>
              <w:t>卷积 + 循环/注意力结构，多类别输出，含说话声与咳嗽的区分（关键难点）</w:t>
            </w:r>
          </w:p>
        </w:tc>
      </w:tr>
      <w:tr>
        <w:tc>
          <w:tcPr>
            <w:tcW w:type="dxa" w:w="799"/>
            <w:shd w:val="clear" w:color="auto" w:fill="EDF3F9"/>
          </w:tcPr>
          <w:p>
            <w:pPr>
              <w:spacing w:after="0" w:line="276" w:lineRule="auto"/>
            </w:pPr>
            <w:r/>
            <w:r>
              <w:rPr>
                <w:rFonts w:ascii="宋体" w:hAnsi="宋体" w:eastAsia="宋体" w:cs="宋体"/>
                <w:b w:val="0"/>
                <w:i w:val="0"/>
                <w:color w:val="000000"/>
                <w:sz w:val="19"/>
              </w:rPr>
              <w:t>L2</w:t>
            </w:r>
          </w:p>
        </w:tc>
        <w:tc>
          <w:tcPr>
            <w:tcW w:type="dxa" w:w="1711"/>
            <w:shd w:val="clear" w:color="auto" w:fill="EDF3F9"/>
          </w:tcPr>
          <w:p>
            <w:pPr>
              <w:spacing w:after="0" w:line="276" w:lineRule="auto"/>
            </w:pPr>
            <w:r/>
            <w:r>
              <w:rPr>
                <w:rFonts w:ascii="宋体" w:hAnsi="宋体" w:eastAsia="宋体" w:cs="宋体"/>
                <w:b w:val="0"/>
                <w:i w:val="0"/>
                <w:color w:val="000000"/>
                <w:sz w:val="19"/>
              </w:rPr>
              <w:t>呼吸音分析</w:t>
            </w:r>
          </w:p>
        </w:tc>
        <w:tc>
          <w:tcPr>
            <w:tcW w:type="dxa" w:w="3537"/>
            <w:shd w:val="clear" w:color="auto" w:fill="EDF3F9"/>
          </w:tcPr>
          <w:p>
            <w:pPr>
              <w:spacing w:after="0" w:line="276" w:lineRule="auto"/>
            </w:pPr>
            <w:r/>
            <w:r>
              <w:rPr>
                <w:rFonts w:ascii="宋体" w:hAnsi="宋体" w:eastAsia="宋体" w:cs="宋体"/>
                <w:b w:val="0"/>
                <w:i w:val="0"/>
                <w:color w:val="000000"/>
                <w:sz w:val="19"/>
              </w:rPr>
              <w:t>呼吸片段 → 是否存在异常呼吸音</w:t>
            </w:r>
          </w:p>
        </w:tc>
        <w:tc>
          <w:tcPr>
            <w:tcW w:type="dxa" w:w="3081"/>
            <w:shd w:val="clear" w:color="auto" w:fill="EDF3F9"/>
          </w:tcPr>
          <w:p>
            <w:pPr>
              <w:spacing w:after="0" w:line="276" w:lineRule="auto"/>
            </w:pPr>
            <w:r/>
            <w:r>
              <w:rPr>
                <w:rFonts w:ascii="宋体" w:hAnsi="宋体" w:eastAsia="宋体" w:cs="宋体"/>
                <w:b w:val="0"/>
                <w:i w:val="0"/>
                <w:color w:val="000000"/>
                <w:sz w:val="19"/>
              </w:rPr>
              <w:t>检测喘息、湿啰音等异常成分，输出发生时段与持续时长</w:t>
            </w:r>
          </w:p>
        </w:tc>
      </w:tr>
      <w:tr>
        <w:tc>
          <w:tcPr>
            <w:tcW w:type="dxa" w:w="799"/>
          </w:tcPr>
          <w:p>
            <w:pPr>
              <w:spacing w:after="0" w:line="276" w:lineRule="auto"/>
            </w:pPr>
            <w:r/>
            <w:r>
              <w:rPr>
                <w:rFonts w:ascii="宋体" w:hAnsi="宋体" w:eastAsia="宋体" w:cs="宋体"/>
                <w:b w:val="0"/>
                <w:i w:val="0"/>
                <w:color w:val="000000"/>
                <w:sz w:val="19"/>
              </w:rPr>
              <w:t>L3</w:t>
            </w:r>
          </w:p>
        </w:tc>
        <w:tc>
          <w:tcPr>
            <w:tcW w:type="dxa" w:w="1711"/>
          </w:tcPr>
          <w:p>
            <w:pPr>
              <w:spacing w:after="0" w:line="276" w:lineRule="auto"/>
            </w:pPr>
            <w:r/>
            <w:r>
              <w:rPr>
                <w:rFonts w:ascii="宋体" w:hAnsi="宋体" w:eastAsia="宋体" w:cs="宋体"/>
                <w:b w:val="0"/>
                <w:i w:val="0"/>
                <w:color w:val="000000"/>
                <w:sz w:val="19"/>
              </w:rPr>
              <w:t>指标估计</w:t>
            </w:r>
          </w:p>
        </w:tc>
        <w:tc>
          <w:tcPr>
            <w:tcW w:type="dxa" w:w="3537"/>
          </w:tcPr>
          <w:p>
            <w:pPr>
              <w:spacing w:after="0" w:line="276" w:lineRule="auto"/>
            </w:pPr>
            <w:r/>
            <w:r>
              <w:rPr>
                <w:rFonts w:ascii="宋体" w:hAnsi="宋体" w:eastAsia="宋体" w:cs="宋体"/>
                <w:b w:val="0"/>
                <w:i w:val="0"/>
                <w:color w:val="000000"/>
                <w:sz w:val="19"/>
              </w:rPr>
              <w:t>事件序列 → 呼吸率、咳嗽频次等</w:t>
            </w:r>
          </w:p>
        </w:tc>
        <w:tc>
          <w:tcPr>
            <w:tcW w:type="dxa" w:w="3081"/>
          </w:tcPr>
          <w:p>
            <w:pPr>
              <w:spacing w:after="0" w:line="276" w:lineRule="auto"/>
            </w:pPr>
            <w:r/>
            <w:r>
              <w:rPr>
                <w:rFonts w:ascii="宋体" w:hAnsi="宋体" w:eastAsia="宋体" w:cs="宋体"/>
                <w:b w:val="0"/>
                <w:i w:val="0"/>
                <w:color w:val="000000"/>
                <w:sz w:val="19"/>
              </w:rPr>
              <w:t>呼吸率采用基于呼吸周期估计的回归；咳嗽频次为事件计数与去重</w:t>
            </w:r>
          </w:p>
        </w:tc>
      </w:tr>
      <w:tr>
        <w:tc>
          <w:tcPr>
            <w:tcW w:type="dxa" w:w="799"/>
            <w:shd w:val="clear" w:color="auto" w:fill="EDF3F9"/>
          </w:tcPr>
          <w:p>
            <w:pPr>
              <w:spacing w:after="0" w:line="276" w:lineRule="auto"/>
            </w:pPr>
            <w:r/>
            <w:r>
              <w:rPr>
                <w:rFonts w:ascii="宋体" w:hAnsi="宋体" w:eastAsia="宋体" w:cs="宋体"/>
                <w:b w:val="0"/>
                <w:i w:val="0"/>
                <w:color w:val="000000"/>
                <w:sz w:val="19"/>
              </w:rPr>
              <w:t>L4</w:t>
            </w:r>
          </w:p>
        </w:tc>
        <w:tc>
          <w:tcPr>
            <w:tcW w:type="dxa" w:w="1711"/>
            <w:shd w:val="clear" w:color="auto" w:fill="EDF3F9"/>
          </w:tcPr>
          <w:p>
            <w:pPr>
              <w:spacing w:after="0" w:line="276" w:lineRule="auto"/>
            </w:pPr>
            <w:r/>
            <w:r>
              <w:rPr>
                <w:rFonts w:ascii="宋体" w:hAnsi="宋体" w:eastAsia="宋体" w:cs="宋体"/>
                <w:b w:val="0"/>
                <w:i w:val="0"/>
                <w:color w:val="000000"/>
                <w:sz w:val="19"/>
              </w:rPr>
              <w:t>基线与预警</w:t>
            </w:r>
          </w:p>
        </w:tc>
        <w:tc>
          <w:tcPr>
            <w:tcW w:type="dxa" w:w="3537"/>
            <w:shd w:val="clear" w:color="auto" w:fill="EDF3F9"/>
          </w:tcPr>
          <w:p>
            <w:pPr>
              <w:spacing w:after="0" w:line="276" w:lineRule="auto"/>
            </w:pPr>
            <w:r/>
            <w:r>
              <w:rPr>
                <w:rFonts w:ascii="宋体" w:hAnsi="宋体" w:eastAsia="宋体" w:cs="宋体"/>
                <w:b w:val="0"/>
                <w:i w:val="0"/>
                <w:color w:val="000000"/>
                <w:sz w:val="19"/>
              </w:rPr>
              <w:t>历史指标 + 当前指标 → 偏离度与风险等级</w:t>
            </w:r>
          </w:p>
        </w:tc>
        <w:tc>
          <w:tcPr>
            <w:tcW w:type="dxa" w:w="3081"/>
            <w:shd w:val="clear" w:color="auto" w:fill="EDF3F9"/>
          </w:tcPr>
          <w:p>
            <w:pPr>
              <w:spacing w:after="0" w:line="276" w:lineRule="auto"/>
            </w:pPr>
            <w:r/>
            <w:r>
              <w:rPr>
                <w:rFonts w:ascii="宋体" w:hAnsi="宋体" w:eastAsia="宋体" w:cs="宋体"/>
                <w:b w:val="0"/>
                <w:i w:val="0"/>
                <w:color w:val="000000"/>
                <w:sz w:val="19"/>
              </w:rPr>
              <w:t>个体化基线、趋势外推、与用药/症状日志联合建模</w:t>
            </w:r>
          </w:p>
        </w:tc>
      </w:tr>
    </w:tbl>
    <w:p>
      <w:pPr>
        <w:spacing w:after="40"/>
      </w:pPr>
    </w:p>
    <w:p>
      <w:pPr>
        <w:pStyle w:val="Heading2"/>
      </w:pPr>
      <w:r>
        <w:rPr>
          <w:rFonts w:ascii="宋体" w:hAnsi="宋体" w:eastAsia="宋体" w:cs="宋体"/>
          <w:b/>
          <w:i w:val="0"/>
          <w:color w:val="2E74B5"/>
          <w:sz w:val="25"/>
        </w:rPr>
        <w:t>5.2 声学前端处理</w:t>
      </w:r>
    </w:p>
    <w:p>
      <w:pPr>
        <w:spacing w:after="40" w:line="324" w:lineRule="auto"/>
        <w:ind w:left="425" w:hanging="283"/>
      </w:pPr>
      <w:r>
        <w:rPr>
          <w:rFonts w:ascii="宋体" w:hAnsi="宋体" w:eastAsia="宋体" w:cs="宋体"/>
          <w:b w:val="0"/>
          <w:i w:val="0"/>
          <w:color w:val="2E74B5"/>
          <w:sz w:val="18"/>
        </w:rPr>
        <w:t xml:space="preserve">● </w:t>
      </w:r>
      <w:r>
        <w:rPr>
          <w:rFonts w:ascii="宋体" w:hAnsi="宋体" w:eastAsia="宋体" w:cs="宋体"/>
          <w:b/>
          <w:i w:val="0"/>
          <w:color w:val="000000"/>
          <w:sz w:val="21"/>
        </w:rPr>
        <w:t>特征表示：</w:t>
      </w:r>
      <w:r>
        <w:rPr>
          <w:rFonts w:ascii="宋体" w:hAnsi="宋体" w:eastAsia="宋体" w:cs="宋体"/>
          <w:b w:val="0"/>
          <w:i w:val="0"/>
          <w:color w:val="000000"/>
          <w:sz w:val="21"/>
        </w:rPr>
        <w:t>以对数梅尔谱为主输入（64 维梅尔滤波器组、25 ms 帧长、10 ms 帧移），辅以 MFCC、谱质心、谱通量、过零率、能量包络等手工特征，供轻量模型使用。</w:t>
      </w:r>
    </w:p>
    <w:p>
      <w:pPr>
        <w:spacing w:after="40" w:line="324" w:lineRule="auto"/>
        <w:ind w:left="425" w:hanging="283"/>
      </w:pPr>
      <w:r>
        <w:rPr>
          <w:rFonts w:ascii="宋体" w:hAnsi="宋体" w:eastAsia="宋体" w:cs="宋体"/>
          <w:b w:val="0"/>
          <w:i w:val="0"/>
          <w:color w:val="2E74B5"/>
          <w:sz w:val="18"/>
        </w:rPr>
        <w:t xml:space="preserve">● </w:t>
      </w:r>
      <w:r>
        <w:rPr>
          <w:rFonts w:ascii="宋体" w:hAnsi="宋体" w:eastAsia="宋体" w:cs="宋体"/>
          <w:b/>
          <w:i w:val="0"/>
          <w:color w:val="000000"/>
          <w:sz w:val="21"/>
        </w:rPr>
        <w:t>降噪策略：</w:t>
      </w:r>
      <w:r>
        <w:rPr>
          <w:rFonts w:ascii="宋体" w:hAnsi="宋体" w:eastAsia="宋体" w:cs="宋体"/>
          <w:b w:val="0"/>
          <w:i w:val="0"/>
          <w:color w:val="000000"/>
          <w:sz w:val="21"/>
        </w:rPr>
        <w:t>优先采用计算量低的谱减法与维纳滤波做稳态噪声抑制，对非稳态噪声（翻身、说话、电器启停）依靠模型鲁棒性而非前端强降噪，避免降噪引入的语音失真影响咳嗽判别。</w:t>
      </w:r>
    </w:p>
    <w:p>
      <w:pPr>
        <w:spacing w:after="40" w:line="324" w:lineRule="auto"/>
        <w:ind w:left="425" w:hanging="283"/>
      </w:pPr>
      <w:r>
        <w:rPr>
          <w:rFonts w:ascii="宋体" w:hAnsi="宋体" w:eastAsia="宋体" w:cs="宋体"/>
          <w:b w:val="0"/>
          <w:i w:val="0"/>
          <w:color w:val="2E74B5"/>
          <w:sz w:val="18"/>
        </w:rPr>
        <w:t xml:space="preserve">● </w:t>
      </w:r>
      <w:r>
        <w:rPr>
          <w:rFonts w:ascii="宋体" w:hAnsi="宋体" w:eastAsia="宋体" w:cs="宋体"/>
          <w:b/>
          <w:i w:val="0"/>
          <w:color w:val="000000"/>
          <w:sz w:val="21"/>
        </w:rPr>
        <w:t>归一化与增强：</w:t>
      </w:r>
      <w:r>
        <w:rPr>
          <w:rFonts w:ascii="宋体" w:hAnsi="宋体" w:eastAsia="宋体" w:cs="宋体"/>
          <w:b w:val="0"/>
          <w:i w:val="0"/>
          <w:color w:val="000000"/>
          <w:sz w:val="21"/>
        </w:rPr>
        <w:t>对不同麦克风与录音距离造成的增益差异做声压级归一化；训练阶段使用增益扰动、加噪、混响、时移与变速增强，提升真实场景泛化能力。</w:t>
      </w:r>
    </w:p>
    <w:p>
      <w:pPr>
        <w:spacing w:after="40" w:line="324" w:lineRule="auto"/>
        <w:ind w:left="425" w:hanging="283"/>
      </w:pPr>
      <w:r>
        <w:rPr>
          <w:rFonts w:ascii="宋体" w:hAnsi="宋体" w:eastAsia="宋体" w:cs="宋体"/>
          <w:b w:val="0"/>
          <w:i w:val="0"/>
          <w:color w:val="2E74B5"/>
          <w:sz w:val="18"/>
        </w:rPr>
        <w:t xml:space="preserve">● </w:t>
      </w:r>
      <w:r>
        <w:rPr>
          <w:rFonts w:ascii="宋体" w:hAnsi="宋体" w:eastAsia="宋体" w:cs="宋体"/>
          <w:b/>
          <w:i w:val="0"/>
          <w:color w:val="000000"/>
          <w:sz w:val="21"/>
        </w:rPr>
        <w:t>语音与非语音区分：</w:t>
      </w:r>
      <w:r>
        <w:rPr>
          <w:rFonts w:ascii="宋体" w:hAnsi="宋体" w:eastAsia="宋体" w:cs="宋体"/>
          <w:b w:val="0"/>
          <w:i w:val="0"/>
          <w:color w:val="000000"/>
          <w:sz w:val="21"/>
        </w:rPr>
        <w:t>引入语音活动检测（VAD）先剔除人声段，既降低误报，也减少敏感语音数据的后续处理，是隐私与精度的双赢设计。</w:t>
      </w:r>
    </w:p>
    <w:p>
      <w:pPr>
        <w:pStyle w:val="Heading2"/>
      </w:pPr>
      <w:r>
        <w:rPr>
          <w:rFonts w:ascii="宋体" w:hAnsi="宋体" w:eastAsia="宋体" w:cs="宋体"/>
          <w:b/>
          <w:i w:val="0"/>
          <w:color w:val="2E74B5"/>
          <w:sz w:val="25"/>
        </w:rPr>
        <w:t>5.3 模型设计与训练策略</w:t>
      </w:r>
    </w:p>
    <w:p>
      <w:pPr>
        <w:pStyle w:val="Heading3"/>
      </w:pPr>
      <w:r>
        <w:rPr>
          <w:rFonts w:ascii="宋体" w:hAnsi="宋体" w:eastAsia="宋体" w:cs="宋体"/>
          <w:b/>
          <w:i w:val="0"/>
          <w:color w:val="2E74B5"/>
          <w:sz w:val="22"/>
        </w:rPr>
        <w:t>5.3.1 模型结构</w:t>
      </w:r>
    </w:p>
    <w:tbl>
      <w:tblPr>
        <w:tblStyle w:val="TableGrid"/>
        <w:jc w:val="center"/>
        <w:tblLook w:firstColumn="1" w:firstRow="1" w:lastColumn="0" w:lastRow="0" w:noHBand="0" w:noVBand="1" w:val="04A0"/>
        <w:tblCellMar>
          <w:top w:w="60" w:type="dxa"/>
          <w:left w:w="90" w:type="dxa"/>
          <w:bottom w:w="60" w:type="dxa"/>
          <w:right w:w="90" w:type="dxa"/>
        </w:tblCellMar>
        <w:tblW w:w="9129" w:type="dxa"/>
        <w:tblLayout w:type="fixed"/>
      </w:tblPr>
      <w:tblGrid>
        <w:gridCol w:w="1826"/>
        <w:gridCol w:w="3423"/>
        <w:gridCol w:w="3880"/>
      </w:tblGrid>
      <w:tr>
        <w:trPr>
          <w:tblHeader w:val="true"/>
        </w:trPr>
        <w:tc>
          <w:tcPr>
            <w:tcW w:type="dxa" w:w="1826"/>
            <w:shd w:val="clear" w:color="auto" w:fill="1F4E79"/>
          </w:tcPr>
          <w:p>
            <w:pPr>
              <w:spacing w:after="0" w:line="276" w:lineRule="auto"/>
              <w:jc w:val="center"/>
            </w:pPr>
            <w:r/>
            <w:r>
              <w:rPr>
                <w:rFonts w:ascii="宋体" w:hAnsi="宋体" w:eastAsia="宋体" w:cs="宋体"/>
                <w:b/>
                <w:i w:val="0"/>
                <w:color w:val="FFFFFF"/>
                <w:sz w:val="19"/>
              </w:rPr>
              <w:t>模型</w:t>
            </w:r>
          </w:p>
        </w:tc>
        <w:tc>
          <w:tcPr>
            <w:tcW w:type="dxa" w:w="3423"/>
            <w:shd w:val="clear" w:color="auto" w:fill="1F4E79"/>
          </w:tcPr>
          <w:p>
            <w:pPr>
              <w:spacing w:after="0" w:line="276" w:lineRule="auto"/>
              <w:jc w:val="center"/>
            </w:pPr>
            <w:r/>
            <w:r>
              <w:rPr>
                <w:rFonts w:ascii="宋体" w:hAnsi="宋体" w:eastAsia="宋体" w:cs="宋体"/>
                <w:b/>
                <w:i w:val="0"/>
                <w:color w:val="FFFFFF"/>
                <w:sz w:val="19"/>
              </w:rPr>
              <w:t>结构选择</w:t>
            </w:r>
          </w:p>
        </w:tc>
        <w:tc>
          <w:tcPr>
            <w:tcW w:type="dxa" w:w="3879"/>
            <w:shd w:val="clear" w:color="auto" w:fill="1F4E79"/>
          </w:tcPr>
          <w:p>
            <w:pPr>
              <w:spacing w:after="0" w:line="276" w:lineRule="auto"/>
              <w:jc w:val="center"/>
            </w:pPr>
            <w:r/>
            <w:r>
              <w:rPr>
                <w:rFonts w:ascii="宋体" w:hAnsi="宋体" w:eastAsia="宋体" w:cs="宋体"/>
                <w:b/>
                <w:i w:val="0"/>
                <w:color w:val="FFFFFF"/>
                <w:sz w:val="19"/>
              </w:rPr>
              <w:t>说明与取舍</w:t>
            </w:r>
          </w:p>
        </w:tc>
      </w:tr>
      <w:tr>
        <w:tc>
          <w:tcPr>
            <w:tcW w:type="dxa" w:w="1826"/>
          </w:tcPr>
          <w:p>
            <w:pPr>
              <w:spacing w:after="0" w:line="276" w:lineRule="auto"/>
            </w:pPr>
            <w:r/>
            <w:r>
              <w:rPr>
                <w:rFonts w:ascii="宋体" w:hAnsi="宋体" w:eastAsia="宋体" w:cs="宋体"/>
                <w:b w:val="0"/>
                <w:i w:val="0"/>
                <w:color w:val="000000"/>
                <w:sz w:val="19"/>
              </w:rPr>
              <w:t>事件检测（L1）</w:t>
            </w:r>
          </w:p>
        </w:tc>
        <w:tc>
          <w:tcPr>
            <w:tcW w:type="dxa" w:w="3423"/>
          </w:tcPr>
          <w:p>
            <w:pPr>
              <w:spacing w:after="0" w:line="276" w:lineRule="auto"/>
            </w:pPr>
            <w:r/>
            <w:r>
              <w:rPr>
                <w:rFonts w:ascii="宋体" w:hAnsi="宋体" w:eastAsia="宋体" w:cs="宋体"/>
                <w:b w:val="0"/>
                <w:i w:val="0"/>
                <w:color w:val="000000"/>
                <w:sz w:val="19"/>
              </w:rPr>
              <w:t>轻量 CNN（深度可分离卷积 + 池化）</w:t>
            </w:r>
          </w:p>
        </w:tc>
        <w:tc>
          <w:tcPr>
            <w:tcW w:type="dxa" w:w="3879"/>
          </w:tcPr>
          <w:p>
            <w:pPr>
              <w:spacing w:after="0" w:line="276" w:lineRule="auto"/>
            </w:pPr>
            <w:r/>
            <w:r>
              <w:rPr>
                <w:rFonts w:ascii="宋体" w:hAnsi="宋体" w:eastAsia="宋体" w:cs="宋体"/>
                <w:b w:val="0"/>
                <w:i w:val="0"/>
                <w:color w:val="000000"/>
                <w:sz w:val="19"/>
              </w:rPr>
              <w:t>参数量控制在 10 万级，单窗推理 ＜ 5 ms，目标是低功耗常听，以高召回为优先（召回 ≥ 0.98，精确率可放宽）</w:t>
            </w:r>
          </w:p>
        </w:tc>
      </w:tr>
      <w:tr>
        <w:tc>
          <w:tcPr>
            <w:tcW w:type="dxa" w:w="1826"/>
            <w:shd w:val="clear" w:color="auto" w:fill="EDF3F9"/>
          </w:tcPr>
          <w:p>
            <w:pPr>
              <w:spacing w:after="0" w:line="276" w:lineRule="auto"/>
            </w:pPr>
            <w:r/>
            <w:r>
              <w:rPr>
                <w:rFonts w:ascii="宋体" w:hAnsi="宋体" w:eastAsia="宋体" w:cs="宋体"/>
                <w:b w:val="0"/>
                <w:i w:val="0"/>
                <w:color w:val="000000"/>
                <w:sz w:val="19"/>
              </w:rPr>
              <w:t>事件分类（L2）</w:t>
            </w:r>
          </w:p>
        </w:tc>
        <w:tc>
          <w:tcPr>
            <w:tcW w:type="dxa" w:w="3423"/>
            <w:shd w:val="clear" w:color="auto" w:fill="EDF3F9"/>
          </w:tcPr>
          <w:p>
            <w:pPr>
              <w:spacing w:after="0" w:line="276" w:lineRule="auto"/>
            </w:pPr>
            <w:r/>
            <w:r>
              <w:rPr>
                <w:rFonts w:ascii="宋体" w:hAnsi="宋体" w:eastAsia="宋体" w:cs="宋体"/>
                <w:b w:val="0"/>
                <w:i w:val="0"/>
                <w:color w:val="000000"/>
                <w:sz w:val="19"/>
              </w:rPr>
              <w:t>CNN + GRU/注意力混合结构</w:t>
            </w:r>
          </w:p>
        </w:tc>
        <w:tc>
          <w:tcPr>
            <w:tcW w:type="dxa" w:w="3879"/>
            <w:shd w:val="clear" w:color="auto" w:fill="EDF3F9"/>
          </w:tcPr>
          <w:p>
            <w:pPr>
              <w:spacing w:after="0" w:line="276" w:lineRule="auto"/>
            </w:pPr>
            <w:r/>
            <w:r>
              <w:rPr>
                <w:rFonts w:ascii="宋体" w:hAnsi="宋体" w:eastAsia="宋体" w:cs="宋体"/>
                <w:b w:val="0"/>
                <w:i w:val="0"/>
                <w:color w:val="000000"/>
                <w:sz w:val="19"/>
              </w:rPr>
              <w:t>在梅尔谱上提取局部时频特征后建模时序依赖；输出咳嗽、喘息、清嗓、说话、环境噪声等类别，说话与咳嗽的混淆是主要攻关点</w:t>
            </w:r>
          </w:p>
        </w:tc>
      </w:tr>
      <w:tr>
        <w:tc>
          <w:tcPr>
            <w:tcW w:type="dxa" w:w="1826"/>
          </w:tcPr>
          <w:p>
            <w:pPr>
              <w:spacing w:after="0" w:line="276" w:lineRule="auto"/>
            </w:pPr>
            <w:r/>
            <w:r>
              <w:rPr>
                <w:rFonts w:ascii="宋体" w:hAnsi="宋体" w:eastAsia="宋体" w:cs="宋体"/>
                <w:b w:val="0"/>
                <w:i w:val="0"/>
                <w:color w:val="000000"/>
                <w:sz w:val="19"/>
              </w:rPr>
              <w:t>呼吸音异常（L2）</w:t>
            </w:r>
          </w:p>
        </w:tc>
        <w:tc>
          <w:tcPr>
            <w:tcW w:type="dxa" w:w="3423"/>
          </w:tcPr>
          <w:p>
            <w:pPr>
              <w:spacing w:after="0" w:line="276" w:lineRule="auto"/>
            </w:pPr>
            <w:r/>
            <w:r>
              <w:rPr>
                <w:rFonts w:ascii="宋体" w:hAnsi="宋体" w:eastAsia="宋体" w:cs="宋体"/>
                <w:b w:val="0"/>
                <w:i w:val="0"/>
                <w:color w:val="000000"/>
                <w:sz w:val="19"/>
              </w:rPr>
              <w:t>CNN + 多标签输出</w:t>
            </w:r>
          </w:p>
        </w:tc>
        <w:tc>
          <w:tcPr>
            <w:tcW w:type="dxa" w:w="3879"/>
          </w:tcPr>
          <w:p>
            <w:pPr>
              <w:spacing w:after="0" w:line="276" w:lineRule="auto"/>
            </w:pPr>
            <w:r/>
            <w:r>
              <w:rPr>
                <w:rFonts w:ascii="宋体" w:hAnsi="宋体" w:eastAsia="宋体" w:cs="宋体"/>
                <w:b w:val="0"/>
                <w:i w:val="0"/>
                <w:color w:val="000000"/>
                <w:sz w:val="19"/>
              </w:rPr>
              <w:t>对呼吸片段做喘息等多标签标注，输出片段级概率与时段</w:t>
            </w:r>
          </w:p>
        </w:tc>
      </w:tr>
      <w:tr>
        <w:tc>
          <w:tcPr>
            <w:tcW w:type="dxa" w:w="1826"/>
            <w:shd w:val="clear" w:color="auto" w:fill="EDF3F9"/>
          </w:tcPr>
          <w:p>
            <w:pPr>
              <w:spacing w:after="0" w:line="276" w:lineRule="auto"/>
            </w:pPr>
            <w:r/>
            <w:r>
              <w:rPr>
                <w:rFonts w:ascii="宋体" w:hAnsi="宋体" w:eastAsia="宋体" w:cs="宋体"/>
                <w:b w:val="0"/>
                <w:i w:val="0"/>
                <w:color w:val="000000"/>
                <w:sz w:val="19"/>
              </w:rPr>
              <w:t>呼吸率（L3）</w:t>
            </w:r>
          </w:p>
        </w:tc>
        <w:tc>
          <w:tcPr>
            <w:tcW w:type="dxa" w:w="3423"/>
            <w:shd w:val="clear" w:color="auto" w:fill="EDF3F9"/>
          </w:tcPr>
          <w:p>
            <w:pPr>
              <w:spacing w:after="0" w:line="276" w:lineRule="auto"/>
            </w:pPr>
            <w:r/>
            <w:r>
              <w:rPr>
                <w:rFonts w:ascii="宋体" w:hAnsi="宋体" w:eastAsia="宋体" w:cs="宋体"/>
                <w:b w:val="0"/>
                <w:i w:val="0"/>
                <w:color w:val="000000"/>
                <w:sz w:val="19"/>
              </w:rPr>
              <w:t>轻量回归网络 / 信号处理融合</w:t>
            </w:r>
          </w:p>
        </w:tc>
        <w:tc>
          <w:tcPr>
            <w:tcW w:type="dxa" w:w="3879"/>
            <w:shd w:val="clear" w:color="auto" w:fill="EDF3F9"/>
          </w:tcPr>
          <w:p>
            <w:pPr>
              <w:spacing w:after="0" w:line="276" w:lineRule="auto"/>
            </w:pPr>
            <w:r/>
            <w:r>
              <w:rPr>
                <w:rFonts w:ascii="宋体" w:hAnsi="宋体" w:eastAsia="宋体" w:cs="宋体"/>
                <w:b w:val="0"/>
                <w:i w:val="0"/>
                <w:color w:val="000000"/>
                <w:sz w:val="19"/>
              </w:rPr>
              <w:t>以呼吸周期相关的频谱与包络特征做回归；对低信噪比片段回退到信号处理方法，保证可用性</w:t>
            </w:r>
          </w:p>
        </w:tc>
      </w:tr>
      <w:tr>
        <w:tc>
          <w:tcPr>
            <w:tcW w:type="dxa" w:w="1826"/>
          </w:tcPr>
          <w:p>
            <w:pPr>
              <w:spacing w:after="0" w:line="276" w:lineRule="auto"/>
            </w:pPr>
            <w:r/>
            <w:r>
              <w:rPr>
                <w:rFonts w:ascii="宋体" w:hAnsi="宋体" w:eastAsia="宋体" w:cs="宋体"/>
                <w:b w:val="0"/>
                <w:i w:val="0"/>
                <w:color w:val="000000"/>
                <w:sz w:val="19"/>
              </w:rPr>
              <w:t>基线预警（L4）</w:t>
            </w:r>
          </w:p>
        </w:tc>
        <w:tc>
          <w:tcPr>
            <w:tcW w:type="dxa" w:w="3423"/>
          </w:tcPr>
          <w:p>
            <w:pPr>
              <w:spacing w:after="0" w:line="276" w:lineRule="auto"/>
            </w:pPr>
            <w:r/>
            <w:r>
              <w:rPr>
                <w:rFonts w:ascii="宋体" w:hAnsi="宋体" w:eastAsia="宋体" w:cs="宋体"/>
                <w:b w:val="0"/>
                <w:i w:val="0"/>
                <w:color w:val="000000"/>
                <w:sz w:val="19"/>
              </w:rPr>
              <w:t>统计模型 + 轻量时序模型</w:t>
            </w:r>
          </w:p>
        </w:tc>
        <w:tc>
          <w:tcPr>
            <w:tcW w:type="dxa" w:w="3879"/>
          </w:tcPr>
          <w:p>
            <w:pPr>
              <w:spacing w:after="0" w:line="276" w:lineRule="auto"/>
            </w:pPr>
            <w:r/>
            <w:r>
              <w:rPr>
                <w:rFonts w:ascii="宋体" w:hAnsi="宋体" w:eastAsia="宋体" w:cs="宋体"/>
                <w:b w:val="0"/>
                <w:i w:val="0"/>
                <w:color w:val="000000"/>
                <w:sz w:val="19"/>
              </w:rPr>
              <w:t>以个体历史建立滚动基线（如近 14 天中位数与分位数），采用偏离度而非绝对值触发预警，降低个体差异带来的误报</w:t>
            </w:r>
          </w:p>
        </w:tc>
      </w:tr>
    </w:tbl>
    <w:p>
      <w:pPr>
        <w:spacing w:after="40"/>
      </w:pPr>
    </w:p>
    <w:p>
      <w:pPr>
        <w:pStyle w:val="Heading3"/>
      </w:pPr>
      <w:r>
        <w:rPr>
          <w:rFonts w:ascii="宋体" w:hAnsi="宋体" w:eastAsia="宋体" w:cs="宋体"/>
          <w:b/>
          <w:i w:val="0"/>
          <w:color w:val="2E74B5"/>
          <w:sz w:val="22"/>
        </w:rPr>
        <w:t>5.3.2 训练策略</w:t>
      </w:r>
    </w:p>
    <w:p>
      <w:pPr>
        <w:spacing w:after="40" w:line="324" w:lineRule="auto"/>
        <w:ind w:left="425" w:hanging="283"/>
      </w:pPr>
      <w:r>
        <w:rPr>
          <w:rFonts w:ascii="宋体" w:hAnsi="宋体" w:eastAsia="宋体" w:cs="宋体"/>
          <w:b w:val="0"/>
          <w:i w:val="0"/>
          <w:color w:val="2E74B5"/>
          <w:sz w:val="18"/>
        </w:rPr>
        <w:t xml:space="preserve">● </w:t>
      </w:r>
      <w:r>
        <w:rPr>
          <w:rFonts w:ascii="宋体" w:hAnsi="宋体" w:eastAsia="宋体" w:cs="宋体"/>
          <w:b/>
          <w:i w:val="0"/>
          <w:color w:val="000000"/>
          <w:sz w:val="21"/>
        </w:rPr>
        <w:t>预训练与迁移：</w:t>
      </w:r>
      <w:r>
        <w:rPr>
          <w:rFonts w:ascii="宋体" w:hAnsi="宋体" w:eastAsia="宋体" w:cs="宋体"/>
          <w:b w:val="0"/>
          <w:i w:val="0"/>
          <w:color w:val="000000"/>
          <w:sz w:val="21"/>
        </w:rPr>
        <w:t>先在公开呼吸音/音频数据集上预训练，再用本项目采集的小样本数据做微调，缓解医疗标注数据稀缺的问题。</w:t>
      </w:r>
    </w:p>
    <w:p>
      <w:pPr>
        <w:spacing w:after="40" w:line="324" w:lineRule="auto"/>
        <w:ind w:left="425" w:hanging="283"/>
      </w:pPr>
      <w:r>
        <w:rPr>
          <w:rFonts w:ascii="宋体" w:hAnsi="宋体" w:eastAsia="宋体" w:cs="宋体"/>
          <w:b w:val="0"/>
          <w:i w:val="0"/>
          <w:color w:val="2E74B5"/>
          <w:sz w:val="18"/>
        </w:rPr>
        <w:t xml:space="preserve">● </w:t>
      </w:r>
      <w:r>
        <w:rPr>
          <w:rFonts w:ascii="宋体" w:hAnsi="宋体" w:eastAsia="宋体" w:cs="宋体"/>
          <w:b/>
          <w:i w:val="0"/>
          <w:color w:val="000000"/>
          <w:sz w:val="21"/>
        </w:rPr>
        <w:t>类别不平衡处理：</w:t>
      </w:r>
      <w:r>
        <w:rPr>
          <w:rFonts w:ascii="宋体" w:hAnsi="宋体" w:eastAsia="宋体" w:cs="宋体"/>
          <w:b w:val="0"/>
          <w:i w:val="0"/>
          <w:color w:val="000000"/>
          <w:sz w:val="21"/>
        </w:rPr>
        <w:t>咳嗽事件在整夜音频中占比极低，采用重采样、焦点损失与难例挖掘组合策略，避免模型退化为「全部判为无事件」。</w:t>
      </w:r>
    </w:p>
    <w:p>
      <w:pPr>
        <w:spacing w:after="40" w:line="324" w:lineRule="auto"/>
        <w:ind w:left="425" w:hanging="283"/>
      </w:pPr>
      <w:r>
        <w:rPr>
          <w:rFonts w:ascii="宋体" w:hAnsi="宋体" w:eastAsia="宋体" w:cs="宋体"/>
          <w:b w:val="0"/>
          <w:i w:val="0"/>
          <w:color w:val="2E74B5"/>
          <w:sz w:val="18"/>
        </w:rPr>
        <w:t xml:space="preserve">● </w:t>
      </w:r>
      <w:r>
        <w:rPr>
          <w:rFonts w:ascii="宋体" w:hAnsi="宋体" w:eastAsia="宋体" w:cs="宋体"/>
          <w:b/>
          <w:i w:val="0"/>
          <w:color w:val="000000"/>
          <w:sz w:val="21"/>
        </w:rPr>
        <w:t>说话声干扰：</w:t>
      </w:r>
      <w:r>
        <w:rPr>
          <w:rFonts w:ascii="宋体" w:hAnsi="宋体" w:eastAsia="宋体" w:cs="宋体"/>
          <w:b w:val="0"/>
          <w:i w:val="0"/>
          <w:color w:val="000000"/>
          <w:sz w:val="21"/>
        </w:rPr>
        <w:t>家庭场景大量人声是主要误报源，在训练集中显式加入多人对话、电视、手机外放等负样本，并评估其对比准确率的影响。</w:t>
      </w:r>
    </w:p>
    <w:p>
      <w:pPr>
        <w:spacing w:after="40" w:line="324" w:lineRule="auto"/>
        <w:ind w:left="425" w:hanging="283"/>
      </w:pPr>
      <w:r>
        <w:rPr>
          <w:rFonts w:ascii="宋体" w:hAnsi="宋体" w:eastAsia="宋体" w:cs="宋体"/>
          <w:b w:val="0"/>
          <w:i w:val="0"/>
          <w:color w:val="2E74B5"/>
          <w:sz w:val="18"/>
        </w:rPr>
        <w:t xml:space="preserve">● </w:t>
      </w:r>
      <w:r>
        <w:rPr>
          <w:rFonts w:ascii="宋体" w:hAnsi="宋体" w:eastAsia="宋体" w:cs="宋体"/>
          <w:b/>
          <w:i w:val="0"/>
          <w:color w:val="000000"/>
          <w:sz w:val="21"/>
        </w:rPr>
        <w:t>设备与场景泛化：</w:t>
      </w:r>
      <w:r>
        <w:rPr>
          <w:rFonts w:ascii="宋体" w:hAnsi="宋体" w:eastAsia="宋体" w:cs="宋体"/>
          <w:b w:val="0"/>
          <w:i w:val="0"/>
          <w:color w:val="000000"/>
          <w:sz w:val="21"/>
        </w:rPr>
        <w:t>按机型、房间类型、季节噪声做分层抽样划分训练/验证/测试集，严格按受试者划分（subject-wise split），杜绝同一受试者跨集导致的数据泄漏。</w:t>
      </w:r>
    </w:p>
    <w:p>
      <w:pPr>
        <w:spacing w:after="40" w:line="324" w:lineRule="auto"/>
        <w:ind w:left="425" w:hanging="283"/>
      </w:pPr>
      <w:r>
        <w:rPr>
          <w:rFonts w:ascii="宋体" w:hAnsi="宋体" w:eastAsia="宋体" w:cs="宋体"/>
          <w:b w:val="0"/>
          <w:i w:val="0"/>
          <w:color w:val="2E74B5"/>
          <w:sz w:val="18"/>
        </w:rPr>
        <w:t xml:space="preserve">● </w:t>
      </w:r>
      <w:r>
        <w:rPr>
          <w:rFonts w:ascii="宋体" w:hAnsi="宋体" w:eastAsia="宋体" w:cs="宋体"/>
          <w:b/>
          <w:i w:val="0"/>
          <w:color w:val="000000"/>
          <w:sz w:val="21"/>
        </w:rPr>
        <w:t>隐私保护训练：</w:t>
      </w:r>
      <w:r>
        <w:rPr>
          <w:rFonts w:ascii="宋体" w:hAnsi="宋体" w:eastAsia="宋体" w:cs="宋体"/>
          <w:b w:val="0"/>
          <w:i w:val="0"/>
          <w:color w:val="000000"/>
          <w:sz w:val="21"/>
        </w:rPr>
        <w:t>探索联邦学习与差分隐私在跨机构数据协作中的应用，在不汇聚原始音频的前提下联合建模，为后续多中心数据合作预留技术路径。</w:t>
      </w:r>
    </w:p>
    <w:p>
      <w:pPr>
        <w:spacing w:after="40" w:line="324" w:lineRule="auto"/>
        <w:ind w:left="425" w:hanging="283"/>
      </w:pPr>
      <w:r>
        <w:rPr>
          <w:rFonts w:ascii="宋体" w:hAnsi="宋体" w:eastAsia="宋体" w:cs="宋体"/>
          <w:b w:val="0"/>
          <w:i w:val="0"/>
          <w:color w:val="2E74B5"/>
          <w:sz w:val="18"/>
        </w:rPr>
        <w:t xml:space="preserve">● </w:t>
      </w:r>
      <w:r>
        <w:rPr>
          <w:rFonts w:ascii="宋体" w:hAnsi="宋体" w:eastAsia="宋体" w:cs="宋体"/>
          <w:b/>
          <w:i w:val="0"/>
          <w:color w:val="000000"/>
          <w:sz w:val="21"/>
        </w:rPr>
        <w:t>模型压缩：</w:t>
      </w:r>
      <w:r>
        <w:rPr>
          <w:rFonts w:ascii="宋体" w:hAnsi="宋体" w:eastAsia="宋体" w:cs="宋体"/>
          <w:b w:val="0"/>
          <w:i w:val="0"/>
          <w:color w:val="000000"/>
          <w:sz w:val="21"/>
        </w:rPr>
        <w:t>训练后量化（PTQ）为主，对精度敏感的层采用量化感知训练（QAT）补偿，必要时以知识蒸馏把大模型能力迁移到边缘小模型。</w:t>
      </w:r>
    </w:p>
    <w:p>
      <w:pPr>
        <w:pStyle w:val="Heading3"/>
      </w:pPr>
      <w:r>
        <w:rPr>
          <w:rFonts w:ascii="宋体" w:hAnsi="宋体" w:eastAsia="宋体" w:cs="宋体"/>
          <w:b/>
          <w:i w:val="0"/>
          <w:color w:val="2E74B5"/>
          <w:sz w:val="22"/>
        </w:rPr>
        <w:t>5.3.3 数据来源与标注规范</w:t>
      </w:r>
    </w:p>
    <w:tbl>
      <w:tblPr>
        <w:tblStyle w:val="TableGrid"/>
        <w:jc w:val="center"/>
        <w:tblLook w:firstColumn="1" w:firstRow="1" w:lastColumn="0" w:lastRow="0" w:noHBand="0" w:noVBand="1" w:val="04A0"/>
        <w:tblCellMar>
          <w:top w:w="60" w:type="dxa"/>
          <w:left w:w="90" w:type="dxa"/>
          <w:bottom w:w="60" w:type="dxa"/>
          <w:right w:w="90" w:type="dxa"/>
        </w:tblCellMar>
        <w:tblW w:w="9129" w:type="dxa"/>
        <w:tblLayout w:type="fixed"/>
      </w:tblPr>
      <w:tblGrid>
        <w:gridCol w:w="1940"/>
        <w:gridCol w:w="1712"/>
        <w:gridCol w:w="2396"/>
        <w:gridCol w:w="3081"/>
      </w:tblGrid>
      <w:tr>
        <w:trPr>
          <w:tblHeader w:val="true"/>
        </w:trPr>
        <w:tc>
          <w:tcPr>
            <w:tcW w:type="dxa" w:w="1940"/>
            <w:shd w:val="clear" w:color="auto" w:fill="1F4E79"/>
          </w:tcPr>
          <w:p>
            <w:pPr>
              <w:spacing w:after="0" w:line="276" w:lineRule="auto"/>
              <w:jc w:val="center"/>
            </w:pPr>
            <w:r/>
            <w:r>
              <w:rPr>
                <w:rFonts w:ascii="宋体" w:hAnsi="宋体" w:eastAsia="宋体" w:cs="宋体"/>
                <w:b/>
                <w:i w:val="0"/>
                <w:color w:val="FFFFFF"/>
                <w:sz w:val="19"/>
              </w:rPr>
              <w:t>数据来源</w:t>
            </w:r>
          </w:p>
        </w:tc>
        <w:tc>
          <w:tcPr>
            <w:tcW w:type="dxa" w:w="1711"/>
            <w:shd w:val="clear" w:color="auto" w:fill="1F4E79"/>
          </w:tcPr>
          <w:p>
            <w:pPr>
              <w:spacing w:after="0" w:line="276" w:lineRule="auto"/>
              <w:jc w:val="center"/>
            </w:pPr>
            <w:r/>
            <w:r>
              <w:rPr>
                <w:rFonts w:ascii="宋体" w:hAnsi="宋体" w:eastAsia="宋体" w:cs="宋体"/>
                <w:b/>
                <w:i w:val="0"/>
                <w:color w:val="FFFFFF"/>
                <w:sz w:val="19"/>
              </w:rPr>
              <w:t>规模（目标）</w:t>
            </w:r>
          </w:p>
        </w:tc>
        <w:tc>
          <w:tcPr>
            <w:tcW w:type="dxa" w:w="2396"/>
            <w:shd w:val="clear" w:color="auto" w:fill="1F4E79"/>
          </w:tcPr>
          <w:p>
            <w:pPr>
              <w:spacing w:after="0" w:line="276" w:lineRule="auto"/>
              <w:jc w:val="center"/>
            </w:pPr>
            <w:r/>
            <w:r>
              <w:rPr>
                <w:rFonts w:ascii="宋体" w:hAnsi="宋体" w:eastAsia="宋体" w:cs="宋体"/>
                <w:b/>
                <w:i w:val="0"/>
                <w:color w:val="FFFFFF"/>
                <w:sz w:val="19"/>
              </w:rPr>
              <w:t>用途</w:t>
            </w:r>
          </w:p>
        </w:tc>
        <w:tc>
          <w:tcPr>
            <w:tcW w:type="dxa" w:w="3081"/>
            <w:shd w:val="clear" w:color="auto" w:fill="1F4E79"/>
          </w:tcPr>
          <w:p>
            <w:pPr>
              <w:spacing w:after="0" w:line="276" w:lineRule="auto"/>
              <w:jc w:val="center"/>
            </w:pPr>
            <w:r/>
            <w:r>
              <w:rPr>
                <w:rFonts w:ascii="宋体" w:hAnsi="宋体" w:eastAsia="宋体" w:cs="宋体"/>
                <w:b/>
                <w:i w:val="0"/>
                <w:color w:val="FFFFFF"/>
                <w:sz w:val="19"/>
              </w:rPr>
              <w:t>获取方式与合规</w:t>
            </w:r>
          </w:p>
        </w:tc>
      </w:tr>
      <w:tr>
        <w:tc>
          <w:tcPr>
            <w:tcW w:type="dxa" w:w="1940"/>
          </w:tcPr>
          <w:p>
            <w:pPr>
              <w:spacing w:after="0" w:line="276" w:lineRule="auto"/>
            </w:pPr>
            <w:r/>
            <w:r>
              <w:rPr>
                <w:rFonts w:ascii="宋体" w:hAnsi="宋体" w:eastAsia="宋体" w:cs="宋体"/>
                <w:b w:val="0"/>
                <w:i w:val="0"/>
                <w:color w:val="000000"/>
                <w:sz w:val="19"/>
              </w:rPr>
              <w:t>公开呼吸音数据集</w:t>
            </w:r>
          </w:p>
        </w:tc>
        <w:tc>
          <w:tcPr>
            <w:tcW w:type="dxa" w:w="1711"/>
          </w:tcPr>
          <w:p>
            <w:pPr>
              <w:spacing w:after="0" w:line="276" w:lineRule="auto"/>
            </w:pPr>
            <w:r/>
            <w:r>
              <w:rPr>
                <w:rFonts w:ascii="宋体" w:hAnsi="宋体" w:eastAsia="宋体" w:cs="宋体"/>
                <w:b w:val="0"/>
                <w:i w:val="0"/>
                <w:color w:val="000000"/>
                <w:sz w:val="19"/>
              </w:rPr>
              <w:t>视具体数据集而定【待补充清单】</w:t>
            </w:r>
          </w:p>
        </w:tc>
        <w:tc>
          <w:tcPr>
            <w:tcW w:type="dxa" w:w="2396"/>
          </w:tcPr>
          <w:p>
            <w:pPr>
              <w:spacing w:after="0" w:line="276" w:lineRule="auto"/>
            </w:pPr>
            <w:r/>
            <w:r>
              <w:rPr>
                <w:rFonts w:ascii="宋体" w:hAnsi="宋体" w:eastAsia="宋体" w:cs="宋体"/>
                <w:b w:val="0"/>
                <w:i w:val="0"/>
                <w:color w:val="000000"/>
                <w:sz w:val="19"/>
              </w:rPr>
              <w:t>预训练与算法性能评估</w:t>
            </w:r>
          </w:p>
        </w:tc>
        <w:tc>
          <w:tcPr>
            <w:tcW w:type="dxa" w:w="3081"/>
          </w:tcPr>
          <w:p>
            <w:pPr>
              <w:spacing w:after="0" w:line="276" w:lineRule="auto"/>
            </w:pPr>
            <w:r/>
            <w:r>
              <w:rPr>
                <w:rFonts w:ascii="宋体" w:hAnsi="宋体" w:eastAsia="宋体" w:cs="宋体"/>
                <w:b w:val="0"/>
                <w:i w:val="0"/>
                <w:color w:val="000000"/>
                <w:sz w:val="19"/>
              </w:rPr>
              <w:t>使用公开授权数据集并登记许可条款。注意：公开数据库不具封闭性，按《人工智能医疗器械注册审查指导原则》（2022 年第 8 号）不能用作测评数据库，只能用于算法性能评估</w:t>
            </w:r>
          </w:p>
        </w:tc>
      </w:tr>
      <w:tr>
        <w:tc>
          <w:tcPr>
            <w:tcW w:type="dxa" w:w="1940"/>
            <w:shd w:val="clear" w:color="auto" w:fill="EDF3F9"/>
          </w:tcPr>
          <w:p>
            <w:pPr>
              <w:spacing w:after="0" w:line="276" w:lineRule="auto"/>
            </w:pPr>
            <w:r/>
            <w:r>
              <w:rPr>
                <w:rFonts w:ascii="宋体" w:hAnsi="宋体" w:eastAsia="宋体" w:cs="宋体"/>
                <w:b w:val="0"/>
                <w:i w:val="0"/>
                <w:color w:val="000000"/>
                <w:sz w:val="19"/>
              </w:rPr>
              <w:t>合作医院回顾性数据</w:t>
            </w:r>
          </w:p>
        </w:tc>
        <w:tc>
          <w:tcPr>
            <w:tcW w:type="dxa" w:w="1711"/>
            <w:shd w:val="clear" w:color="auto" w:fill="EDF3F9"/>
          </w:tcPr>
          <w:p>
            <w:pPr>
              <w:spacing w:after="0" w:line="276" w:lineRule="auto"/>
            </w:pPr>
            <w:r/>
            <w:r>
              <w:rPr>
                <w:rFonts w:ascii="宋体" w:hAnsi="宋体" w:eastAsia="宋体" w:cs="宋体"/>
                <w:b w:val="0"/>
                <w:i w:val="0"/>
                <w:color w:val="000000"/>
                <w:sz w:val="19"/>
              </w:rPr>
              <w:t>≥ 200 例、≥ 1,000 小时【目标】</w:t>
            </w:r>
          </w:p>
        </w:tc>
        <w:tc>
          <w:tcPr>
            <w:tcW w:type="dxa" w:w="2396"/>
            <w:shd w:val="clear" w:color="auto" w:fill="EDF3F9"/>
          </w:tcPr>
          <w:p>
            <w:pPr>
              <w:spacing w:after="0" w:line="276" w:lineRule="auto"/>
            </w:pPr>
            <w:r/>
            <w:r>
              <w:rPr>
                <w:rFonts w:ascii="宋体" w:hAnsi="宋体" w:eastAsia="宋体" w:cs="宋体"/>
                <w:b w:val="0"/>
                <w:i w:val="0"/>
                <w:color w:val="000000"/>
                <w:sz w:val="19"/>
              </w:rPr>
              <w:t>模型训练与临床一致性分析</w:t>
            </w:r>
          </w:p>
        </w:tc>
        <w:tc>
          <w:tcPr>
            <w:tcW w:type="dxa" w:w="3081"/>
            <w:shd w:val="clear" w:color="auto" w:fill="EDF3F9"/>
          </w:tcPr>
          <w:p>
            <w:pPr>
              <w:spacing w:after="0" w:line="276" w:lineRule="auto"/>
            </w:pPr>
            <w:r/>
            <w:r>
              <w:rPr>
                <w:rFonts w:ascii="宋体" w:hAnsi="宋体" w:eastAsia="宋体" w:cs="宋体"/>
                <w:b w:val="0"/>
                <w:i w:val="0"/>
                <w:color w:val="000000"/>
                <w:sz w:val="19"/>
              </w:rPr>
              <w:t>通过伦理审查与知情同意豁免申请（对应阶段 A），数据脱敏后院内处理；数据须与“同步录音 + 肺功能 + 医生诊断”档案对齐，方可支撑建模与验证</w:t>
            </w:r>
          </w:p>
        </w:tc>
      </w:tr>
      <w:tr>
        <w:tc>
          <w:tcPr>
            <w:tcW w:type="dxa" w:w="1940"/>
          </w:tcPr>
          <w:p>
            <w:pPr>
              <w:spacing w:after="0" w:line="276" w:lineRule="auto"/>
            </w:pPr>
            <w:r/>
            <w:r>
              <w:rPr>
                <w:rFonts w:ascii="宋体" w:hAnsi="宋体" w:eastAsia="宋体" w:cs="宋体"/>
                <w:b w:val="0"/>
                <w:i w:val="0"/>
                <w:color w:val="000000"/>
                <w:sz w:val="19"/>
              </w:rPr>
              <w:t>自采居家数据</w:t>
            </w:r>
          </w:p>
        </w:tc>
        <w:tc>
          <w:tcPr>
            <w:tcW w:type="dxa" w:w="1711"/>
          </w:tcPr>
          <w:p>
            <w:pPr>
              <w:spacing w:after="0" w:line="276" w:lineRule="auto"/>
            </w:pPr>
            <w:r/>
            <w:r>
              <w:rPr>
                <w:rFonts w:ascii="宋体" w:hAnsi="宋体" w:eastAsia="宋体" w:cs="宋体"/>
                <w:b w:val="0"/>
                <w:i w:val="0"/>
                <w:color w:val="000000"/>
                <w:sz w:val="19"/>
              </w:rPr>
              <w:t>≥ 300 人次夜、≥ 3,000 小时【目标】</w:t>
            </w:r>
          </w:p>
        </w:tc>
        <w:tc>
          <w:tcPr>
            <w:tcW w:type="dxa" w:w="2396"/>
          </w:tcPr>
          <w:p>
            <w:pPr>
              <w:spacing w:after="0" w:line="276" w:lineRule="auto"/>
            </w:pPr>
            <w:r/>
            <w:r>
              <w:rPr>
                <w:rFonts w:ascii="宋体" w:hAnsi="宋体" w:eastAsia="宋体" w:cs="宋体"/>
                <w:b w:val="0"/>
                <w:i w:val="0"/>
                <w:color w:val="000000"/>
                <w:sz w:val="19"/>
              </w:rPr>
              <w:t>真实噪声场景泛化与居家可行性</w:t>
            </w:r>
          </w:p>
        </w:tc>
        <w:tc>
          <w:tcPr>
            <w:tcW w:type="dxa" w:w="3081"/>
          </w:tcPr>
          <w:p>
            <w:pPr>
              <w:spacing w:after="0" w:line="276" w:lineRule="auto"/>
            </w:pPr>
            <w:r/>
            <w:r>
              <w:rPr>
                <w:rFonts w:ascii="宋体" w:hAnsi="宋体" w:eastAsia="宋体" w:cs="宋体"/>
                <w:b w:val="0"/>
                <w:i w:val="0"/>
                <w:color w:val="000000"/>
                <w:sz w:val="19"/>
              </w:rPr>
              <w:t>志愿者知情同意，边缘端脱敏，仅上传事件片段；知情同意须专门处理第三方（家属、访客）语音问题</w:t>
            </w:r>
          </w:p>
        </w:tc>
      </w:tr>
      <w:tr>
        <w:tc>
          <w:tcPr>
            <w:tcW w:type="dxa" w:w="1940"/>
            <w:shd w:val="clear" w:color="auto" w:fill="EDF3F9"/>
          </w:tcPr>
          <w:p>
            <w:pPr>
              <w:spacing w:after="0" w:line="276" w:lineRule="auto"/>
            </w:pPr>
            <w:r/>
            <w:r>
              <w:rPr>
                <w:rFonts w:ascii="宋体" w:hAnsi="宋体" w:eastAsia="宋体" w:cs="宋体"/>
                <w:b w:val="0"/>
                <w:i w:val="0"/>
                <w:color w:val="000000"/>
                <w:sz w:val="19"/>
              </w:rPr>
              <w:t>自建封闭测评集（确认测试集）</w:t>
            </w:r>
          </w:p>
        </w:tc>
        <w:tc>
          <w:tcPr>
            <w:tcW w:type="dxa" w:w="1711"/>
            <w:shd w:val="clear" w:color="auto" w:fill="EDF3F9"/>
          </w:tcPr>
          <w:p>
            <w:pPr>
              <w:spacing w:after="0" w:line="276" w:lineRule="auto"/>
            </w:pPr>
            <w:r/>
            <w:r>
              <w:rPr>
                <w:rFonts w:ascii="宋体" w:hAnsi="宋体" w:eastAsia="宋体" w:cs="宋体"/>
                <w:b w:val="0"/>
                <w:i w:val="0"/>
                <w:color w:val="000000"/>
                <w:sz w:val="19"/>
              </w:rPr>
              <w:t>≥ 100 例，覆盖多机构 / 多设备 / 多地域并包含罕见样本【目标】</w:t>
            </w:r>
          </w:p>
        </w:tc>
        <w:tc>
          <w:tcPr>
            <w:tcW w:type="dxa" w:w="2396"/>
            <w:shd w:val="clear" w:color="auto" w:fill="EDF3F9"/>
          </w:tcPr>
          <w:p>
            <w:pPr>
              <w:spacing w:after="0" w:line="276" w:lineRule="auto"/>
            </w:pPr>
            <w:r/>
            <w:r>
              <w:rPr>
                <w:rFonts w:ascii="宋体" w:hAnsi="宋体" w:eastAsia="宋体" w:cs="宋体"/>
                <w:b w:val="0"/>
                <w:i w:val="0"/>
                <w:color w:val="000000"/>
                <w:sz w:val="19"/>
              </w:rPr>
              <w:t>注册用确认测试与外部验证</w:t>
            </w:r>
          </w:p>
        </w:tc>
        <w:tc>
          <w:tcPr>
            <w:tcW w:type="dxa" w:w="3081"/>
            <w:shd w:val="clear" w:color="auto" w:fill="EDF3F9"/>
          </w:tcPr>
          <w:p>
            <w:pPr>
              <w:spacing w:after="0" w:line="276" w:lineRule="auto"/>
            </w:pPr>
            <w:r/>
            <w:r>
              <w:rPr>
                <w:rFonts w:ascii="宋体" w:hAnsi="宋体" w:eastAsia="宋体" w:cs="宋体"/>
                <w:b w:val="0"/>
                <w:i w:val="0"/>
                <w:color w:val="000000"/>
                <w:sz w:val="19"/>
              </w:rPr>
              <w:t>训练集、调优集、测试集两两无交集并查重；测试集原则上不做数据扩增（对抗测试除外）；按 2022 年第 8 号要求建立封闭性与访问管理</w:t>
            </w:r>
          </w:p>
        </w:tc>
      </w:tr>
      <w:tr>
        <w:tc>
          <w:tcPr>
            <w:tcW w:type="dxa" w:w="1940"/>
          </w:tcPr>
          <w:p>
            <w:pPr>
              <w:spacing w:after="0" w:line="276" w:lineRule="auto"/>
            </w:pPr>
            <w:r/>
            <w:r>
              <w:rPr>
                <w:rFonts w:ascii="宋体" w:hAnsi="宋体" w:eastAsia="宋体" w:cs="宋体"/>
                <w:b w:val="0"/>
                <w:i w:val="0"/>
                <w:color w:val="000000"/>
                <w:sz w:val="19"/>
              </w:rPr>
              <w:t>仿真与增强数据</w:t>
            </w:r>
          </w:p>
        </w:tc>
        <w:tc>
          <w:tcPr>
            <w:tcW w:type="dxa" w:w="1711"/>
          </w:tcPr>
          <w:p>
            <w:pPr>
              <w:spacing w:after="0" w:line="276" w:lineRule="auto"/>
            </w:pPr>
            <w:r/>
            <w:r>
              <w:rPr>
                <w:rFonts w:ascii="宋体" w:hAnsi="宋体" w:eastAsia="宋体" w:cs="宋体"/>
                <w:b w:val="0"/>
                <w:i w:val="0"/>
                <w:color w:val="000000"/>
                <w:sz w:val="19"/>
              </w:rPr>
              <w:t>按需生成</w:t>
            </w:r>
          </w:p>
        </w:tc>
        <w:tc>
          <w:tcPr>
            <w:tcW w:type="dxa" w:w="2396"/>
          </w:tcPr>
          <w:p>
            <w:pPr>
              <w:spacing w:after="0" w:line="276" w:lineRule="auto"/>
            </w:pPr>
            <w:r/>
            <w:r>
              <w:rPr>
                <w:rFonts w:ascii="宋体" w:hAnsi="宋体" w:eastAsia="宋体" w:cs="宋体"/>
                <w:b w:val="0"/>
                <w:i w:val="0"/>
                <w:color w:val="000000"/>
                <w:sz w:val="19"/>
              </w:rPr>
              <w:t>补充稀有事件与噪声多样性</w:t>
            </w:r>
          </w:p>
        </w:tc>
        <w:tc>
          <w:tcPr>
            <w:tcW w:type="dxa" w:w="3081"/>
          </w:tcPr>
          <w:p>
            <w:pPr>
              <w:spacing w:after="0" w:line="276" w:lineRule="auto"/>
            </w:pPr>
            <w:r/>
            <w:r>
              <w:rPr>
                <w:rFonts w:ascii="宋体" w:hAnsi="宋体" w:eastAsia="宋体" w:cs="宋体"/>
                <w:b w:val="0"/>
                <w:i w:val="0"/>
                <w:color w:val="000000"/>
                <w:sz w:val="19"/>
              </w:rPr>
              <w:t>基于真实背景噪声与合成事件叠加，标注自动生成；仅可用于训练集与调优集，不得进入测试集</w:t>
            </w:r>
          </w:p>
        </w:tc>
      </w:tr>
      <w:tr>
        <w:tc>
          <w:tcPr>
            <w:tcW w:type="dxa" w:w="1940"/>
            <w:shd w:val="clear" w:color="auto" w:fill="EDF3F9"/>
          </w:tcPr>
          <w:p>
            <w:pPr>
              <w:spacing w:after="0" w:line="276" w:lineRule="auto"/>
            </w:pPr>
            <w:r/>
            <w:r>
              <w:rPr>
                <w:rFonts w:ascii="宋体" w:hAnsi="宋体" w:eastAsia="宋体" w:cs="宋体"/>
                <w:b w:val="0"/>
                <w:i w:val="0"/>
                <w:color w:val="000000"/>
                <w:sz w:val="19"/>
              </w:rPr>
              <w:t>标注规范</w:t>
            </w:r>
          </w:p>
        </w:tc>
        <w:tc>
          <w:tcPr>
            <w:tcW w:type="dxa" w:w="1711"/>
            <w:shd w:val="clear" w:color="auto" w:fill="EDF3F9"/>
          </w:tcPr>
          <w:p>
            <w:pPr>
              <w:spacing w:after="0" w:line="276" w:lineRule="auto"/>
            </w:pPr>
            <w:r/>
            <w:r>
              <w:rPr>
                <w:rFonts w:ascii="宋体" w:hAnsi="宋体" w:eastAsia="宋体" w:cs="宋体"/>
                <w:b w:val="0"/>
                <w:i w:val="0"/>
                <w:color w:val="000000"/>
                <w:sz w:val="19"/>
              </w:rPr>
              <w:t>多观察者独立标注 + 第三方仲裁</w:t>
            </w:r>
          </w:p>
        </w:tc>
        <w:tc>
          <w:tcPr>
            <w:tcW w:type="dxa" w:w="2396"/>
            <w:shd w:val="clear" w:color="auto" w:fill="EDF3F9"/>
          </w:tcPr>
          <w:p>
            <w:pPr>
              <w:spacing w:after="0" w:line="276" w:lineRule="auto"/>
            </w:pPr>
            <w:r/>
            <w:r>
              <w:rPr>
                <w:rFonts w:ascii="宋体" w:hAnsi="宋体" w:eastAsia="宋体" w:cs="宋体"/>
                <w:b w:val="0"/>
                <w:i w:val="0"/>
                <w:color w:val="000000"/>
                <w:sz w:val="19"/>
              </w:rPr>
              <w:t>保证标签质量与金标准地位</w:t>
            </w:r>
          </w:p>
        </w:tc>
        <w:tc>
          <w:tcPr>
            <w:tcW w:type="dxa" w:w="3081"/>
            <w:shd w:val="clear" w:color="auto" w:fill="EDF3F9"/>
          </w:tcPr>
          <w:p>
            <w:pPr>
              <w:spacing w:after="0" w:line="276" w:lineRule="auto"/>
            </w:pPr>
            <w:r/>
            <w:r>
              <w:rPr>
                <w:rFonts w:ascii="宋体" w:hAnsi="宋体" w:eastAsia="宋体" w:cs="宋体"/>
                <w:b w:val="0"/>
                <w:i w:val="0"/>
                <w:color w:val="000000"/>
                <w:sz w:val="19"/>
              </w:rPr>
              <w:t>自动化咳嗽计数领域的金标准是多观察者人工标注的连续录音，而不是患者日记或问卷（主观报告与录音实测一致性仅 Cohen's κ = 0.30）；制定标注手册并报告标注者间一致性 Cohen's κ（目标 ≥ 0.80）</w:t>
            </w:r>
          </w:p>
        </w:tc>
      </w:tr>
    </w:tbl>
    <w:p>
      <w:pPr>
        <w:spacing w:after="40"/>
      </w:pPr>
    </w:p>
    <w:p>
      <w:pPr>
        <w:pStyle w:val="Heading2"/>
      </w:pPr>
      <w:r>
        <w:rPr>
          <w:rFonts w:ascii="宋体" w:hAnsi="宋体" w:eastAsia="宋体" w:cs="宋体"/>
          <w:b/>
          <w:i w:val="0"/>
          <w:color w:val="2E74B5"/>
          <w:sz w:val="25"/>
        </w:rPr>
        <w:t>5.4 RK3576 边缘端部署方案</w:t>
      </w:r>
    </w:p>
    <w:p>
      <w:pPr>
        <w:spacing w:after="80"/>
        <w:ind w:firstLine="420"/>
      </w:pPr>
      <w:r>
        <w:rPr>
          <w:rFonts w:ascii="宋体" w:hAnsi="宋体" w:eastAsia="宋体" w:cs="宋体"/>
          <w:b w:val="0"/>
          <w:i w:val="0"/>
          <w:color w:val="000000"/>
          <w:sz w:val="21"/>
        </w:rPr>
        <w:t>部署主链路为：PyTorch 训练 → ONNX 导出 → RKNN-Toolkit2 量化转换 → RKNN Runtime 推理。其中量化是精度的最大风险点，也是本项目重点攻关环节。</w:t>
      </w:r>
    </w:p>
    <w:p>
      <w:pPr>
        <w:spacing w:after="40" w:line="324" w:lineRule="auto"/>
        <w:ind w:left="425" w:hanging="283"/>
      </w:pPr>
      <w:r>
        <w:rPr>
          <w:rFonts w:ascii="宋体" w:hAnsi="宋体" w:eastAsia="宋体" w:cs="宋体"/>
          <w:b w:val="0"/>
          <w:i w:val="0"/>
          <w:color w:val="2E74B5"/>
          <w:sz w:val="18"/>
        </w:rPr>
        <w:t xml:space="preserve">● </w:t>
      </w:r>
      <w:r>
        <w:rPr>
          <w:rFonts w:ascii="宋体" w:hAnsi="宋体" w:eastAsia="宋体" w:cs="宋体"/>
          <w:b/>
          <w:i w:val="0"/>
          <w:color w:val="000000"/>
          <w:sz w:val="21"/>
        </w:rPr>
        <w:t>工具链：</w:t>
      </w:r>
      <w:r>
        <w:rPr>
          <w:rFonts w:ascii="宋体" w:hAnsi="宋体" w:eastAsia="宋体" w:cs="宋体"/>
          <w:b w:val="0"/>
          <w:i w:val="0"/>
          <w:color w:val="000000"/>
          <w:sz w:val="21"/>
        </w:rPr>
        <w:t>PyTorch 训练 → ONNX 导出（固定输入形状，避免动态轴带来的转换问题）→ RKNN-Toolkit2 量化转换 → RKNN Runtime 在板端加载执行。</w:t>
      </w:r>
    </w:p>
    <w:p>
      <w:pPr>
        <w:spacing w:after="40" w:line="324" w:lineRule="auto"/>
        <w:ind w:left="425" w:hanging="283"/>
      </w:pPr>
      <w:r>
        <w:rPr>
          <w:rFonts w:ascii="宋体" w:hAnsi="宋体" w:eastAsia="宋体" w:cs="宋体"/>
          <w:b w:val="0"/>
          <w:i w:val="0"/>
          <w:color w:val="2E74B5"/>
          <w:sz w:val="18"/>
        </w:rPr>
        <w:t xml:space="preserve">● </w:t>
      </w:r>
      <w:r>
        <w:rPr>
          <w:rFonts w:ascii="宋体" w:hAnsi="宋体" w:eastAsia="宋体" w:cs="宋体"/>
          <w:b/>
          <w:i w:val="0"/>
          <w:color w:val="000000"/>
          <w:sz w:val="21"/>
        </w:rPr>
        <w:t>量化策略：</w:t>
      </w:r>
      <w:r>
        <w:rPr>
          <w:rFonts w:ascii="宋体" w:hAnsi="宋体" w:eastAsia="宋体" w:cs="宋体"/>
          <w:b w:val="0"/>
          <w:i w:val="0"/>
          <w:color w:val="000000"/>
          <w:sz w:val="21"/>
        </w:rPr>
        <w:t>以 INT8 对称量化为主；对梅尔谱前端与首末层等敏感部分保留 FP16 或混合精度，量化后必须在留出测试集上对比精度损失，设定「精度下降超过 2 个百分点即回退」的验收红线。</w:t>
      </w:r>
    </w:p>
    <w:p>
      <w:pPr>
        <w:spacing w:after="40" w:line="324" w:lineRule="auto"/>
        <w:ind w:left="425" w:hanging="283"/>
      </w:pPr>
      <w:r>
        <w:rPr>
          <w:rFonts w:ascii="宋体" w:hAnsi="宋体" w:eastAsia="宋体" w:cs="宋体"/>
          <w:b w:val="0"/>
          <w:i w:val="0"/>
          <w:color w:val="2E74B5"/>
          <w:sz w:val="18"/>
        </w:rPr>
        <w:t xml:space="preserve">● </w:t>
      </w:r>
      <w:r>
        <w:rPr>
          <w:rFonts w:ascii="宋体" w:hAnsi="宋体" w:eastAsia="宋体" w:cs="宋体"/>
          <w:b/>
          <w:i w:val="0"/>
          <w:color w:val="000000"/>
          <w:sz w:val="21"/>
        </w:rPr>
        <w:t>结构优化：</w:t>
      </w:r>
      <w:r>
        <w:rPr>
          <w:rFonts w:ascii="宋体" w:hAnsi="宋体" w:eastAsia="宋体" w:cs="宋体"/>
          <w:b w:val="0"/>
          <w:i w:val="0"/>
          <w:color w:val="000000"/>
          <w:sz w:val="21"/>
        </w:rPr>
        <w:t>用深度可分离卷积替代标准卷积、限制注意力范围、减小通道数，把单模型体积压到 4 MB 以内，降低内存带宽压力与推理耗时。</w:t>
      </w:r>
    </w:p>
    <w:p>
      <w:pPr>
        <w:spacing w:after="40" w:line="324" w:lineRule="auto"/>
        <w:ind w:left="425" w:hanging="283"/>
      </w:pPr>
      <w:r>
        <w:rPr>
          <w:rFonts w:ascii="宋体" w:hAnsi="宋体" w:eastAsia="宋体" w:cs="宋体"/>
          <w:b w:val="0"/>
          <w:i w:val="0"/>
          <w:color w:val="2E74B5"/>
          <w:sz w:val="18"/>
        </w:rPr>
        <w:t xml:space="preserve">● </w:t>
      </w:r>
      <w:r>
        <w:rPr>
          <w:rFonts w:ascii="宋体" w:hAnsi="宋体" w:eastAsia="宋体" w:cs="宋体"/>
          <w:b/>
          <w:i w:val="0"/>
          <w:color w:val="000000"/>
          <w:sz w:val="21"/>
        </w:rPr>
        <w:t>调度策略：</w:t>
      </w:r>
      <w:r>
        <w:rPr>
          <w:rFonts w:ascii="宋体" w:hAnsi="宋体" w:eastAsia="宋体" w:cs="宋体"/>
          <w:b w:val="0"/>
          <w:i w:val="0"/>
          <w:color w:val="000000"/>
          <w:sz w:val="21"/>
        </w:rPr>
        <w:t>常听模型以固定小时间片轮转运行；检测到候选事件后再唤醒分类模型，两模型分时复用 NPU，避免峰值功耗叠加。</w:t>
      </w:r>
    </w:p>
    <w:p>
      <w:pPr>
        <w:spacing w:after="40" w:line="324" w:lineRule="auto"/>
        <w:ind w:left="425" w:hanging="283"/>
      </w:pPr>
      <w:r>
        <w:rPr>
          <w:rFonts w:ascii="宋体" w:hAnsi="宋体" w:eastAsia="宋体" w:cs="宋体"/>
          <w:b w:val="0"/>
          <w:i w:val="0"/>
          <w:color w:val="2E74B5"/>
          <w:sz w:val="18"/>
        </w:rPr>
        <w:t xml:space="preserve">● </w:t>
      </w:r>
      <w:r>
        <w:rPr>
          <w:rFonts w:ascii="宋体" w:hAnsi="宋体" w:eastAsia="宋体" w:cs="宋体"/>
          <w:b/>
          <w:i w:val="0"/>
          <w:color w:val="000000"/>
          <w:sz w:val="21"/>
        </w:rPr>
        <w:t>工程化保障：</w:t>
      </w:r>
      <w:r>
        <w:rPr>
          <w:rFonts w:ascii="宋体" w:hAnsi="宋体" w:eastAsia="宋体" w:cs="宋体"/>
          <w:b w:val="0"/>
          <w:i w:val="0"/>
          <w:color w:val="000000"/>
          <w:sz w:val="21"/>
        </w:rPr>
        <w:t>推理服务以独立进程守护，支持崩溃自动重启；维护模型版本号与算法版本锁定机制，确保医疗器械版本的算法可追溯、不可静默变更。</w:t>
      </w:r>
    </w:p>
    <w:p>
      <w:pPr>
        <w:spacing w:after="40" w:line="324" w:lineRule="auto"/>
        <w:ind w:left="425" w:hanging="283"/>
      </w:pPr>
      <w:r>
        <w:rPr>
          <w:rFonts w:ascii="宋体" w:hAnsi="宋体" w:eastAsia="宋体" w:cs="宋体"/>
          <w:b w:val="0"/>
          <w:i w:val="0"/>
          <w:color w:val="2E74B5"/>
          <w:sz w:val="18"/>
        </w:rPr>
        <w:t xml:space="preserve">● </w:t>
      </w:r>
      <w:r>
        <w:rPr>
          <w:rFonts w:ascii="宋体" w:hAnsi="宋体" w:eastAsia="宋体" w:cs="宋体"/>
          <w:b/>
          <w:i w:val="0"/>
          <w:color w:val="000000"/>
          <w:sz w:val="21"/>
        </w:rPr>
        <w:t>实测方法：</w:t>
      </w:r>
      <w:r>
        <w:rPr>
          <w:rFonts w:ascii="宋体" w:hAnsi="宋体" w:eastAsia="宋体" w:cs="宋体"/>
          <w:b w:val="0"/>
          <w:i w:val="0"/>
          <w:color w:val="000000"/>
          <w:sz w:val="21"/>
        </w:rPr>
        <w:t>在板端用真实音频回放做端到端压测，记录单窗推理耗时分布（P50/P95）、NPU 占用、内存峰值与整机功耗，作为验收依据。</w:t>
      </w:r>
    </w:p>
    <w:p>
      <w:pPr>
        <w:pStyle w:val="Heading2"/>
      </w:pPr>
      <w:r>
        <w:rPr>
          <w:rFonts w:ascii="宋体" w:hAnsi="宋体" w:eastAsia="宋体" w:cs="宋体"/>
          <w:b/>
          <w:i w:val="0"/>
          <w:color w:val="2E74B5"/>
          <w:sz w:val="25"/>
        </w:rPr>
        <w:t>5.5 性能指标与资源预算</w:t>
      </w:r>
    </w:p>
    <w:tbl>
      <w:tblPr>
        <w:tblStyle w:val="TableGrid"/>
        <w:jc w:val="center"/>
        <w:tblLook w:firstColumn="1" w:firstRow="1" w:lastColumn="0" w:lastRow="0" w:noHBand="0" w:noVBand="1" w:val="04A0"/>
        <w:tblCellMar>
          <w:top w:w="60" w:type="dxa"/>
          <w:left w:w="90" w:type="dxa"/>
          <w:bottom w:w="60" w:type="dxa"/>
          <w:right w:w="90" w:type="dxa"/>
        </w:tblCellMar>
        <w:tblW w:w="9129" w:type="dxa"/>
        <w:tblLayout w:type="fixed"/>
      </w:tblPr>
      <w:tblGrid>
        <w:gridCol w:w="1940"/>
        <w:gridCol w:w="1712"/>
        <w:gridCol w:w="1940"/>
        <w:gridCol w:w="3537"/>
      </w:tblGrid>
      <w:tr>
        <w:trPr>
          <w:tblHeader w:val="true"/>
        </w:trPr>
        <w:tc>
          <w:tcPr>
            <w:tcW w:type="dxa" w:w="1940"/>
            <w:shd w:val="clear" w:color="auto" w:fill="1F4E79"/>
          </w:tcPr>
          <w:p>
            <w:pPr>
              <w:spacing w:after="0" w:line="276" w:lineRule="auto"/>
              <w:jc w:val="center"/>
            </w:pPr>
            <w:r/>
            <w:r>
              <w:rPr>
                <w:rFonts w:ascii="宋体" w:hAnsi="宋体" w:eastAsia="宋体" w:cs="宋体"/>
                <w:b/>
                <w:i w:val="0"/>
                <w:color w:val="FFFFFF"/>
                <w:sz w:val="19"/>
              </w:rPr>
              <w:t>类别</w:t>
            </w:r>
          </w:p>
        </w:tc>
        <w:tc>
          <w:tcPr>
            <w:tcW w:type="dxa" w:w="1711"/>
            <w:shd w:val="clear" w:color="auto" w:fill="1F4E79"/>
          </w:tcPr>
          <w:p>
            <w:pPr>
              <w:spacing w:after="0" w:line="276" w:lineRule="auto"/>
              <w:jc w:val="center"/>
            </w:pPr>
            <w:r/>
            <w:r>
              <w:rPr>
                <w:rFonts w:ascii="宋体" w:hAnsi="宋体" w:eastAsia="宋体" w:cs="宋体"/>
                <w:b/>
                <w:i w:val="0"/>
                <w:color w:val="FFFFFF"/>
                <w:sz w:val="19"/>
              </w:rPr>
              <w:t>指标</w:t>
            </w:r>
          </w:p>
        </w:tc>
        <w:tc>
          <w:tcPr>
            <w:tcW w:type="dxa" w:w="1940"/>
            <w:shd w:val="clear" w:color="auto" w:fill="1F4E79"/>
          </w:tcPr>
          <w:p>
            <w:pPr>
              <w:spacing w:after="0" w:line="276" w:lineRule="auto"/>
              <w:jc w:val="center"/>
            </w:pPr>
            <w:r/>
            <w:r>
              <w:rPr>
                <w:rFonts w:ascii="宋体" w:hAnsi="宋体" w:eastAsia="宋体" w:cs="宋体"/>
                <w:b/>
                <w:i w:val="0"/>
                <w:color w:val="FFFFFF"/>
                <w:sz w:val="19"/>
              </w:rPr>
              <w:t>设计目标</w:t>
            </w:r>
          </w:p>
        </w:tc>
        <w:tc>
          <w:tcPr>
            <w:tcW w:type="dxa" w:w="3537"/>
            <w:shd w:val="clear" w:color="auto" w:fill="1F4E79"/>
          </w:tcPr>
          <w:p>
            <w:pPr>
              <w:spacing w:after="0" w:line="276" w:lineRule="auto"/>
              <w:jc w:val="center"/>
            </w:pPr>
            <w:r/>
            <w:r>
              <w:rPr>
                <w:rFonts w:ascii="宋体" w:hAnsi="宋体" w:eastAsia="宋体" w:cs="宋体"/>
                <w:b/>
                <w:i w:val="0"/>
                <w:color w:val="FFFFFF"/>
                <w:sz w:val="19"/>
              </w:rPr>
              <w:t>验证方法</w:t>
            </w:r>
          </w:p>
        </w:tc>
      </w:tr>
      <w:tr>
        <w:tc>
          <w:tcPr>
            <w:tcW w:type="dxa" w:w="1940"/>
          </w:tcPr>
          <w:p>
            <w:pPr>
              <w:spacing w:after="0" w:line="276" w:lineRule="auto"/>
            </w:pPr>
            <w:r/>
            <w:r>
              <w:rPr>
                <w:rFonts w:ascii="宋体" w:hAnsi="宋体" w:eastAsia="宋体" w:cs="宋体"/>
                <w:b w:val="0"/>
                <w:i w:val="0"/>
                <w:color w:val="000000"/>
                <w:sz w:val="19"/>
              </w:rPr>
              <w:t>精度</w:t>
            </w:r>
          </w:p>
        </w:tc>
        <w:tc>
          <w:tcPr>
            <w:tcW w:type="dxa" w:w="1711"/>
          </w:tcPr>
          <w:p>
            <w:pPr>
              <w:spacing w:after="0" w:line="276" w:lineRule="auto"/>
            </w:pPr>
            <w:r/>
            <w:r>
              <w:rPr>
                <w:rFonts w:ascii="宋体" w:hAnsi="宋体" w:eastAsia="宋体" w:cs="宋体"/>
                <w:b w:val="0"/>
                <w:i w:val="0"/>
                <w:color w:val="000000"/>
                <w:sz w:val="19"/>
              </w:rPr>
              <w:t>咳嗽事件 F1</w:t>
            </w:r>
          </w:p>
        </w:tc>
        <w:tc>
          <w:tcPr>
            <w:tcW w:type="dxa" w:w="1940"/>
          </w:tcPr>
          <w:p>
            <w:pPr>
              <w:spacing w:after="0" w:line="276" w:lineRule="auto"/>
            </w:pPr>
            <w:r/>
            <w:r>
              <w:rPr>
                <w:rFonts w:ascii="宋体" w:hAnsi="宋体" w:eastAsia="宋体" w:cs="宋体"/>
                <w:b w:val="0"/>
                <w:i w:val="0"/>
                <w:color w:val="000000"/>
                <w:sz w:val="19"/>
              </w:rPr>
              <w:t>≥ 0.85</w:t>
            </w:r>
          </w:p>
        </w:tc>
        <w:tc>
          <w:tcPr>
            <w:tcW w:type="dxa" w:w="3537"/>
          </w:tcPr>
          <w:p>
            <w:pPr>
              <w:spacing w:after="0" w:line="276" w:lineRule="auto"/>
            </w:pPr>
            <w:r/>
            <w:r>
              <w:rPr>
                <w:rFonts w:ascii="宋体" w:hAnsi="宋体" w:eastAsia="宋体" w:cs="宋体"/>
                <w:b w:val="0"/>
                <w:i w:val="0"/>
                <w:color w:val="000000"/>
                <w:sz w:val="19"/>
              </w:rPr>
              <w:t>留出测试集，事件级 ±1 s 容差匹配</w:t>
            </w:r>
          </w:p>
        </w:tc>
      </w:tr>
      <w:tr>
        <w:tc>
          <w:tcPr>
            <w:tcW w:type="dxa" w:w="1940"/>
            <w:shd w:val="clear" w:color="auto" w:fill="EDF3F9"/>
          </w:tcPr>
          <w:p>
            <w:pPr>
              <w:spacing w:after="0" w:line="276" w:lineRule="auto"/>
            </w:pPr>
            <w:r/>
            <w:r>
              <w:rPr>
                <w:rFonts w:ascii="宋体" w:hAnsi="宋体" w:eastAsia="宋体" w:cs="宋体"/>
                <w:b w:val="0"/>
                <w:i w:val="0"/>
                <w:color w:val="000000"/>
                <w:sz w:val="19"/>
              </w:rPr>
              <w:t>精度</w:t>
            </w:r>
          </w:p>
        </w:tc>
        <w:tc>
          <w:tcPr>
            <w:tcW w:type="dxa" w:w="1711"/>
            <w:shd w:val="clear" w:color="auto" w:fill="EDF3F9"/>
          </w:tcPr>
          <w:p>
            <w:pPr>
              <w:spacing w:after="0" w:line="276" w:lineRule="auto"/>
            </w:pPr>
            <w:r/>
            <w:r>
              <w:rPr>
                <w:rFonts w:ascii="宋体" w:hAnsi="宋体" w:eastAsia="宋体" w:cs="宋体"/>
                <w:b w:val="0"/>
                <w:i w:val="0"/>
                <w:color w:val="000000"/>
                <w:sz w:val="19"/>
              </w:rPr>
              <w:t>喘息检出敏感度 / 特异度</w:t>
            </w:r>
          </w:p>
        </w:tc>
        <w:tc>
          <w:tcPr>
            <w:tcW w:type="dxa" w:w="1940"/>
            <w:shd w:val="clear" w:color="auto" w:fill="EDF3F9"/>
          </w:tcPr>
          <w:p>
            <w:pPr>
              <w:spacing w:after="0" w:line="276" w:lineRule="auto"/>
            </w:pPr>
            <w:r/>
            <w:r>
              <w:rPr>
                <w:rFonts w:ascii="宋体" w:hAnsi="宋体" w:eastAsia="宋体" w:cs="宋体"/>
                <w:b w:val="0"/>
                <w:i w:val="0"/>
                <w:color w:val="000000"/>
                <w:sz w:val="19"/>
              </w:rPr>
              <w:t>≥ 0.80 / ≥ 0.85</w:t>
            </w:r>
          </w:p>
        </w:tc>
        <w:tc>
          <w:tcPr>
            <w:tcW w:type="dxa" w:w="3537"/>
            <w:shd w:val="clear" w:color="auto" w:fill="EDF3F9"/>
          </w:tcPr>
          <w:p>
            <w:pPr>
              <w:spacing w:after="0" w:line="276" w:lineRule="auto"/>
            </w:pPr>
            <w:r/>
            <w:r>
              <w:rPr>
                <w:rFonts w:ascii="宋体" w:hAnsi="宋体" w:eastAsia="宋体" w:cs="宋体"/>
                <w:b w:val="0"/>
                <w:i w:val="0"/>
                <w:color w:val="000000"/>
                <w:sz w:val="19"/>
              </w:rPr>
              <w:t>片段级评估，与医生标注对照</w:t>
            </w:r>
          </w:p>
        </w:tc>
      </w:tr>
      <w:tr>
        <w:tc>
          <w:tcPr>
            <w:tcW w:type="dxa" w:w="1940"/>
          </w:tcPr>
          <w:p>
            <w:pPr>
              <w:spacing w:after="0" w:line="276" w:lineRule="auto"/>
            </w:pPr>
            <w:r/>
            <w:r>
              <w:rPr>
                <w:rFonts w:ascii="宋体" w:hAnsi="宋体" w:eastAsia="宋体" w:cs="宋体"/>
                <w:b w:val="0"/>
                <w:i w:val="0"/>
                <w:color w:val="000000"/>
                <w:sz w:val="19"/>
              </w:rPr>
              <w:t>精度</w:t>
            </w:r>
          </w:p>
        </w:tc>
        <w:tc>
          <w:tcPr>
            <w:tcW w:type="dxa" w:w="1711"/>
          </w:tcPr>
          <w:p>
            <w:pPr>
              <w:spacing w:after="0" w:line="276" w:lineRule="auto"/>
            </w:pPr>
            <w:r/>
            <w:r>
              <w:rPr>
                <w:rFonts w:ascii="宋体" w:hAnsi="宋体" w:eastAsia="宋体" w:cs="宋体"/>
                <w:b w:val="0"/>
                <w:i w:val="0"/>
                <w:color w:val="000000"/>
                <w:sz w:val="19"/>
              </w:rPr>
              <w:t>呼吸率 MAE / RMSD</w:t>
            </w:r>
          </w:p>
        </w:tc>
        <w:tc>
          <w:tcPr>
            <w:tcW w:type="dxa" w:w="1940"/>
          </w:tcPr>
          <w:p>
            <w:pPr>
              <w:spacing w:after="0" w:line="276" w:lineRule="auto"/>
            </w:pPr>
            <w:r/>
            <w:r>
              <w:rPr>
                <w:rFonts w:ascii="宋体" w:hAnsi="宋体" w:eastAsia="宋体" w:cs="宋体"/>
                <w:b w:val="0"/>
                <w:i w:val="0"/>
                <w:color w:val="000000"/>
                <w:sz w:val="19"/>
              </w:rPr>
              <w:t>MAE ≤ 2 次/分、RMSD ＜ 3 次/分</w:t>
            </w:r>
          </w:p>
        </w:tc>
        <w:tc>
          <w:tcPr>
            <w:tcW w:type="dxa" w:w="3537"/>
          </w:tcPr>
          <w:p>
            <w:pPr>
              <w:spacing w:after="0" w:line="276" w:lineRule="auto"/>
            </w:pPr>
            <w:r/>
            <w:r>
              <w:rPr>
                <w:rFonts w:ascii="宋体" w:hAnsi="宋体" w:eastAsia="宋体" w:cs="宋体"/>
                <w:b w:val="0"/>
                <w:i w:val="0"/>
                <w:color w:val="000000"/>
                <w:sz w:val="19"/>
              </w:rPr>
              <w:t>与 capnography 或 III 型心肺监测同步采集对照；RMSD ＜ 3 次/分是呼吸率监测设备被普遍接受的临床可接受误差范围</w:t>
            </w:r>
          </w:p>
        </w:tc>
      </w:tr>
      <w:tr>
        <w:tc>
          <w:tcPr>
            <w:tcW w:type="dxa" w:w="1940"/>
            <w:shd w:val="clear" w:color="auto" w:fill="EDF3F9"/>
          </w:tcPr>
          <w:p>
            <w:pPr>
              <w:spacing w:after="0" w:line="276" w:lineRule="auto"/>
            </w:pPr>
            <w:r/>
            <w:r>
              <w:rPr>
                <w:rFonts w:ascii="宋体" w:hAnsi="宋体" w:eastAsia="宋体" w:cs="宋体"/>
                <w:b w:val="0"/>
                <w:i w:val="0"/>
                <w:color w:val="000000"/>
                <w:sz w:val="19"/>
              </w:rPr>
              <w:t>精度</w:t>
            </w:r>
          </w:p>
        </w:tc>
        <w:tc>
          <w:tcPr>
            <w:tcW w:type="dxa" w:w="1711"/>
            <w:shd w:val="clear" w:color="auto" w:fill="EDF3F9"/>
          </w:tcPr>
          <w:p>
            <w:pPr>
              <w:spacing w:after="0" w:line="276" w:lineRule="auto"/>
            </w:pPr>
            <w:r/>
            <w:r>
              <w:rPr>
                <w:rFonts w:ascii="宋体" w:hAnsi="宋体" w:eastAsia="宋体" w:cs="宋体"/>
                <w:b w:val="0"/>
                <w:i w:val="0"/>
                <w:color w:val="000000"/>
                <w:sz w:val="19"/>
              </w:rPr>
              <w:t>咳嗽计数一致性 ICC(2,1)</w:t>
            </w:r>
          </w:p>
        </w:tc>
        <w:tc>
          <w:tcPr>
            <w:tcW w:type="dxa" w:w="1940"/>
            <w:shd w:val="clear" w:color="auto" w:fill="EDF3F9"/>
          </w:tcPr>
          <w:p>
            <w:pPr>
              <w:spacing w:after="0" w:line="276" w:lineRule="auto"/>
            </w:pPr>
            <w:r/>
            <w:r>
              <w:rPr>
                <w:rFonts w:ascii="宋体" w:hAnsi="宋体" w:eastAsia="宋体" w:cs="宋体"/>
                <w:b w:val="0"/>
                <w:i w:val="0"/>
                <w:color w:val="000000"/>
                <w:sz w:val="19"/>
              </w:rPr>
              <w:t>≥ 0.90</w:t>
            </w:r>
          </w:p>
        </w:tc>
        <w:tc>
          <w:tcPr>
            <w:tcW w:type="dxa" w:w="3537"/>
            <w:shd w:val="clear" w:color="auto" w:fill="EDF3F9"/>
          </w:tcPr>
          <w:p>
            <w:pPr>
              <w:spacing w:after="0" w:line="276" w:lineRule="auto"/>
            </w:pPr>
            <w:r/>
            <w:r>
              <w:rPr>
                <w:rFonts w:ascii="宋体" w:hAnsi="宋体" w:eastAsia="宋体" w:cs="宋体"/>
                <w:b w:val="0"/>
                <w:i w:val="0"/>
                <w:color w:val="000000"/>
                <w:sz w:val="19"/>
              </w:rPr>
              <w:t>与多观察者人工标注对照，逐时段 ICC(2,1) + Bland-Altman 一致性界限（对标莱斯特咳嗽监测仪个体内 ICC 0.9）</w:t>
            </w:r>
          </w:p>
        </w:tc>
      </w:tr>
      <w:tr>
        <w:tc>
          <w:tcPr>
            <w:tcW w:type="dxa" w:w="1940"/>
          </w:tcPr>
          <w:p>
            <w:pPr>
              <w:spacing w:after="0" w:line="276" w:lineRule="auto"/>
            </w:pPr>
            <w:r/>
            <w:r>
              <w:rPr>
                <w:rFonts w:ascii="宋体" w:hAnsi="宋体" w:eastAsia="宋体" w:cs="宋体"/>
                <w:b w:val="0"/>
                <w:i w:val="0"/>
                <w:color w:val="000000"/>
                <w:sz w:val="19"/>
              </w:rPr>
              <w:t>精度</w:t>
            </w:r>
          </w:p>
        </w:tc>
        <w:tc>
          <w:tcPr>
            <w:tcW w:type="dxa" w:w="1711"/>
          </w:tcPr>
          <w:p>
            <w:pPr>
              <w:spacing w:after="0" w:line="276" w:lineRule="auto"/>
            </w:pPr>
            <w:r/>
            <w:r>
              <w:rPr>
                <w:rFonts w:ascii="宋体" w:hAnsi="宋体" w:eastAsia="宋体" w:cs="宋体"/>
                <w:b w:val="0"/>
                <w:i w:val="0"/>
                <w:color w:val="000000"/>
                <w:sz w:val="19"/>
              </w:rPr>
              <w:t>假阳性率</w:t>
            </w:r>
          </w:p>
        </w:tc>
        <w:tc>
          <w:tcPr>
            <w:tcW w:type="dxa" w:w="1940"/>
          </w:tcPr>
          <w:p>
            <w:pPr>
              <w:spacing w:after="0" w:line="276" w:lineRule="auto"/>
            </w:pPr>
            <w:r/>
            <w:r>
              <w:rPr>
                <w:rFonts w:ascii="宋体" w:hAnsi="宋体" w:eastAsia="宋体" w:cs="宋体"/>
                <w:b w:val="0"/>
                <w:i w:val="0"/>
                <w:color w:val="000000"/>
                <w:sz w:val="19"/>
              </w:rPr>
              <w:t>≤ 1.0 次/小时（验收上限 ≤ 2 次/小时）</w:t>
            </w:r>
          </w:p>
        </w:tc>
        <w:tc>
          <w:tcPr>
            <w:tcW w:type="dxa" w:w="3537"/>
          </w:tcPr>
          <w:p>
            <w:pPr>
              <w:spacing w:after="0" w:line="276" w:lineRule="auto"/>
            </w:pPr>
            <w:r/>
            <w:r>
              <w:rPr>
                <w:rFonts w:ascii="宋体" w:hAnsi="宋体" w:eastAsia="宋体" w:cs="宋体"/>
                <w:b w:val="0"/>
                <w:i w:val="0"/>
                <w:color w:val="000000"/>
                <w:sz w:val="19"/>
              </w:rPr>
              <w:t>居家连续录音实测，必须以次/小时报告（对标莱斯特 2.5 次/小时、Hyfe 1.03 次/小时）</w:t>
            </w:r>
          </w:p>
        </w:tc>
      </w:tr>
      <w:tr>
        <w:tc>
          <w:tcPr>
            <w:tcW w:type="dxa" w:w="1940"/>
            <w:shd w:val="clear" w:color="auto" w:fill="EDF3F9"/>
          </w:tcPr>
          <w:p>
            <w:pPr>
              <w:spacing w:after="0" w:line="276" w:lineRule="auto"/>
            </w:pPr>
            <w:r/>
            <w:r>
              <w:rPr>
                <w:rFonts w:ascii="宋体" w:hAnsi="宋体" w:eastAsia="宋体" w:cs="宋体"/>
                <w:b w:val="0"/>
                <w:i w:val="0"/>
                <w:color w:val="000000"/>
                <w:sz w:val="19"/>
              </w:rPr>
              <w:t>精度</w:t>
            </w:r>
          </w:p>
        </w:tc>
        <w:tc>
          <w:tcPr>
            <w:tcW w:type="dxa" w:w="1711"/>
            <w:shd w:val="clear" w:color="auto" w:fill="EDF3F9"/>
          </w:tcPr>
          <w:p>
            <w:pPr>
              <w:spacing w:after="0" w:line="276" w:lineRule="auto"/>
            </w:pPr>
            <w:r/>
            <w:r>
              <w:rPr>
                <w:rFonts w:ascii="宋体" w:hAnsi="宋体" w:eastAsia="宋体" w:cs="宋体"/>
                <w:b w:val="0"/>
                <w:i w:val="0"/>
                <w:color w:val="000000"/>
                <w:sz w:val="19"/>
              </w:rPr>
              <w:t>量化后精度损失</w:t>
            </w:r>
          </w:p>
        </w:tc>
        <w:tc>
          <w:tcPr>
            <w:tcW w:type="dxa" w:w="1940"/>
            <w:shd w:val="clear" w:color="auto" w:fill="EDF3F9"/>
          </w:tcPr>
          <w:p>
            <w:pPr>
              <w:spacing w:after="0" w:line="276" w:lineRule="auto"/>
            </w:pPr>
            <w:r/>
            <w:r>
              <w:rPr>
                <w:rFonts w:ascii="宋体" w:hAnsi="宋体" w:eastAsia="宋体" w:cs="宋体"/>
                <w:b w:val="0"/>
                <w:i w:val="0"/>
                <w:color w:val="000000"/>
                <w:sz w:val="19"/>
              </w:rPr>
              <w:t>≤ 2 个百分点</w:t>
            </w:r>
          </w:p>
        </w:tc>
        <w:tc>
          <w:tcPr>
            <w:tcW w:type="dxa" w:w="3537"/>
            <w:shd w:val="clear" w:color="auto" w:fill="EDF3F9"/>
          </w:tcPr>
          <w:p>
            <w:pPr>
              <w:spacing w:after="0" w:line="276" w:lineRule="auto"/>
            </w:pPr>
            <w:r/>
            <w:r>
              <w:rPr>
                <w:rFonts w:ascii="宋体" w:hAnsi="宋体" w:eastAsia="宋体" w:cs="宋体"/>
                <w:b w:val="0"/>
                <w:i w:val="0"/>
                <w:color w:val="000000"/>
                <w:sz w:val="19"/>
              </w:rPr>
              <w:t>FP32 与 INT8 在留出集上对比</w:t>
            </w:r>
          </w:p>
        </w:tc>
      </w:tr>
      <w:tr>
        <w:tc>
          <w:tcPr>
            <w:tcW w:type="dxa" w:w="1940"/>
          </w:tcPr>
          <w:p>
            <w:pPr>
              <w:spacing w:after="0" w:line="276" w:lineRule="auto"/>
            </w:pPr>
            <w:r/>
            <w:r>
              <w:rPr>
                <w:rFonts w:ascii="宋体" w:hAnsi="宋体" w:eastAsia="宋体" w:cs="宋体"/>
                <w:b w:val="0"/>
                <w:i w:val="0"/>
                <w:color w:val="000000"/>
                <w:sz w:val="19"/>
              </w:rPr>
              <w:t>速度</w:t>
            </w:r>
          </w:p>
        </w:tc>
        <w:tc>
          <w:tcPr>
            <w:tcW w:type="dxa" w:w="1711"/>
          </w:tcPr>
          <w:p>
            <w:pPr>
              <w:spacing w:after="0" w:line="276" w:lineRule="auto"/>
            </w:pPr>
            <w:r/>
            <w:r>
              <w:rPr>
                <w:rFonts w:ascii="宋体" w:hAnsi="宋体" w:eastAsia="宋体" w:cs="宋体"/>
                <w:b w:val="0"/>
                <w:i w:val="0"/>
                <w:color w:val="000000"/>
                <w:sz w:val="19"/>
              </w:rPr>
              <w:t>单窗推理延时</w:t>
            </w:r>
          </w:p>
        </w:tc>
        <w:tc>
          <w:tcPr>
            <w:tcW w:type="dxa" w:w="1940"/>
          </w:tcPr>
          <w:p>
            <w:pPr>
              <w:spacing w:after="0" w:line="276" w:lineRule="auto"/>
            </w:pPr>
            <w:r/>
            <w:r>
              <w:rPr>
                <w:rFonts w:ascii="宋体" w:hAnsi="宋体" w:eastAsia="宋体" w:cs="宋体"/>
                <w:b w:val="0"/>
                <w:i w:val="0"/>
                <w:color w:val="000000"/>
                <w:sz w:val="19"/>
              </w:rPr>
              <w:t>≤ 80 ms（P95）</w:t>
            </w:r>
          </w:p>
        </w:tc>
        <w:tc>
          <w:tcPr>
            <w:tcW w:type="dxa" w:w="3537"/>
          </w:tcPr>
          <w:p>
            <w:pPr>
              <w:spacing w:after="0" w:line="276" w:lineRule="auto"/>
            </w:pPr>
            <w:r/>
            <w:r>
              <w:rPr>
                <w:rFonts w:ascii="宋体" w:hAnsi="宋体" w:eastAsia="宋体" w:cs="宋体"/>
                <w:b w:val="0"/>
                <w:i w:val="0"/>
                <w:color w:val="000000"/>
                <w:sz w:val="19"/>
              </w:rPr>
              <w:t>板端实测音频回放压测</w:t>
            </w:r>
          </w:p>
        </w:tc>
      </w:tr>
      <w:tr>
        <w:tc>
          <w:tcPr>
            <w:tcW w:type="dxa" w:w="1940"/>
            <w:shd w:val="clear" w:color="auto" w:fill="EDF3F9"/>
          </w:tcPr>
          <w:p>
            <w:pPr>
              <w:spacing w:after="0" w:line="276" w:lineRule="auto"/>
            </w:pPr>
            <w:r/>
            <w:r>
              <w:rPr>
                <w:rFonts w:ascii="宋体" w:hAnsi="宋体" w:eastAsia="宋体" w:cs="宋体"/>
                <w:b w:val="0"/>
                <w:i w:val="0"/>
                <w:color w:val="000000"/>
                <w:sz w:val="19"/>
              </w:rPr>
              <w:t>速度</w:t>
            </w:r>
          </w:p>
        </w:tc>
        <w:tc>
          <w:tcPr>
            <w:tcW w:type="dxa" w:w="1711"/>
            <w:shd w:val="clear" w:color="auto" w:fill="EDF3F9"/>
          </w:tcPr>
          <w:p>
            <w:pPr>
              <w:spacing w:after="0" w:line="276" w:lineRule="auto"/>
            </w:pPr>
            <w:r/>
            <w:r>
              <w:rPr>
                <w:rFonts w:ascii="宋体" w:hAnsi="宋体" w:eastAsia="宋体" w:cs="宋体"/>
                <w:b w:val="0"/>
                <w:i w:val="0"/>
                <w:color w:val="000000"/>
                <w:sz w:val="19"/>
              </w:rPr>
              <w:t>端到端延时</w:t>
            </w:r>
          </w:p>
        </w:tc>
        <w:tc>
          <w:tcPr>
            <w:tcW w:type="dxa" w:w="1940"/>
            <w:shd w:val="clear" w:color="auto" w:fill="EDF3F9"/>
          </w:tcPr>
          <w:p>
            <w:pPr>
              <w:spacing w:after="0" w:line="276" w:lineRule="auto"/>
            </w:pPr>
            <w:r/>
            <w:r>
              <w:rPr>
                <w:rFonts w:ascii="宋体" w:hAnsi="宋体" w:eastAsia="宋体" w:cs="宋体"/>
                <w:b w:val="0"/>
                <w:i w:val="0"/>
                <w:color w:val="000000"/>
                <w:sz w:val="19"/>
              </w:rPr>
              <w:t>≤ 300 ms</w:t>
            </w:r>
          </w:p>
        </w:tc>
        <w:tc>
          <w:tcPr>
            <w:tcW w:type="dxa" w:w="3537"/>
            <w:shd w:val="clear" w:color="auto" w:fill="EDF3F9"/>
          </w:tcPr>
          <w:p>
            <w:pPr>
              <w:spacing w:after="0" w:line="276" w:lineRule="auto"/>
            </w:pPr>
            <w:r/>
            <w:r>
              <w:rPr>
                <w:rFonts w:ascii="宋体" w:hAnsi="宋体" w:eastAsia="宋体" w:cs="宋体"/>
                <w:b w:val="0"/>
                <w:i w:val="0"/>
                <w:color w:val="000000"/>
                <w:sz w:val="19"/>
              </w:rPr>
              <w:t>从事件发生到 APP 显示</w:t>
            </w:r>
          </w:p>
        </w:tc>
      </w:tr>
      <w:tr>
        <w:tc>
          <w:tcPr>
            <w:tcW w:type="dxa" w:w="1940"/>
          </w:tcPr>
          <w:p>
            <w:pPr>
              <w:spacing w:after="0" w:line="276" w:lineRule="auto"/>
            </w:pPr>
            <w:r/>
            <w:r>
              <w:rPr>
                <w:rFonts w:ascii="宋体" w:hAnsi="宋体" w:eastAsia="宋体" w:cs="宋体"/>
                <w:b w:val="0"/>
                <w:i w:val="0"/>
                <w:color w:val="000000"/>
                <w:sz w:val="19"/>
              </w:rPr>
              <w:t>资源</w:t>
            </w:r>
          </w:p>
        </w:tc>
        <w:tc>
          <w:tcPr>
            <w:tcW w:type="dxa" w:w="1711"/>
          </w:tcPr>
          <w:p>
            <w:pPr>
              <w:spacing w:after="0" w:line="276" w:lineRule="auto"/>
            </w:pPr>
            <w:r/>
            <w:r>
              <w:rPr>
                <w:rFonts w:ascii="宋体" w:hAnsi="宋体" w:eastAsia="宋体" w:cs="宋体"/>
                <w:b w:val="0"/>
                <w:i w:val="0"/>
                <w:color w:val="000000"/>
                <w:sz w:val="19"/>
              </w:rPr>
              <w:t>模型体积</w:t>
            </w:r>
          </w:p>
        </w:tc>
        <w:tc>
          <w:tcPr>
            <w:tcW w:type="dxa" w:w="1940"/>
          </w:tcPr>
          <w:p>
            <w:pPr>
              <w:spacing w:after="0" w:line="276" w:lineRule="auto"/>
            </w:pPr>
            <w:r/>
            <w:r>
              <w:rPr>
                <w:rFonts w:ascii="宋体" w:hAnsi="宋体" w:eastAsia="宋体" w:cs="宋体"/>
                <w:b w:val="0"/>
                <w:i w:val="0"/>
                <w:color w:val="000000"/>
                <w:sz w:val="19"/>
              </w:rPr>
              <w:t>单模型 ≤ 4 MB</w:t>
            </w:r>
          </w:p>
        </w:tc>
        <w:tc>
          <w:tcPr>
            <w:tcW w:type="dxa" w:w="3537"/>
          </w:tcPr>
          <w:p>
            <w:pPr>
              <w:spacing w:after="0" w:line="276" w:lineRule="auto"/>
            </w:pPr>
            <w:r/>
            <w:r>
              <w:rPr>
                <w:rFonts w:ascii="宋体" w:hAnsi="宋体" w:eastAsia="宋体" w:cs="宋体"/>
                <w:b w:val="0"/>
                <w:i w:val="0"/>
                <w:color w:val="000000"/>
                <w:sz w:val="19"/>
              </w:rPr>
              <w:t>转换后模型文件大小</w:t>
            </w:r>
          </w:p>
        </w:tc>
      </w:tr>
      <w:tr>
        <w:tc>
          <w:tcPr>
            <w:tcW w:type="dxa" w:w="1940"/>
            <w:shd w:val="clear" w:color="auto" w:fill="EDF3F9"/>
          </w:tcPr>
          <w:p>
            <w:pPr>
              <w:spacing w:after="0" w:line="276" w:lineRule="auto"/>
            </w:pPr>
            <w:r/>
            <w:r>
              <w:rPr>
                <w:rFonts w:ascii="宋体" w:hAnsi="宋体" w:eastAsia="宋体" w:cs="宋体"/>
                <w:b w:val="0"/>
                <w:i w:val="0"/>
                <w:color w:val="000000"/>
                <w:sz w:val="19"/>
              </w:rPr>
              <w:t>资源</w:t>
            </w:r>
          </w:p>
        </w:tc>
        <w:tc>
          <w:tcPr>
            <w:tcW w:type="dxa" w:w="1711"/>
            <w:shd w:val="clear" w:color="auto" w:fill="EDF3F9"/>
          </w:tcPr>
          <w:p>
            <w:pPr>
              <w:spacing w:after="0" w:line="276" w:lineRule="auto"/>
            </w:pPr>
            <w:r/>
            <w:r>
              <w:rPr>
                <w:rFonts w:ascii="宋体" w:hAnsi="宋体" w:eastAsia="宋体" w:cs="宋体"/>
                <w:b w:val="0"/>
                <w:i w:val="0"/>
                <w:color w:val="000000"/>
                <w:sz w:val="19"/>
              </w:rPr>
              <w:t>内存占用</w:t>
            </w:r>
          </w:p>
        </w:tc>
        <w:tc>
          <w:tcPr>
            <w:tcW w:type="dxa" w:w="1940"/>
            <w:shd w:val="clear" w:color="auto" w:fill="EDF3F9"/>
          </w:tcPr>
          <w:p>
            <w:pPr>
              <w:spacing w:after="0" w:line="276" w:lineRule="auto"/>
            </w:pPr>
            <w:r/>
            <w:r>
              <w:rPr>
                <w:rFonts w:ascii="宋体" w:hAnsi="宋体" w:eastAsia="宋体" w:cs="宋体"/>
                <w:b w:val="0"/>
                <w:i w:val="0"/>
                <w:color w:val="000000"/>
                <w:sz w:val="19"/>
              </w:rPr>
              <w:t>推理链路 ≤ 512 MB</w:t>
            </w:r>
          </w:p>
        </w:tc>
        <w:tc>
          <w:tcPr>
            <w:tcW w:type="dxa" w:w="3537"/>
            <w:shd w:val="clear" w:color="auto" w:fill="EDF3F9"/>
          </w:tcPr>
          <w:p>
            <w:pPr>
              <w:spacing w:after="0" w:line="276" w:lineRule="auto"/>
            </w:pPr>
            <w:r/>
            <w:r>
              <w:rPr>
                <w:rFonts w:ascii="宋体" w:hAnsi="宋体" w:eastAsia="宋体" w:cs="宋体"/>
                <w:b w:val="0"/>
                <w:i w:val="0"/>
                <w:color w:val="000000"/>
                <w:sz w:val="19"/>
              </w:rPr>
              <w:t>板端内存监控</w:t>
            </w:r>
          </w:p>
        </w:tc>
      </w:tr>
      <w:tr>
        <w:tc>
          <w:tcPr>
            <w:tcW w:type="dxa" w:w="1940"/>
          </w:tcPr>
          <w:p>
            <w:pPr>
              <w:spacing w:after="0" w:line="276" w:lineRule="auto"/>
            </w:pPr>
            <w:r/>
            <w:r>
              <w:rPr>
                <w:rFonts w:ascii="宋体" w:hAnsi="宋体" w:eastAsia="宋体" w:cs="宋体"/>
                <w:b w:val="0"/>
                <w:i w:val="0"/>
                <w:color w:val="000000"/>
                <w:sz w:val="19"/>
              </w:rPr>
              <w:t>资源</w:t>
            </w:r>
          </w:p>
        </w:tc>
        <w:tc>
          <w:tcPr>
            <w:tcW w:type="dxa" w:w="1711"/>
          </w:tcPr>
          <w:p>
            <w:pPr>
              <w:spacing w:after="0" w:line="276" w:lineRule="auto"/>
            </w:pPr>
            <w:r/>
            <w:r>
              <w:rPr>
                <w:rFonts w:ascii="宋体" w:hAnsi="宋体" w:eastAsia="宋体" w:cs="宋体"/>
                <w:b w:val="0"/>
                <w:i w:val="0"/>
                <w:color w:val="000000"/>
                <w:sz w:val="19"/>
              </w:rPr>
              <w:t>NPU 占用</w:t>
            </w:r>
          </w:p>
        </w:tc>
        <w:tc>
          <w:tcPr>
            <w:tcW w:type="dxa" w:w="1940"/>
          </w:tcPr>
          <w:p>
            <w:pPr>
              <w:spacing w:after="0" w:line="276" w:lineRule="auto"/>
            </w:pPr>
            <w:r/>
            <w:r>
              <w:rPr>
                <w:rFonts w:ascii="宋体" w:hAnsi="宋体" w:eastAsia="宋体" w:cs="宋体"/>
                <w:b w:val="0"/>
                <w:i w:val="0"/>
                <w:color w:val="000000"/>
                <w:sz w:val="19"/>
              </w:rPr>
              <w:t>≤ 25%（持续）</w:t>
            </w:r>
          </w:p>
        </w:tc>
        <w:tc>
          <w:tcPr>
            <w:tcW w:type="dxa" w:w="3537"/>
          </w:tcPr>
          <w:p>
            <w:pPr>
              <w:spacing w:after="0" w:line="276" w:lineRule="auto"/>
            </w:pPr>
            <w:r/>
            <w:r>
              <w:rPr>
                <w:rFonts w:ascii="宋体" w:hAnsi="宋体" w:eastAsia="宋体" w:cs="宋体"/>
                <w:b w:val="0"/>
                <w:i w:val="0"/>
                <w:color w:val="000000"/>
                <w:sz w:val="19"/>
              </w:rPr>
              <w:t>板端性能监控</w:t>
            </w:r>
          </w:p>
        </w:tc>
      </w:tr>
      <w:tr>
        <w:tc>
          <w:tcPr>
            <w:tcW w:type="dxa" w:w="1940"/>
            <w:shd w:val="clear" w:color="auto" w:fill="EDF3F9"/>
          </w:tcPr>
          <w:p>
            <w:pPr>
              <w:spacing w:after="0" w:line="276" w:lineRule="auto"/>
            </w:pPr>
            <w:r/>
            <w:r>
              <w:rPr>
                <w:rFonts w:ascii="宋体" w:hAnsi="宋体" w:eastAsia="宋体" w:cs="宋体"/>
                <w:b w:val="0"/>
                <w:i w:val="0"/>
                <w:color w:val="000000"/>
                <w:sz w:val="19"/>
              </w:rPr>
              <w:t>功耗</w:t>
            </w:r>
          </w:p>
        </w:tc>
        <w:tc>
          <w:tcPr>
            <w:tcW w:type="dxa" w:w="1711"/>
            <w:shd w:val="clear" w:color="auto" w:fill="EDF3F9"/>
          </w:tcPr>
          <w:p>
            <w:pPr>
              <w:spacing w:after="0" w:line="276" w:lineRule="auto"/>
            </w:pPr>
            <w:r/>
            <w:r>
              <w:rPr>
                <w:rFonts w:ascii="宋体" w:hAnsi="宋体" w:eastAsia="宋体" w:cs="宋体"/>
                <w:b w:val="0"/>
                <w:i w:val="0"/>
                <w:color w:val="000000"/>
                <w:sz w:val="19"/>
              </w:rPr>
              <w:t>整机典型功耗</w:t>
            </w:r>
          </w:p>
        </w:tc>
        <w:tc>
          <w:tcPr>
            <w:tcW w:type="dxa" w:w="1940"/>
            <w:shd w:val="clear" w:color="auto" w:fill="EDF3F9"/>
          </w:tcPr>
          <w:p>
            <w:pPr>
              <w:spacing w:after="0" w:line="276" w:lineRule="auto"/>
            </w:pPr>
            <w:r/>
            <w:r>
              <w:rPr>
                <w:rFonts w:ascii="宋体" w:hAnsi="宋体" w:eastAsia="宋体" w:cs="宋体"/>
                <w:b w:val="0"/>
                <w:i w:val="0"/>
                <w:color w:val="000000"/>
                <w:sz w:val="19"/>
              </w:rPr>
              <w:t>≤ 3.5 W</w:t>
            </w:r>
          </w:p>
        </w:tc>
        <w:tc>
          <w:tcPr>
            <w:tcW w:type="dxa" w:w="3537"/>
            <w:shd w:val="clear" w:color="auto" w:fill="EDF3F9"/>
          </w:tcPr>
          <w:p>
            <w:pPr>
              <w:spacing w:after="0" w:line="276" w:lineRule="auto"/>
            </w:pPr>
            <w:r/>
            <w:r>
              <w:rPr>
                <w:rFonts w:ascii="宋体" w:hAnsi="宋体" w:eastAsia="宋体" w:cs="宋体"/>
                <w:b w:val="0"/>
                <w:i w:val="0"/>
                <w:color w:val="000000"/>
                <w:sz w:val="19"/>
              </w:rPr>
              <w:t>功率计实测</w:t>
            </w:r>
          </w:p>
        </w:tc>
      </w:tr>
      <w:tr>
        <w:tc>
          <w:tcPr>
            <w:tcW w:type="dxa" w:w="1940"/>
          </w:tcPr>
          <w:p>
            <w:pPr>
              <w:spacing w:after="0" w:line="276" w:lineRule="auto"/>
            </w:pPr>
            <w:r/>
            <w:r>
              <w:rPr>
                <w:rFonts w:ascii="宋体" w:hAnsi="宋体" w:eastAsia="宋体" w:cs="宋体"/>
                <w:b w:val="0"/>
                <w:i w:val="0"/>
                <w:color w:val="000000"/>
                <w:sz w:val="19"/>
              </w:rPr>
              <w:t>功耗</w:t>
            </w:r>
          </w:p>
        </w:tc>
        <w:tc>
          <w:tcPr>
            <w:tcW w:type="dxa" w:w="1711"/>
          </w:tcPr>
          <w:p>
            <w:pPr>
              <w:spacing w:after="0" w:line="276" w:lineRule="auto"/>
            </w:pPr>
            <w:r/>
            <w:r>
              <w:rPr>
                <w:rFonts w:ascii="宋体" w:hAnsi="宋体" w:eastAsia="宋体" w:cs="宋体"/>
                <w:b w:val="0"/>
                <w:i w:val="0"/>
                <w:color w:val="000000"/>
                <w:sz w:val="19"/>
              </w:rPr>
              <w:t>电池续航</w:t>
            </w:r>
          </w:p>
        </w:tc>
        <w:tc>
          <w:tcPr>
            <w:tcW w:type="dxa" w:w="1940"/>
          </w:tcPr>
          <w:p>
            <w:pPr>
              <w:spacing w:after="0" w:line="276" w:lineRule="auto"/>
            </w:pPr>
            <w:r/>
            <w:r>
              <w:rPr>
                <w:rFonts w:ascii="宋体" w:hAnsi="宋体" w:eastAsia="宋体" w:cs="宋体"/>
                <w:b w:val="0"/>
                <w:i w:val="0"/>
                <w:color w:val="000000"/>
                <w:sz w:val="19"/>
              </w:rPr>
              <w:t>≥ 8 小时（10,000 mAh）</w:t>
            </w:r>
          </w:p>
        </w:tc>
        <w:tc>
          <w:tcPr>
            <w:tcW w:type="dxa" w:w="3537"/>
          </w:tcPr>
          <w:p>
            <w:pPr>
              <w:spacing w:after="0" w:line="276" w:lineRule="auto"/>
            </w:pPr>
            <w:r/>
            <w:r>
              <w:rPr>
                <w:rFonts w:ascii="宋体" w:hAnsi="宋体" w:eastAsia="宋体" w:cs="宋体"/>
                <w:b w:val="0"/>
                <w:i w:val="0"/>
                <w:color w:val="000000"/>
                <w:sz w:val="19"/>
              </w:rPr>
              <w:t>连续监听实测</w:t>
            </w:r>
          </w:p>
        </w:tc>
      </w:tr>
      <w:tr>
        <w:tc>
          <w:tcPr>
            <w:tcW w:type="dxa" w:w="1940"/>
            <w:shd w:val="clear" w:color="auto" w:fill="EDF3F9"/>
          </w:tcPr>
          <w:p>
            <w:pPr>
              <w:spacing w:after="0" w:line="276" w:lineRule="auto"/>
            </w:pPr>
            <w:r/>
            <w:r>
              <w:rPr>
                <w:rFonts w:ascii="宋体" w:hAnsi="宋体" w:eastAsia="宋体" w:cs="宋体"/>
                <w:b w:val="0"/>
                <w:i w:val="0"/>
                <w:color w:val="000000"/>
                <w:sz w:val="19"/>
              </w:rPr>
              <w:t>稳定性</w:t>
            </w:r>
          </w:p>
        </w:tc>
        <w:tc>
          <w:tcPr>
            <w:tcW w:type="dxa" w:w="1711"/>
            <w:shd w:val="clear" w:color="auto" w:fill="EDF3F9"/>
          </w:tcPr>
          <w:p>
            <w:pPr>
              <w:spacing w:after="0" w:line="276" w:lineRule="auto"/>
            </w:pPr>
            <w:r/>
            <w:r>
              <w:rPr>
                <w:rFonts w:ascii="宋体" w:hAnsi="宋体" w:eastAsia="宋体" w:cs="宋体"/>
                <w:b w:val="0"/>
                <w:i w:val="0"/>
                <w:color w:val="000000"/>
                <w:sz w:val="19"/>
              </w:rPr>
              <w:t>连续运行</w:t>
            </w:r>
          </w:p>
        </w:tc>
        <w:tc>
          <w:tcPr>
            <w:tcW w:type="dxa" w:w="1940"/>
            <w:shd w:val="clear" w:color="auto" w:fill="EDF3F9"/>
          </w:tcPr>
          <w:p>
            <w:pPr>
              <w:spacing w:after="0" w:line="276" w:lineRule="auto"/>
            </w:pPr>
            <w:r/>
            <w:r>
              <w:rPr>
                <w:rFonts w:ascii="宋体" w:hAnsi="宋体" w:eastAsia="宋体" w:cs="宋体"/>
                <w:b w:val="0"/>
                <w:i w:val="0"/>
                <w:color w:val="000000"/>
                <w:sz w:val="19"/>
              </w:rPr>
              <w:t>≥ 72 小时无崩溃</w:t>
            </w:r>
          </w:p>
        </w:tc>
        <w:tc>
          <w:tcPr>
            <w:tcW w:type="dxa" w:w="3537"/>
            <w:shd w:val="clear" w:color="auto" w:fill="EDF3F9"/>
          </w:tcPr>
          <w:p>
            <w:pPr>
              <w:spacing w:after="0" w:line="276" w:lineRule="auto"/>
            </w:pPr>
            <w:r/>
            <w:r>
              <w:rPr>
                <w:rFonts w:ascii="宋体" w:hAnsi="宋体" w:eastAsia="宋体" w:cs="宋体"/>
                <w:b w:val="0"/>
                <w:i w:val="0"/>
                <w:color w:val="000000"/>
                <w:sz w:val="19"/>
              </w:rPr>
              <w:t>老化测试</w:t>
            </w:r>
          </w:p>
        </w:tc>
      </w:tr>
      <w:tr>
        <w:tc>
          <w:tcPr>
            <w:tcW w:type="dxa" w:w="1940"/>
          </w:tcPr>
          <w:p>
            <w:pPr>
              <w:spacing w:after="0" w:line="276" w:lineRule="auto"/>
            </w:pPr>
            <w:r/>
            <w:r>
              <w:rPr>
                <w:rFonts w:ascii="宋体" w:hAnsi="宋体" w:eastAsia="宋体" w:cs="宋体"/>
                <w:b w:val="0"/>
                <w:i w:val="0"/>
                <w:color w:val="000000"/>
                <w:sz w:val="19"/>
              </w:rPr>
              <w:t>稳定性</w:t>
            </w:r>
          </w:p>
        </w:tc>
        <w:tc>
          <w:tcPr>
            <w:tcW w:type="dxa" w:w="1711"/>
          </w:tcPr>
          <w:p>
            <w:pPr>
              <w:spacing w:after="0" w:line="276" w:lineRule="auto"/>
            </w:pPr>
            <w:r/>
            <w:r>
              <w:rPr>
                <w:rFonts w:ascii="宋体" w:hAnsi="宋体" w:eastAsia="宋体" w:cs="宋体"/>
                <w:b w:val="0"/>
                <w:i w:val="0"/>
                <w:color w:val="000000"/>
                <w:sz w:val="19"/>
              </w:rPr>
              <w:t>漏采率</w:t>
            </w:r>
          </w:p>
        </w:tc>
        <w:tc>
          <w:tcPr>
            <w:tcW w:type="dxa" w:w="1940"/>
          </w:tcPr>
          <w:p>
            <w:pPr>
              <w:spacing w:after="0" w:line="276" w:lineRule="auto"/>
            </w:pPr>
            <w:r/>
            <w:r>
              <w:rPr>
                <w:rFonts w:ascii="宋体" w:hAnsi="宋体" w:eastAsia="宋体" w:cs="宋体"/>
                <w:b w:val="0"/>
                <w:i w:val="0"/>
                <w:color w:val="000000"/>
                <w:sz w:val="19"/>
              </w:rPr>
              <w:t>≤ 0.5%</w:t>
            </w:r>
          </w:p>
        </w:tc>
        <w:tc>
          <w:tcPr>
            <w:tcW w:type="dxa" w:w="3537"/>
          </w:tcPr>
          <w:p>
            <w:pPr>
              <w:spacing w:after="0" w:line="276" w:lineRule="auto"/>
            </w:pPr>
            <w:r/>
            <w:r>
              <w:rPr>
                <w:rFonts w:ascii="宋体" w:hAnsi="宋体" w:eastAsia="宋体" w:cs="宋体"/>
                <w:b w:val="0"/>
                <w:i w:val="0"/>
                <w:color w:val="000000"/>
                <w:sz w:val="19"/>
              </w:rPr>
              <w:t>音频分片计数校验</w:t>
            </w:r>
          </w:p>
        </w:tc>
      </w:tr>
    </w:tbl>
    <w:p>
      <w:pPr>
        <w:spacing w:after="40"/>
      </w:pPr>
    </w:p>
    <w:p>
      <w:pPr>
        <w:spacing w:after="80"/>
        <w:jc w:val="left"/>
      </w:pPr>
      <w:r>
        <w:rPr>
          <w:rFonts w:ascii="宋体" w:hAnsi="宋体" w:eastAsia="宋体" w:cs="宋体"/>
          <w:b w:val="0"/>
          <w:i w:val="0"/>
          <w:color w:val="595959"/>
          <w:sz w:val="18"/>
        </w:rPr>
        <w:t>注：以上为设计目标值。NPU 利用率与功耗需在样机上以实测为准（见 5.6 验证方法）。</w:t>
      </w:r>
    </w:p>
    <w:p>
      <w:pPr>
        <w:pStyle w:val="Heading2"/>
      </w:pPr>
      <w:r>
        <w:rPr>
          <w:rFonts w:ascii="宋体" w:hAnsi="宋体" w:eastAsia="宋体" w:cs="宋体"/>
          <w:b/>
          <w:i w:val="0"/>
          <w:color w:val="2E74B5"/>
          <w:sz w:val="25"/>
        </w:rPr>
        <w:t>5.6 验证方法与评估口径</w:t>
      </w:r>
    </w:p>
    <w:p>
      <w:pPr>
        <w:spacing w:after="40" w:line="324" w:lineRule="auto"/>
        <w:ind w:left="425" w:hanging="283"/>
      </w:pPr>
      <w:r>
        <w:rPr>
          <w:rFonts w:ascii="宋体" w:hAnsi="宋体" w:eastAsia="宋体" w:cs="宋体"/>
          <w:b w:val="0"/>
          <w:i w:val="0"/>
          <w:color w:val="2E74B5"/>
          <w:sz w:val="18"/>
        </w:rPr>
        <w:t xml:space="preserve">● </w:t>
      </w:r>
      <w:r>
        <w:rPr>
          <w:rFonts w:ascii="宋体" w:hAnsi="宋体" w:eastAsia="宋体" w:cs="宋体"/>
          <w:b/>
          <w:i w:val="0"/>
          <w:color w:val="000000"/>
          <w:sz w:val="21"/>
        </w:rPr>
        <w:t>参考标准（金标准）的选择：</w:t>
      </w:r>
      <w:r>
        <w:rPr>
          <w:rFonts w:ascii="宋体" w:hAnsi="宋体" w:eastAsia="宋体" w:cs="宋体"/>
          <w:b w:val="0"/>
          <w:i w:val="0"/>
          <w:color w:val="000000"/>
          <w:sz w:val="21"/>
        </w:rPr>
        <w:t>自动化咳嗽计数领域的金标准是多观察者人工标注的连续录音，而不是患者日记或问卷。本项目不以主观报告作为参考标准——既有研究已证实家长报告与录音实测的一致性 Cohen's κ 仅 0.30，主观评分与客观计数相关仅 r = 0.37–0.50。</w:t>
      </w:r>
    </w:p>
    <w:p>
      <w:pPr>
        <w:spacing w:after="40" w:line="324" w:lineRule="auto"/>
        <w:ind w:left="425" w:hanging="283"/>
      </w:pPr>
      <w:r>
        <w:rPr>
          <w:rFonts w:ascii="宋体" w:hAnsi="宋体" w:eastAsia="宋体" w:cs="宋体"/>
          <w:b w:val="0"/>
          <w:i w:val="0"/>
          <w:color w:val="2E74B5"/>
          <w:sz w:val="18"/>
        </w:rPr>
        <w:t xml:space="preserve">● </w:t>
      </w:r>
      <w:r>
        <w:rPr>
          <w:rFonts w:ascii="宋体" w:hAnsi="宋体" w:eastAsia="宋体" w:cs="宋体"/>
          <w:b/>
          <w:i w:val="0"/>
          <w:color w:val="000000"/>
          <w:sz w:val="21"/>
        </w:rPr>
        <w:t>事件级评估（逐事件）：</w:t>
      </w:r>
      <w:r>
        <w:rPr>
          <w:rFonts w:ascii="宋体" w:hAnsi="宋体" w:eastAsia="宋体" w:cs="宋体"/>
          <w:b w:val="0"/>
          <w:i w:val="0"/>
          <w:color w:val="000000"/>
          <w:sz w:val="21"/>
        </w:rPr>
        <w:t>把模型输出的事件时间戳与标注事件按 ±1 秒容差做匹配，统计真正例、假正例、假负例，报告敏感度与阳性预测值（PPV，Positive Predictive Value）与 F1。这是咳嗽监测领域较通行的口径，便于与 Cough Search（外部敏感度 92%）等文献横向比较。</w:t>
      </w:r>
    </w:p>
    <w:p>
      <w:pPr>
        <w:spacing w:after="40" w:line="324" w:lineRule="auto"/>
        <w:ind w:left="425" w:hanging="283"/>
      </w:pPr>
      <w:r>
        <w:rPr>
          <w:rFonts w:ascii="宋体" w:hAnsi="宋体" w:eastAsia="宋体" w:cs="宋体"/>
          <w:b w:val="0"/>
          <w:i w:val="0"/>
          <w:color w:val="2E74B5"/>
          <w:sz w:val="18"/>
        </w:rPr>
        <w:t xml:space="preserve">● </w:t>
      </w:r>
      <w:r>
        <w:rPr>
          <w:rFonts w:ascii="宋体" w:hAnsi="宋体" w:eastAsia="宋体" w:cs="宋体"/>
          <w:b/>
          <w:i w:val="0"/>
          <w:color w:val="000000"/>
          <w:sz w:val="21"/>
        </w:rPr>
        <w:t>时段级评估（逐时段）：</w:t>
      </w:r>
      <w:r>
        <w:rPr>
          <w:rFonts w:ascii="宋体" w:hAnsi="宋体" w:eastAsia="宋体" w:cs="宋体"/>
          <w:b w:val="0"/>
          <w:i w:val="0"/>
          <w:color w:val="000000"/>
          <w:sz w:val="21"/>
        </w:rPr>
        <w:t>按小时或固定时间片比较算法计数与人工标注计数，报告 Pearson 相关系数或组内相关系数 ICC，并给出 Bland-Altman 一致性界限。逐事件与逐时段两类指标必须同时报告，缺一不足以说明可用性。</w:t>
      </w:r>
    </w:p>
    <w:p>
      <w:pPr>
        <w:spacing w:after="40" w:line="324" w:lineRule="auto"/>
        <w:ind w:left="425" w:hanging="283"/>
      </w:pPr>
      <w:r>
        <w:rPr>
          <w:rFonts w:ascii="宋体" w:hAnsi="宋体" w:eastAsia="宋体" w:cs="宋体"/>
          <w:b w:val="0"/>
          <w:i w:val="0"/>
          <w:color w:val="2E74B5"/>
          <w:sz w:val="18"/>
        </w:rPr>
        <w:t xml:space="preserve">● </w:t>
      </w:r>
      <w:r>
        <w:rPr>
          <w:rFonts w:ascii="宋体" w:hAnsi="宋体" w:eastAsia="宋体" w:cs="宋体"/>
          <w:b/>
          <w:i w:val="0"/>
          <w:color w:val="000000"/>
          <w:sz w:val="21"/>
        </w:rPr>
        <w:t>假阳性率：</w:t>
      </w:r>
      <w:r>
        <w:rPr>
          <w:rFonts w:ascii="宋体" w:hAnsi="宋体" w:eastAsia="宋体" w:cs="宋体"/>
          <w:b w:val="0"/>
          <w:i w:val="0"/>
          <w:color w:val="000000"/>
          <w:sz w:val="21"/>
        </w:rPr>
        <w:t>必须以“次/小时”报告，这是居家连续监测可用性的瓶颈指标。对标值：莱斯特咳嗽监测仪 2.5 次/小时，Hyfe CoughMonitor 1.03 次/小时。本项目设计目标 ≤ 1.0 次/小时、验收上限 ≤ 2 次/小时。</w:t>
      </w:r>
    </w:p>
    <w:p>
      <w:pPr>
        <w:spacing w:after="40" w:line="324" w:lineRule="auto"/>
        <w:ind w:left="425" w:hanging="283"/>
      </w:pPr>
      <w:r>
        <w:rPr>
          <w:rFonts w:ascii="宋体" w:hAnsi="宋体" w:eastAsia="宋体" w:cs="宋体"/>
          <w:b w:val="0"/>
          <w:i w:val="0"/>
          <w:color w:val="2E74B5"/>
          <w:sz w:val="18"/>
        </w:rPr>
        <w:t xml:space="preserve">● </w:t>
      </w:r>
      <w:r>
        <w:rPr>
          <w:rFonts w:ascii="宋体" w:hAnsi="宋体" w:eastAsia="宋体" w:cs="宋体"/>
          <w:b/>
          <w:i w:val="0"/>
          <w:color w:val="000000"/>
          <w:sz w:val="21"/>
        </w:rPr>
        <w:t>重测信度：</w:t>
      </w:r>
      <w:r>
        <w:rPr>
          <w:rFonts w:ascii="宋体" w:hAnsi="宋体" w:eastAsia="宋体" w:cs="宋体"/>
          <w:b w:val="0"/>
          <w:i w:val="0"/>
          <w:color w:val="000000"/>
          <w:sz w:val="21"/>
        </w:rPr>
        <w:t>用组内相关系数（ICC，Intraclass Correlation Coefficient）评价跨夜、跨设备的一致性，这是产品能否用于纵向随访的门槛（对标莱斯特咳嗽监测仪个体内 ICC = 0.9）。连续量采用 ICC(2,1) + Bland-Altman（报告 RMSD 与平均误差±标准差）；二分类量采用 Cohen's κ + 敏感度/特异度。</w:t>
      </w:r>
    </w:p>
    <w:p>
      <w:pPr>
        <w:spacing w:after="40" w:line="324" w:lineRule="auto"/>
        <w:ind w:left="425" w:hanging="283"/>
      </w:pPr>
      <w:r>
        <w:rPr>
          <w:rFonts w:ascii="宋体" w:hAnsi="宋体" w:eastAsia="宋体" w:cs="宋体"/>
          <w:b w:val="0"/>
          <w:i w:val="0"/>
          <w:color w:val="2E74B5"/>
          <w:sz w:val="18"/>
        </w:rPr>
        <w:t xml:space="preserve">● </w:t>
      </w:r>
      <w:r>
        <w:rPr>
          <w:rFonts w:ascii="宋体" w:hAnsi="宋体" w:eastAsia="宋体" w:cs="宋体"/>
          <w:b/>
          <w:i w:val="0"/>
          <w:color w:val="000000"/>
          <w:sz w:val="21"/>
        </w:rPr>
        <w:t>呼吸率评估：</w:t>
      </w:r>
      <w:r>
        <w:rPr>
          <w:rFonts w:ascii="宋体" w:hAnsi="宋体" w:eastAsia="宋体" w:cs="宋体"/>
          <w:b w:val="0"/>
          <w:i w:val="0"/>
          <w:color w:val="000000"/>
          <w:sz w:val="21"/>
        </w:rPr>
        <w:t>以 capnography 或 III 型心肺监测为对照，报告 RMSD 与平均误差；以 RMSD ＜ 3 次/分作为主要验收指标，该误差范围是呼吸率监测设备被普遍接受的临床可接受范围（帝国理工 AcuPebble 研究报告 RMSD ＜ 3 次/分、平均误差 1.83 / 1.4 次/分）。</w:t>
      </w:r>
    </w:p>
    <w:p>
      <w:pPr>
        <w:spacing w:after="40" w:line="324" w:lineRule="auto"/>
        <w:ind w:left="425" w:hanging="283"/>
      </w:pPr>
      <w:r>
        <w:rPr>
          <w:rFonts w:ascii="宋体" w:hAnsi="宋体" w:eastAsia="宋体" w:cs="宋体"/>
          <w:b w:val="0"/>
          <w:i w:val="0"/>
          <w:color w:val="2E74B5"/>
          <w:sz w:val="18"/>
        </w:rPr>
        <w:t xml:space="preserve">● </w:t>
      </w:r>
      <w:r>
        <w:rPr>
          <w:rFonts w:ascii="宋体" w:hAnsi="宋体" w:eastAsia="宋体" w:cs="宋体"/>
          <w:b/>
          <w:i w:val="0"/>
          <w:color w:val="000000"/>
          <w:sz w:val="21"/>
        </w:rPr>
        <w:t>报告规范：</w:t>
      </w:r>
      <w:r>
        <w:rPr>
          <w:rFonts w:ascii="宋体" w:hAnsi="宋体" w:eastAsia="宋体" w:cs="宋体"/>
          <w:b w:val="0"/>
          <w:i w:val="0"/>
          <w:color w:val="000000"/>
          <w:sz w:val="21"/>
        </w:rPr>
        <w:t>建议按 TRIPOD+AI（个体预后或诊断多变量预测模型透明报告规范）、STARD-AI（诊断准确性研究报告规范）与 PROBAST-AI（预测模型偏倚风险评估工具）组织研究设计、报告与偏倚风险评估，使结果可被审评机构与同行评议复现。</w:t>
      </w:r>
    </w:p>
    <w:p>
      <w:pPr>
        <w:spacing w:after="40" w:line="324" w:lineRule="auto"/>
        <w:ind w:left="425" w:hanging="283"/>
      </w:pPr>
      <w:r>
        <w:rPr>
          <w:rFonts w:ascii="宋体" w:hAnsi="宋体" w:eastAsia="宋体" w:cs="宋体"/>
          <w:b w:val="0"/>
          <w:i w:val="0"/>
          <w:color w:val="2E74B5"/>
          <w:sz w:val="18"/>
        </w:rPr>
        <w:t xml:space="preserve">● </w:t>
      </w:r>
      <w:r>
        <w:rPr>
          <w:rFonts w:ascii="宋体" w:hAnsi="宋体" w:eastAsia="宋体" w:cs="宋体"/>
          <w:b/>
          <w:i w:val="0"/>
          <w:color w:val="000000"/>
          <w:sz w:val="21"/>
        </w:rPr>
        <w:t>偏倚控制：</w:t>
      </w:r>
      <w:r>
        <w:rPr>
          <w:rFonts w:ascii="宋体" w:hAnsi="宋体" w:eastAsia="宋体" w:cs="宋体"/>
          <w:b w:val="0"/>
          <w:i w:val="0"/>
          <w:color w:val="000000"/>
          <w:sz w:val="21"/>
        </w:rPr>
        <w:t>预设主要终点与分析方案、标注者盲法、按受试者划分数据集（subject-wise split）、训练集与调优集与测试集两两无交集并查重、测试集不做数据扩增（对抗测试除外）。行业现状警示：89 项研究的系统综述显示，仅约 11% 开展了外部验证、71%–88% 存在高偏倚风险，严格的外部验证是本项目可主张的差异化优势。</w:t>
      </w:r>
    </w:p>
    <w:p>
      <w:pPr>
        <w:spacing w:after="40" w:line="324" w:lineRule="auto"/>
        <w:ind w:left="425" w:hanging="283"/>
      </w:pPr>
      <w:r>
        <w:rPr>
          <w:rFonts w:ascii="宋体" w:hAnsi="宋体" w:eastAsia="宋体" w:cs="宋体"/>
          <w:b w:val="0"/>
          <w:i w:val="0"/>
          <w:color w:val="2E74B5"/>
          <w:sz w:val="18"/>
        </w:rPr>
        <w:t xml:space="preserve">● </w:t>
      </w:r>
      <w:r>
        <w:rPr>
          <w:rFonts w:ascii="宋体" w:hAnsi="宋体" w:eastAsia="宋体" w:cs="宋体"/>
          <w:b/>
          <w:i w:val="0"/>
          <w:color w:val="000000"/>
          <w:sz w:val="21"/>
        </w:rPr>
        <w:t>消融实验：</w:t>
      </w:r>
      <w:r>
        <w:rPr>
          <w:rFonts w:ascii="宋体" w:hAnsi="宋体" w:eastAsia="宋体" w:cs="宋体"/>
          <w:b w:val="0"/>
          <w:i w:val="0"/>
          <w:color w:val="000000"/>
          <w:sz w:val="21"/>
        </w:rPr>
        <w:t>分别验证降噪、VAD、数据增强、两级级联结构对最终指标的贡献，用消融结果回应「哪一部分真正起作用」的质疑。</w:t>
      </w:r>
    </w:p>
    <w:p>
      <w:pPr>
        <w:spacing w:after="40" w:line="324" w:lineRule="auto"/>
        <w:ind w:left="425" w:hanging="283"/>
      </w:pPr>
      <w:r>
        <w:rPr>
          <w:rFonts w:ascii="宋体" w:hAnsi="宋体" w:eastAsia="宋体" w:cs="宋体"/>
          <w:b w:val="0"/>
          <w:i w:val="0"/>
          <w:color w:val="2E74B5"/>
          <w:sz w:val="18"/>
        </w:rPr>
        <w:t xml:space="preserve">● </w:t>
      </w:r>
      <w:r>
        <w:rPr>
          <w:rFonts w:ascii="宋体" w:hAnsi="宋体" w:eastAsia="宋体" w:cs="宋体"/>
          <w:b/>
          <w:i w:val="0"/>
          <w:color w:val="000000"/>
          <w:sz w:val="21"/>
        </w:rPr>
        <w:t>实时性与功耗测试：</w:t>
      </w:r>
      <w:r>
        <w:rPr>
          <w:rFonts w:ascii="宋体" w:hAnsi="宋体" w:eastAsia="宋体" w:cs="宋体"/>
          <w:b w:val="0"/>
          <w:i w:val="0"/>
          <w:color w:val="000000"/>
          <w:sz w:val="21"/>
        </w:rPr>
        <w:t>在板端以真实音频回放做长时压测，记录延时分布、功耗曲线与内存曲线，确保指标不是离线环境的理想值。</w:t>
      </w:r>
    </w:p>
    <w:p>
      <w:pPr>
        <w:spacing w:after="40" w:line="324" w:lineRule="auto"/>
        <w:ind w:left="425" w:hanging="283"/>
      </w:pPr>
      <w:r>
        <w:rPr>
          <w:rFonts w:ascii="宋体" w:hAnsi="宋体" w:eastAsia="宋体" w:cs="宋体"/>
          <w:b w:val="0"/>
          <w:i w:val="0"/>
          <w:color w:val="2E74B5"/>
          <w:sz w:val="18"/>
        </w:rPr>
        <w:t xml:space="preserve">● </w:t>
      </w:r>
      <w:r>
        <w:rPr>
          <w:rFonts w:ascii="宋体" w:hAnsi="宋体" w:eastAsia="宋体" w:cs="宋体"/>
          <w:b/>
          <w:i w:val="0"/>
          <w:color w:val="000000"/>
          <w:sz w:val="21"/>
        </w:rPr>
        <w:t>鲁棒性测试：</w:t>
      </w:r>
      <w:r>
        <w:rPr>
          <w:rFonts w:ascii="宋体" w:hAnsi="宋体" w:eastAsia="宋体" w:cs="宋体"/>
          <w:b w:val="0"/>
          <w:i w:val="0"/>
          <w:color w:val="000000"/>
          <w:sz w:val="21"/>
        </w:rPr>
        <w:t>在不同噪声等级、不同录音距离、不同机型、不同房间条件下做分层测试，输出性能退化曲线；并按 2022 年第 8 号指导原则要求开展压力测试与对抗测试，明确产品适用边界。</w:t>
      </w:r>
    </w:p>
    <w:p>
      <w:r>
        <w:br w:type="page"/>
      </w:r>
    </w:p>
    <w:p>
      <w:pPr>
        <w:pStyle w:val="Heading1"/>
      </w:pPr>
      <w:r>
        <w:rPr>
          <w:rFonts w:ascii="宋体" w:hAnsi="宋体" w:eastAsia="宋体" w:cs="宋体"/>
          <w:b/>
          <w:i w:val="0"/>
          <w:color w:val="1F4E79"/>
          <w:sz w:val="30"/>
        </w:rPr>
        <w:t>第六章 项目创新点与知识产权</w:t>
      </w:r>
    </w:p>
    <w:p>
      <w:pPr>
        <w:pStyle w:val="Heading2"/>
      </w:pPr>
      <w:r>
        <w:rPr>
          <w:rFonts w:ascii="宋体" w:hAnsi="宋体" w:eastAsia="宋体" w:cs="宋体"/>
          <w:b/>
          <w:i w:val="0"/>
          <w:color w:val="2E74B5"/>
          <w:sz w:val="25"/>
        </w:rPr>
        <w:t>6.1 技术创新点</w:t>
      </w:r>
    </w:p>
    <w:p>
      <w:pPr>
        <w:spacing w:before="140" w:after="40"/>
        <w:keepNext/>
      </w:pPr>
      <w:r>
        <w:rPr>
          <w:rFonts w:ascii="宋体" w:hAnsi="宋体" w:eastAsia="宋体" w:cs="宋体"/>
          <w:b/>
          <w:i w:val="0"/>
          <w:color w:val="2E74B5"/>
          <w:sz w:val="22"/>
        </w:rPr>
        <w:t>创新点 1  算法与硬件协同的声学监测架构</w:t>
      </w:r>
    </w:p>
    <w:p>
      <w:pPr>
        <w:spacing w:after="80"/>
        <w:ind w:firstLine="420"/>
      </w:pPr>
      <w:r>
        <w:rPr>
          <w:rFonts w:ascii="宋体" w:hAnsi="宋体" w:eastAsia="宋体" w:cs="宋体"/>
          <w:b w:val="0"/>
          <w:i w:val="0"/>
          <w:color w:val="000000"/>
          <w:sz w:val="21"/>
        </w:rPr>
        <w:t>针对家庭环境噪声复杂、呼吸道声学事件稀疏且类间差异细微的特点，提出「低功耗事件门控 + 强判别事件分类」的两级级联架构，并把模型结构按 RK3576 的 NPU 特性做量化友好设计（深度可分离卷积、受限注意力范围、INT8 友好算子），使模型在保持判别能力的同时满足边缘端实时与低功耗约束。该架构解决了「高精度模型跑不动、跑得动的模型不准」这一对矛盾。</w:t>
      </w:r>
    </w:p>
    <w:p>
      <w:pPr>
        <w:spacing w:before="140" w:after="40"/>
        <w:keepNext/>
      </w:pPr>
      <w:r>
        <w:rPr>
          <w:rFonts w:ascii="宋体" w:hAnsi="宋体" w:eastAsia="宋体" w:cs="宋体"/>
          <w:b/>
          <w:i w:val="0"/>
          <w:color w:val="2E74B5"/>
          <w:sz w:val="22"/>
        </w:rPr>
        <w:t>创新点 2  面向边缘推理的量化感知训练与精度保障方法</w:t>
      </w:r>
    </w:p>
    <w:p>
      <w:pPr>
        <w:spacing w:after="80"/>
        <w:ind w:firstLine="420"/>
      </w:pPr>
      <w:r>
        <w:rPr>
          <w:rFonts w:ascii="宋体" w:hAnsi="宋体" w:eastAsia="宋体" w:cs="宋体"/>
          <w:b w:val="0"/>
          <w:i w:val="0"/>
          <w:color w:val="000000"/>
          <w:sz w:val="21"/>
        </w:rPr>
        <w:t>针对医疗声学模型在 INT8 量化后精度显著下降的工程痛点，建立「敏感层识别—混合精度保留—量化感知训练补偿—留出集精度红线校验」的完整流程，把量化从经验操作变成可复现的工程方法，并给出量化前后精度损失的量化评价口径。</w:t>
      </w:r>
    </w:p>
    <w:p>
      <w:pPr>
        <w:spacing w:before="140" w:after="40"/>
        <w:keepNext/>
      </w:pPr>
      <w:r>
        <w:rPr>
          <w:rFonts w:ascii="宋体" w:hAnsi="宋体" w:eastAsia="宋体" w:cs="宋体"/>
          <w:b/>
          <w:i w:val="0"/>
          <w:color w:val="2E74B5"/>
          <w:sz w:val="22"/>
        </w:rPr>
        <w:t>创新点 3  隐私优先的端侧推理与最小化数据上传设计</w:t>
      </w:r>
    </w:p>
    <w:p>
      <w:pPr>
        <w:spacing w:after="80"/>
        <w:ind w:firstLine="420"/>
      </w:pPr>
      <w:r>
        <w:rPr>
          <w:rFonts w:ascii="宋体" w:hAnsi="宋体" w:eastAsia="宋体" w:cs="宋体"/>
          <w:b w:val="0"/>
          <w:i w:val="0"/>
          <w:color w:val="000000"/>
          <w:sz w:val="21"/>
        </w:rPr>
        <w:t>原始音频不出户、云端仅接收指标与事件标签、事件片段做人声抑制，把数据合规从「事后合规」变为「架构合规」。该设计不仅降低法律风险，也显著降低带宽与云存储成本，并使产品在无网络或网络受限的家庭中仍可正常工作。</w:t>
      </w:r>
    </w:p>
    <w:p>
      <w:pPr>
        <w:spacing w:before="140" w:after="40"/>
        <w:keepNext/>
      </w:pPr>
      <w:r>
        <w:rPr>
          <w:rFonts w:ascii="宋体" w:hAnsi="宋体" w:eastAsia="宋体" w:cs="宋体"/>
          <w:b/>
          <w:i w:val="0"/>
          <w:color w:val="2E74B5"/>
          <w:sz w:val="22"/>
        </w:rPr>
        <w:t>创新点 4  个体化基线的咳嗽预警模型</w:t>
      </w:r>
    </w:p>
    <w:p>
      <w:pPr>
        <w:spacing w:after="80"/>
        <w:ind w:firstLine="420"/>
      </w:pPr>
      <w:r>
        <w:rPr>
          <w:rFonts w:ascii="宋体" w:hAnsi="宋体" w:eastAsia="宋体" w:cs="宋体"/>
          <w:b w:val="0"/>
          <w:i w:val="0"/>
          <w:color w:val="000000"/>
          <w:sz w:val="21"/>
        </w:rPr>
        <w:t>呼吸慢病的声学指标个体差异极大，用群体阈值判断必然误报或漏报。本项目以患者自身历史数据建立滚动基线，采用偏离度与变化率作为预警触发条件，并可与用药记录、症状自评联合建模，使预警从「绝对超标」转向「个体异常」。</w:t>
      </w:r>
    </w:p>
    <w:p>
      <w:pPr>
        <w:spacing w:before="140" w:after="40"/>
        <w:keepNext/>
      </w:pPr>
      <w:r>
        <w:rPr>
          <w:rFonts w:ascii="宋体" w:hAnsi="宋体" w:eastAsia="宋体" w:cs="宋体"/>
          <w:b/>
          <w:i w:val="0"/>
          <w:color w:val="2E74B5"/>
          <w:sz w:val="22"/>
        </w:rPr>
        <w:t>创新点 5  算法版本可追溯与可回滚的合规工程机制</w:t>
      </w:r>
    </w:p>
    <w:p>
      <w:pPr>
        <w:spacing w:after="80"/>
        <w:ind w:firstLine="420"/>
      </w:pPr>
      <w:r>
        <w:rPr>
          <w:rFonts w:ascii="宋体" w:hAnsi="宋体" w:eastAsia="宋体" w:cs="宋体"/>
          <w:b w:val="0"/>
          <w:i w:val="0"/>
          <w:color w:val="000000"/>
          <w:sz w:val="21"/>
        </w:rPr>
        <w:t>针对人工智能医疗器械对算法更新的监管要求（算法驱动型更新通常属于重大软件更新、需申请变更注册；数据驱动型更新以性能评估结果为准），本项目不采用在线持续学习，而是建立「锁定模型 + 版本化离线升级 + 回滚机制」：每次发布绑定算法版本号、训练数据版本与评估报告，升级前按变更注册路径评估，升级后保留可回滚的历史版本。该机制把「模型会越用越准」这一难以审评的主张，替换为「算法变更全程可追溯、可复现、可回退」这一可被验证的工程承诺。</w:t>
      </w:r>
    </w:p>
    <w:p>
      <w:pPr>
        <w:pStyle w:val="Heading2"/>
      </w:pPr>
      <w:r>
        <w:rPr>
          <w:rFonts w:ascii="宋体" w:hAnsi="宋体" w:eastAsia="宋体" w:cs="宋体"/>
          <w:b/>
          <w:i w:val="0"/>
          <w:color w:val="2E74B5"/>
          <w:sz w:val="25"/>
        </w:rPr>
        <w:t>6.2 应用与模式创新</w:t>
      </w:r>
    </w:p>
    <w:p>
      <w:pPr>
        <w:spacing w:after="40" w:line="324" w:lineRule="auto"/>
        <w:ind w:left="425" w:hanging="283"/>
      </w:pPr>
      <w:r>
        <w:rPr>
          <w:rFonts w:ascii="宋体" w:hAnsi="宋体" w:eastAsia="宋体" w:cs="宋体"/>
          <w:b w:val="0"/>
          <w:i w:val="0"/>
          <w:color w:val="2E74B5"/>
          <w:sz w:val="18"/>
        </w:rPr>
        <w:t xml:space="preserve">● </w:t>
      </w:r>
      <w:r>
        <w:rPr>
          <w:rFonts w:ascii="宋体" w:hAnsi="宋体" w:eastAsia="宋体" w:cs="宋体"/>
          <w:b/>
          <w:i w:val="0"/>
          <w:color w:val="000000"/>
          <w:sz w:val="21"/>
        </w:rPr>
        <w:t>零佩戴的居家监测形态：</w:t>
      </w:r>
      <w:r>
        <w:rPr>
          <w:rFonts w:ascii="宋体" w:hAnsi="宋体" w:eastAsia="宋体" w:cs="宋体"/>
          <w:b w:val="0"/>
          <w:i w:val="0"/>
          <w:color w:val="000000"/>
          <w:sz w:val="21"/>
        </w:rPr>
        <w:t>不要求患者佩戴任何设备，从根上解决长期监测中最难的依从性问题，这在儿童与老年患者群体中尤为关键。</w:t>
      </w:r>
    </w:p>
    <w:p>
      <w:pPr>
        <w:spacing w:after="40" w:line="324" w:lineRule="auto"/>
        <w:ind w:left="425" w:hanging="283"/>
      </w:pPr>
      <w:r>
        <w:rPr>
          <w:rFonts w:ascii="宋体" w:hAnsi="宋体" w:eastAsia="宋体" w:cs="宋体"/>
          <w:b w:val="0"/>
          <w:i w:val="0"/>
          <w:color w:val="2E74B5"/>
          <w:sz w:val="18"/>
        </w:rPr>
        <w:t xml:space="preserve">● </w:t>
      </w:r>
      <w:r>
        <w:rPr>
          <w:rFonts w:ascii="宋体" w:hAnsi="宋体" w:eastAsia="宋体" w:cs="宋体"/>
          <w:b/>
          <w:i w:val="0"/>
          <w:color w:val="000000"/>
          <w:sz w:val="21"/>
        </w:rPr>
        <w:t>可回溯的临床证据链：</w:t>
      </w:r>
      <w:r>
        <w:rPr>
          <w:rFonts w:ascii="宋体" w:hAnsi="宋体" w:eastAsia="宋体" w:cs="宋体"/>
          <w:b w:val="0"/>
          <w:i w:val="0"/>
          <w:color w:val="000000"/>
          <w:sz w:val="21"/>
        </w:rPr>
        <w:t>每一项统计指标都能下钻到具体声音事件与时间点，医生可回放、可核实、可标注，把「AI 给了一个分数」变成「医生看到了一段可判断的证据」。</w:t>
      </w:r>
    </w:p>
    <w:p>
      <w:pPr>
        <w:spacing w:after="40" w:line="324" w:lineRule="auto"/>
        <w:ind w:left="425" w:hanging="283"/>
      </w:pPr>
      <w:r>
        <w:rPr>
          <w:rFonts w:ascii="宋体" w:hAnsi="宋体" w:eastAsia="宋体" w:cs="宋体"/>
          <w:b w:val="0"/>
          <w:i w:val="0"/>
          <w:color w:val="2E74B5"/>
          <w:sz w:val="18"/>
        </w:rPr>
        <w:t xml:space="preserve">● </w:t>
      </w:r>
      <w:r>
        <w:rPr>
          <w:rFonts w:ascii="宋体" w:hAnsi="宋体" w:eastAsia="宋体" w:cs="宋体"/>
          <w:b/>
          <w:i w:val="0"/>
          <w:color w:val="000000"/>
          <w:sz w:val="21"/>
        </w:rPr>
        <w:t>基层可负担的部署模式：</w:t>
      </w:r>
      <w:r>
        <w:rPr>
          <w:rFonts w:ascii="宋体" w:hAnsi="宋体" w:eastAsia="宋体" w:cs="宋体"/>
          <w:b w:val="0"/>
          <w:i w:val="0"/>
          <w:color w:val="000000"/>
          <w:sz w:val="21"/>
        </w:rPr>
        <w:t>边缘节点成本控制在数百元量级，配合标准化指标与报告，使基层医疗机构具备开展呼吸慢病随访的条件，契合分级诊疗方向。</w:t>
      </w:r>
    </w:p>
    <w:p>
      <w:pPr>
        <w:spacing w:after="40" w:line="324" w:lineRule="auto"/>
        <w:ind w:left="425" w:hanging="283"/>
      </w:pPr>
      <w:r>
        <w:rPr>
          <w:rFonts w:ascii="宋体" w:hAnsi="宋体" w:eastAsia="宋体" w:cs="宋体"/>
          <w:b w:val="0"/>
          <w:i w:val="0"/>
          <w:color w:val="2E74B5"/>
          <w:sz w:val="18"/>
        </w:rPr>
        <w:t xml:space="preserve">● </w:t>
      </w:r>
      <w:r>
        <w:rPr>
          <w:rFonts w:ascii="宋体" w:hAnsi="宋体" w:eastAsia="宋体" w:cs="宋体"/>
          <w:b/>
          <w:i w:val="0"/>
          <w:color w:val="000000"/>
          <w:sz w:val="21"/>
        </w:rPr>
        <w:t>数据飞轮驱动的持续改进：</w:t>
      </w:r>
      <w:r>
        <w:rPr>
          <w:rFonts w:ascii="宋体" w:hAnsi="宋体" w:eastAsia="宋体" w:cs="宋体"/>
          <w:b w:val="0"/>
          <w:i w:val="0"/>
          <w:color w:val="000000"/>
          <w:sz w:val="21"/>
        </w:rPr>
        <w:t>医生端的误报标注可回流至训练集，形成「临床使用—标注反馈—模型迭代—临床再使用」的闭环，随规模扩大构筑数据壁垒。</w:t>
      </w:r>
    </w:p>
    <w:p>
      <w:pPr>
        <w:pStyle w:val="Heading2"/>
      </w:pPr>
      <w:r>
        <w:rPr>
          <w:rFonts w:ascii="宋体" w:hAnsi="宋体" w:eastAsia="宋体" w:cs="宋体"/>
          <w:b/>
          <w:i w:val="0"/>
          <w:color w:val="2E74B5"/>
          <w:sz w:val="25"/>
        </w:rPr>
        <w:t>6.3 知识产权规划</w:t>
      </w:r>
    </w:p>
    <w:tbl>
      <w:tblPr>
        <w:tblStyle w:val="TableGrid"/>
        <w:jc w:val="center"/>
        <w:tblLook w:firstColumn="1" w:firstRow="1" w:lastColumn="0" w:lastRow="0" w:noHBand="0" w:noVBand="1" w:val="04A0"/>
        <w:tblCellMar>
          <w:top w:w="60" w:type="dxa"/>
          <w:left w:w="90" w:type="dxa"/>
          <w:bottom w:w="60" w:type="dxa"/>
          <w:right w:w="90" w:type="dxa"/>
        </w:tblCellMar>
        <w:tblW w:w="9129" w:type="dxa"/>
        <w:tblLayout w:type="fixed"/>
      </w:tblPr>
      <w:tblGrid>
        <w:gridCol w:w="1369"/>
        <w:gridCol w:w="2967"/>
        <w:gridCol w:w="1940"/>
        <w:gridCol w:w="2853"/>
      </w:tblGrid>
      <w:tr>
        <w:trPr>
          <w:tblHeader w:val="true"/>
        </w:trPr>
        <w:tc>
          <w:tcPr>
            <w:tcW w:type="dxa" w:w="1369"/>
            <w:shd w:val="clear" w:color="auto" w:fill="1F4E79"/>
          </w:tcPr>
          <w:p>
            <w:pPr>
              <w:spacing w:after="0" w:line="276" w:lineRule="auto"/>
              <w:jc w:val="center"/>
            </w:pPr>
            <w:r/>
            <w:r>
              <w:rPr>
                <w:rFonts w:ascii="宋体" w:hAnsi="宋体" w:eastAsia="宋体" w:cs="宋体"/>
                <w:b/>
                <w:i w:val="0"/>
                <w:color w:val="FFFFFF"/>
                <w:sz w:val="19"/>
              </w:rPr>
              <w:t>类型</w:t>
            </w:r>
          </w:p>
        </w:tc>
        <w:tc>
          <w:tcPr>
            <w:tcW w:type="dxa" w:w="2966"/>
            <w:shd w:val="clear" w:color="auto" w:fill="1F4E79"/>
          </w:tcPr>
          <w:p>
            <w:pPr>
              <w:spacing w:after="0" w:line="276" w:lineRule="auto"/>
              <w:jc w:val="center"/>
            </w:pPr>
            <w:r/>
            <w:r>
              <w:rPr>
                <w:rFonts w:ascii="宋体" w:hAnsi="宋体" w:eastAsia="宋体" w:cs="宋体"/>
                <w:b/>
                <w:i w:val="0"/>
                <w:color w:val="FFFFFF"/>
                <w:sz w:val="19"/>
              </w:rPr>
              <w:t>拟申请内容</w:t>
            </w:r>
          </w:p>
        </w:tc>
        <w:tc>
          <w:tcPr>
            <w:tcW w:type="dxa" w:w="1940"/>
            <w:shd w:val="clear" w:color="auto" w:fill="1F4E79"/>
          </w:tcPr>
          <w:p>
            <w:pPr>
              <w:spacing w:after="0" w:line="276" w:lineRule="auto"/>
              <w:jc w:val="center"/>
            </w:pPr>
            <w:r/>
            <w:r>
              <w:rPr>
                <w:rFonts w:ascii="宋体" w:hAnsi="宋体" w:eastAsia="宋体" w:cs="宋体"/>
                <w:b/>
                <w:i w:val="0"/>
                <w:color w:val="FFFFFF"/>
                <w:sz w:val="19"/>
              </w:rPr>
              <w:t>目标时间</w:t>
            </w:r>
          </w:p>
        </w:tc>
        <w:tc>
          <w:tcPr>
            <w:tcW w:type="dxa" w:w="2852"/>
            <w:shd w:val="clear" w:color="auto" w:fill="1F4E79"/>
          </w:tcPr>
          <w:p>
            <w:pPr>
              <w:spacing w:after="0" w:line="276" w:lineRule="auto"/>
              <w:jc w:val="center"/>
            </w:pPr>
            <w:r/>
            <w:r>
              <w:rPr>
                <w:rFonts w:ascii="宋体" w:hAnsi="宋体" w:eastAsia="宋体" w:cs="宋体"/>
                <w:b/>
                <w:i w:val="0"/>
                <w:color w:val="FFFFFF"/>
                <w:sz w:val="19"/>
              </w:rPr>
              <w:t>状态</w:t>
            </w:r>
          </w:p>
        </w:tc>
      </w:tr>
      <w:tr>
        <w:tc>
          <w:tcPr>
            <w:tcW w:type="dxa" w:w="1369"/>
          </w:tcPr>
          <w:p>
            <w:pPr>
              <w:spacing w:after="0" w:line="276" w:lineRule="auto"/>
            </w:pPr>
            <w:r/>
            <w:r>
              <w:rPr>
                <w:rFonts w:ascii="宋体" w:hAnsi="宋体" w:eastAsia="宋体" w:cs="宋体"/>
                <w:b w:val="0"/>
                <w:i w:val="0"/>
                <w:color w:val="000000"/>
                <w:sz w:val="19"/>
              </w:rPr>
              <w:t>发明专利</w:t>
            </w:r>
          </w:p>
        </w:tc>
        <w:tc>
          <w:tcPr>
            <w:tcW w:type="dxa" w:w="2966"/>
          </w:tcPr>
          <w:p>
            <w:pPr>
              <w:spacing w:after="0" w:line="276" w:lineRule="auto"/>
            </w:pPr>
            <w:r/>
            <w:r>
              <w:rPr>
                <w:rFonts w:ascii="宋体" w:hAnsi="宋体" w:eastAsia="宋体" w:cs="宋体"/>
                <w:b w:val="0"/>
                <w:i w:val="0"/>
                <w:color w:val="000000"/>
                <w:sz w:val="19"/>
              </w:rPr>
              <w:t>两级级联的居家呼吸声学事件检测方法</w:t>
            </w:r>
          </w:p>
        </w:tc>
        <w:tc>
          <w:tcPr>
            <w:tcW w:type="dxa" w:w="1940"/>
          </w:tcPr>
          <w:p>
            <w:pPr>
              <w:spacing w:after="0" w:line="276" w:lineRule="auto"/>
            </w:pPr>
            <w:r/>
            <w:r>
              <w:rPr>
                <w:rFonts w:ascii="宋体" w:hAnsi="宋体" w:eastAsia="宋体" w:cs="宋体"/>
                <w:b w:val="0"/>
                <w:i w:val="0"/>
                <w:color w:val="000000"/>
                <w:sz w:val="19"/>
              </w:rPr>
              <w:t>第 6–12 月</w:t>
            </w:r>
          </w:p>
        </w:tc>
        <w:tc>
          <w:tcPr>
            <w:tcW w:type="dxa" w:w="2852"/>
          </w:tcPr>
          <w:p>
            <w:pPr>
              <w:spacing w:after="0" w:line="276" w:lineRule="auto"/>
            </w:pPr>
            <w:r/>
            <w:r>
              <w:rPr>
                <w:rFonts w:ascii="宋体" w:hAnsi="宋体" w:eastAsia="宋体" w:cs="宋体"/>
                <w:b w:val="0"/>
                <w:i w:val="0"/>
                <w:color w:val="000000"/>
                <w:sz w:val="19"/>
              </w:rPr>
              <w:t>【待补充：撰写/受理/公开】</w:t>
            </w:r>
          </w:p>
        </w:tc>
      </w:tr>
      <w:tr>
        <w:tc>
          <w:tcPr>
            <w:tcW w:type="dxa" w:w="1369"/>
            <w:shd w:val="clear" w:color="auto" w:fill="EDF3F9"/>
          </w:tcPr>
          <w:p>
            <w:pPr>
              <w:spacing w:after="0" w:line="276" w:lineRule="auto"/>
            </w:pPr>
            <w:r/>
            <w:r>
              <w:rPr>
                <w:rFonts w:ascii="宋体" w:hAnsi="宋体" w:eastAsia="宋体" w:cs="宋体"/>
                <w:b w:val="0"/>
                <w:i w:val="0"/>
                <w:color w:val="000000"/>
                <w:sz w:val="19"/>
              </w:rPr>
              <w:t>发明专利</w:t>
            </w:r>
          </w:p>
        </w:tc>
        <w:tc>
          <w:tcPr>
            <w:tcW w:type="dxa" w:w="2966"/>
            <w:shd w:val="clear" w:color="auto" w:fill="EDF3F9"/>
          </w:tcPr>
          <w:p>
            <w:pPr>
              <w:spacing w:after="0" w:line="276" w:lineRule="auto"/>
            </w:pPr>
            <w:r/>
            <w:r>
              <w:rPr>
                <w:rFonts w:ascii="宋体" w:hAnsi="宋体" w:eastAsia="宋体" w:cs="宋体"/>
                <w:b w:val="0"/>
                <w:i w:val="0"/>
                <w:color w:val="000000"/>
                <w:sz w:val="19"/>
              </w:rPr>
              <w:t>面向边缘 NPU 的量化感知训练与精度保障方法</w:t>
            </w:r>
          </w:p>
        </w:tc>
        <w:tc>
          <w:tcPr>
            <w:tcW w:type="dxa" w:w="1940"/>
            <w:shd w:val="clear" w:color="auto" w:fill="EDF3F9"/>
          </w:tcPr>
          <w:p>
            <w:pPr>
              <w:spacing w:after="0" w:line="276" w:lineRule="auto"/>
            </w:pPr>
            <w:r/>
            <w:r>
              <w:rPr>
                <w:rFonts w:ascii="宋体" w:hAnsi="宋体" w:eastAsia="宋体" w:cs="宋体"/>
                <w:b w:val="0"/>
                <w:i w:val="0"/>
                <w:color w:val="000000"/>
                <w:sz w:val="19"/>
              </w:rPr>
              <w:t>第 12–18 月</w:t>
            </w:r>
          </w:p>
        </w:tc>
        <w:tc>
          <w:tcPr>
            <w:tcW w:type="dxa" w:w="2852"/>
            <w:shd w:val="clear" w:color="auto" w:fill="EDF3F9"/>
          </w:tcPr>
          <w:p>
            <w:pPr>
              <w:spacing w:after="0" w:line="276" w:lineRule="auto"/>
            </w:pPr>
            <w:r/>
            <w:r>
              <w:rPr>
                <w:rFonts w:ascii="宋体" w:hAnsi="宋体" w:eastAsia="宋体" w:cs="宋体"/>
                <w:b w:val="0"/>
                <w:i w:val="0"/>
                <w:color w:val="000000"/>
                <w:sz w:val="19"/>
              </w:rPr>
              <w:t>【待补充】</w:t>
            </w:r>
          </w:p>
        </w:tc>
      </w:tr>
      <w:tr>
        <w:tc>
          <w:tcPr>
            <w:tcW w:type="dxa" w:w="1369"/>
          </w:tcPr>
          <w:p>
            <w:pPr>
              <w:spacing w:after="0" w:line="276" w:lineRule="auto"/>
            </w:pPr>
            <w:r/>
            <w:r>
              <w:rPr>
                <w:rFonts w:ascii="宋体" w:hAnsi="宋体" w:eastAsia="宋体" w:cs="宋体"/>
                <w:b w:val="0"/>
                <w:i w:val="0"/>
                <w:color w:val="000000"/>
                <w:sz w:val="19"/>
              </w:rPr>
              <w:t>实用新型</w:t>
            </w:r>
          </w:p>
        </w:tc>
        <w:tc>
          <w:tcPr>
            <w:tcW w:type="dxa" w:w="2966"/>
          </w:tcPr>
          <w:p>
            <w:pPr>
              <w:spacing w:after="0" w:line="276" w:lineRule="auto"/>
            </w:pPr>
            <w:r/>
            <w:r>
              <w:rPr>
                <w:rFonts w:ascii="宋体" w:hAnsi="宋体" w:eastAsia="宋体" w:cs="宋体"/>
                <w:b w:val="0"/>
                <w:i w:val="0"/>
                <w:color w:val="000000"/>
                <w:sz w:val="19"/>
              </w:rPr>
              <w:t>一种床旁呼吸声采集与边缘计算装置</w:t>
            </w:r>
          </w:p>
        </w:tc>
        <w:tc>
          <w:tcPr>
            <w:tcW w:type="dxa" w:w="1940"/>
          </w:tcPr>
          <w:p>
            <w:pPr>
              <w:spacing w:after="0" w:line="276" w:lineRule="auto"/>
            </w:pPr>
            <w:r/>
            <w:r>
              <w:rPr>
                <w:rFonts w:ascii="宋体" w:hAnsi="宋体" w:eastAsia="宋体" w:cs="宋体"/>
                <w:b w:val="0"/>
                <w:i w:val="0"/>
                <w:color w:val="000000"/>
                <w:sz w:val="19"/>
              </w:rPr>
              <w:t>第 6–12 月</w:t>
            </w:r>
          </w:p>
        </w:tc>
        <w:tc>
          <w:tcPr>
            <w:tcW w:type="dxa" w:w="2852"/>
          </w:tcPr>
          <w:p>
            <w:pPr>
              <w:spacing w:after="0" w:line="276" w:lineRule="auto"/>
            </w:pPr>
            <w:r/>
            <w:r>
              <w:rPr>
                <w:rFonts w:ascii="宋体" w:hAnsi="宋体" w:eastAsia="宋体" w:cs="宋体"/>
                <w:b w:val="0"/>
                <w:i w:val="0"/>
                <w:color w:val="000000"/>
                <w:sz w:val="19"/>
              </w:rPr>
              <w:t>【待补充】</w:t>
            </w:r>
          </w:p>
        </w:tc>
      </w:tr>
      <w:tr>
        <w:tc>
          <w:tcPr>
            <w:tcW w:type="dxa" w:w="1369"/>
            <w:shd w:val="clear" w:color="auto" w:fill="EDF3F9"/>
          </w:tcPr>
          <w:p>
            <w:pPr>
              <w:spacing w:after="0" w:line="276" w:lineRule="auto"/>
            </w:pPr>
            <w:r/>
            <w:r>
              <w:rPr>
                <w:rFonts w:ascii="宋体" w:hAnsi="宋体" w:eastAsia="宋体" w:cs="宋体"/>
                <w:b w:val="0"/>
                <w:i w:val="0"/>
                <w:color w:val="000000"/>
                <w:sz w:val="19"/>
              </w:rPr>
              <w:t>软件著作权</w:t>
            </w:r>
          </w:p>
        </w:tc>
        <w:tc>
          <w:tcPr>
            <w:tcW w:type="dxa" w:w="2966"/>
            <w:shd w:val="clear" w:color="auto" w:fill="EDF3F9"/>
          </w:tcPr>
          <w:p>
            <w:pPr>
              <w:spacing w:after="0" w:line="276" w:lineRule="auto"/>
            </w:pPr>
            <w:r/>
            <w:r>
              <w:rPr>
                <w:rFonts w:ascii="宋体" w:hAnsi="宋体" w:eastAsia="宋体" w:cs="宋体"/>
                <w:b w:val="0"/>
                <w:i w:val="0"/>
                <w:color w:val="000000"/>
                <w:sz w:val="19"/>
              </w:rPr>
              <w:t>居家呼吸声学监测算法软件、边缘端推理服务、医生端工作站</w:t>
            </w:r>
          </w:p>
        </w:tc>
        <w:tc>
          <w:tcPr>
            <w:tcW w:type="dxa" w:w="1940"/>
            <w:shd w:val="clear" w:color="auto" w:fill="EDF3F9"/>
          </w:tcPr>
          <w:p>
            <w:pPr>
              <w:spacing w:after="0" w:line="276" w:lineRule="auto"/>
            </w:pPr>
            <w:r/>
            <w:r>
              <w:rPr>
                <w:rFonts w:ascii="宋体" w:hAnsi="宋体" w:eastAsia="宋体" w:cs="宋体"/>
                <w:b w:val="0"/>
                <w:i w:val="0"/>
                <w:color w:val="000000"/>
                <w:sz w:val="19"/>
              </w:rPr>
              <w:t>第 6–12 月</w:t>
            </w:r>
          </w:p>
        </w:tc>
        <w:tc>
          <w:tcPr>
            <w:tcW w:type="dxa" w:w="2852"/>
            <w:shd w:val="clear" w:color="auto" w:fill="EDF3F9"/>
          </w:tcPr>
          <w:p>
            <w:pPr>
              <w:spacing w:after="0" w:line="276" w:lineRule="auto"/>
            </w:pPr>
            <w:r/>
            <w:r>
              <w:rPr>
                <w:rFonts w:ascii="宋体" w:hAnsi="宋体" w:eastAsia="宋体" w:cs="宋体"/>
                <w:b w:val="0"/>
                <w:i w:val="0"/>
                <w:color w:val="000000"/>
                <w:sz w:val="19"/>
              </w:rPr>
              <w:t>【待补充】</w:t>
            </w:r>
          </w:p>
        </w:tc>
      </w:tr>
      <w:tr>
        <w:tc>
          <w:tcPr>
            <w:tcW w:type="dxa" w:w="1369"/>
          </w:tcPr>
          <w:p>
            <w:pPr>
              <w:spacing w:after="0" w:line="276" w:lineRule="auto"/>
            </w:pPr>
            <w:r/>
            <w:r>
              <w:rPr>
                <w:rFonts w:ascii="宋体" w:hAnsi="宋体" w:eastAsia="宋体" w:cs="宋体"/>
                <w:b w:val="0"/>
                <w:i w:val="0"/>
                <w:color w:val="000000"/>
                <w:sz w:val="19"/>
              </w:rPr>
              <w:t>学术论文</w:t>
            </w:r>
          </w:p>
        </w:tc>
        <w:tc>
          <w:tcPr>
            <w:tcW w:type="dxa" w:w="2966"/>
          </w:tcPr>
          <w:p>
            <w:pPr>
              <w:spacing w:after="0" w:line="276" w:lineRule="auto"/>
            </w:pPr>
            <w:r/>
            <w:r>
              <w:rPr>
                <w:rFonts w:ascii="宋体" w:hAnsi="宋体" w:eastAsia="宋体" w:cs="宋体"/>
                <w:b w:val="0"/>
                <w:i w:val="0"/>
                <w:color w:val="000000"/>
                <w:sz w:val="19"/>
              </w:rPr>
              <w:t>在留出测试集上的算法性能与临床一致性研究</w:t>
            </w:r>
          </w:p>
        </w:tc>
        <w:tc>
          <w:tcPr>
            <w:tcW w:type="dxa" w:w="1940"/>
          </w:tcPr>
          <w:p>
            <w:pPr>
              <w:spacing w:after="0" w:line="276" w:lineRule="auto"/>
            </w:pPr>
            <w:r/>
            <w:r>
              <w:rPr>
                <w:rFonts w:ascii="宋体" w:hAnsi="宋体" w:eastAsia="宋体" w:cs="宋体"/>
                <w:b w:val="0"/>
                <w:i w:val="0"/>
                <w:color w:val="000000"/>
                <w:sz w:val="19"/>
              </w:rPr>
              <w:t>第 18–24 月</w:t>
            </w:r>
          </w:p>
        </w:tc>
        <w:tc>
          <w:tcPr>
            <w:tcW w:type="dxa" w:w="2852"/>
          </w:tcPr>
          <w:p>
            <w:pPr>
              <w:spacing w:after="0" w:line="276" w:lineRule="auto"/>
            </w:pPr>
            <w:r/>
            <w:r>
              <w:rPr>
                <w:rFonts w:ascii="宋体" w:hAnsi="宋体" w:eastAsia="宋体" w:cs="宋体"/>
                <w:b w:val="0"/>
                <w:i w:val="0"/>
                <w:color w:val="000000"/>
                <w:sz w:val="19"/>
              </w:rPr>
              <w:t>【待补充】</w:t>
            </w:r>
          </w:p>
        </w:tc>
      </w:tr>
      <w:tr>
        <w:tc>
          <w:tcPr>
            <w:tcW w:type="dxa" w:w="1369"/>
            <w:shd w:val="clear" w:color="auto" w:fill="EDF3F9"/>
          </w:tcPr>
          <w:p>
            <w:pPr>
              <w:spacing w:after="0" w:line="276" w:lineRule="auto"/>
            </w:pPr>
            <w:r/>
            <w:r>
              <w:rPr>
                <w:rFonts w:ascii="宋体" w:hAnsi="宋体" w:eastAsia="宋体" w:cs="宋体"/>
                <w:b w:val="0"/>
                <w:i w:val="0"/>
                <w:color w:val="000000"/>
                <w:sz w:val="19"/>
              </w:rPr>
              <w:t>商标</w:t>
            </w:r>
          </w:p>
        </w:tc>
        <w:tc>
          <w:tcPr>
            <w:tcW w:type="dxa" w:w="2966"/>
            <w:shd w:val="clear" w:color="auto" w:fill="EDF3F9"/>
          </w:tcPr>
          <w:p>
            <w:pPr>
              <w:spacing w:after="0" w:line="276" w:lineRule="auto"/>
            </w:pPr>
            <w:r/>
            <w:r>
              <w:rPr>
                <w:rFonts w:ascii="宋体" w:hAnsi="宋体" w:eastAsia="宋体" w:cs="宋体"/>
                <w:b w:val="0"/>
                <w:i w:val="0"/>
                <w:color w:val="000000"/>
                <w:sz w:val="19"/>
              </w:rPr>
              <w:t>产品与服务商标（第 9、10、42 类）</w:t>
            </w:r>
          </w:p>
        </w:tc>
        <w:tc>
          <w:tcPr>
            <w:tcW w:type="dxa" w:w="1940"/>
            <w:shd w:val="clear" w:color="auto" w:fill="EDF3F9"/>
          </w:tcPr>
          <w:p>
            <w:pPr>
              <w:spacing w:after="0" w:line="276" w:lineRule="auto"/>
            </w:pPr>
            <w:r/>
            <w:r>
              <w:rPr>
                <w:rFonts w:ascii="宋体" w:hAnsi="宋体" w:eastAsia="宋体" w:cs="宋体"/>
                <w:b w:val="0"/>
                <w:i w:val="0"/>
                <w:color w:val="000000"/>
                <w:sz w:val="19"/>
              </w:rPr>
              <w:t>第 12 月</w:t>
            </w:r>
          </w:p>
        </w:tc>
        <w:tc>
          <w:tcPr>
            <w:tcW w:type="dxa" w:w="2852"/>
            <w:shd w:val="clear" w:color="auto" w:fill="EDF3F9"/>
          </w:tcPr>
          <w:p>
            <w:pPr>
              <w:spacing w:after="0" w:line="276" w:lineRule="auto"/>
            </w:pPr>
            <w:r/>
            <w:r>
              <w:rPr>
                <w:rFonts w:ascii="宋体" w:hAnsi="宋体" w:eastAsia="宋体" w:cs="宋体"/>
                <w:b w:val="0"/>
                <w:i w:val="0"/>
                <w:color w:val="000000"/>
                <w:sz w:val="19"/>
              </w:rPr>
              <w:t>【待补充】</w:t>
            </w:r>
          </w:p>
        </w:tc>
      </w:tr>
    </w:tbl>
    <w:p>
      <w:pPr>
        <w:spacing w:after="40"/>
      </w:pPr>
    </w:p>
    <w:p>
      <w:pPr>
        <w:spacing w:after="80"/>
        <w:jc w:val="left"/>
      </w:pPr>
      <w:r>
        <w:rPr>
          <w:rFonts w:ascii="宋体" w:hAnsi="宋体" w:eastAsia="宋体" w:cs="宋体"/>
          <w:b w:val="0"/>
          <w:i w:val="0"/>
          <w:color w:val="595959"/>
          <w:sz w:val="18"/>
        </w:rPr>
        <w:t>注：知识产权清单为规划目标，用于说明技术壁垒的构建路径，非已授权成果。</w:t>
      </w:r>
    </w:p>
    <w:p>
      <w:r>
        <w:br w:type="page"/>
      </w:r>
    </w:p>
    <w:p>
      <w:pPr>
        <w:pStyle w:val="Heading1"/>
      </w:pPr>
      <w:r>
        <w:rPr>
          <w:rFonts w:ascii="宋体" w:hAnsi="宋体" w:eastAsia="宋体" w:cs="宋体"/>
          <w:b/>
          <w:i w:val="0"/>
          <w:color w:val="1F4E79"/>
          <w:sz w:val="30"/>
        </w:rPr>
        <w:t>第七章 临床价值与验证方案</w:t>
      </w:r>
    </w:p>
    <w:p>
      <w:pPr>
        <w:pStyle w:val="Heading2"/>
      </w:pPr>
      <w:r>
        <w:rPr>
          <w:rFonts w:ascii="宋体" w:hAnsi="宋体" w:eastAsia="宋体" w:cs="宋体"/>
          <w:b/>
          <w:i w:val="0"/>
          <w:color w:val="2E74B5"/>
          <w:sz w:val="25"/>
        </w:rPr>
        <w:t>7.1 临床证据基础</w:t>
      </w:r>
    </w:p>
    <w:p>
      <w:pPr>
        <w:spacing w:after="80"/>
        <w:ind w:firstLine="420"/>
      </w:pPr>
      <w:r>
        <w:rPr>
          <w:rFonts w:ascii="宋体" w:hAnsi="宋体" w:eastAsia="宋体" w:cs="宋体"/>
          <w:b w:val="0"/>
          <w:i w:val="0"/>
          <w:color w:val="000000"/>
          <w:sz w:val="21"/>
        </w:rPr>
        <w:t>声学指标用于呼吸疾病评价并非全新概念，其有效性已被一系列研究支持。这些研究构成本项目的科学依据，也说明该方向具备可验证的临床终点。</w:t>
      </w:r>
    </w:p>
    <w:tbl>
      <w:tblPr>
        <w:tblStyle w:val="TableGrid"/>
        <w:jc w:val="center"/>
        <w:tblLook w:firstColumn="1" w:firstRow="1" w:lastColumn="0" w:lastRow="0" w:noHBand="0" w:noVBand="1" w:val="04A0"/>
        <w:tblCellMar>
          <w:top w:w="60" w:type="dxa"/>
          <w:left w:w="90" w:type="dxa"/>
          <w:bottom w:w="60" w:type="dxa"/>
          <w:right w:w="90" w:type="dxa"/>
        </w:tblCellMar>
        <w:tblW w:w="9129" w:type="dxa"/>
        <w:tblLayout w:type="fixed"/>
      </w:tblPr>
      <w:tblGrid>
        <w:gridCol w:w="571"/>
        <w:gridCol w:w="2625"/>
        <w:gridCol w:w="1826"/>
        <w:gridCol w:w="1826"/>
        <w:gridCol w:w="2282"/>
      </w:tblGrid>
      <w:tr>
        <w:trPr>
          <w:tblHeader w:val="true"/>
        </w:trPr>
        <w:tc>
          <w:tcPr>
            <w:tcW w:type="dxa" w:w="570"/>
            <w:shd w:val="clear" w:color="auto" w:fill="1F4E79"/>
          </w:tcPr>
          <w:p>
            <w:pPr>
              <w:spacing w:after="0" w:line="276" w:lineRule="auto"/>
              <w:jc w:val="center"/>
            </w:pPr>
            <w:r/>
            <w:r>
              <w:rPr>
                <w:rFonts w:ascii="宋体" w:hAnsi="宋体" w:eastAsia="宋体" w:cs="宋体"/>
                <w:b/>
                <w:i w:val="0"/>
                <w:color w:val="FFFFFF"/>
                <w:sz w:val="19"/>
              </w:rPr>
              <w:t>序号</w:t>
            </w:r>
          </w:p>
        </w:tc>
        <w:tc>
          <w:tcPr>
            <w:tcW w:type="dxa" w:w="2624"/>
            <w:shd w:val="clear" w:color="auto" w:fill="1F4E79"/>
          </w:tcPr>
          <w:p>
            <w:pPr>
              <w:spacing w:after="0" w:line="276" w:lineRule="auto"/>
              <w:jc w:val="center"/>
            </w:pPr>
            <w:r/>
            <w:r>
              <w:rPr>
                <w:rFonts w:ascii="宋体" w:hAnsi="宋体" w:eastAsia="宋体" w:cs="宋体"/>
                <w:b/>
                <w:i w:val="0"/>
                <w:color w:val="FFFFFF"/>
                <w:sz w:val="19"/>
              </w:rPr>
              <w:t>研究方向</w:t>
            </w:r>
          </w:p>
        </w:tc>
        <w:tc>
          <w:tcPr>
            <w:tcW w:type="dxa" w:w="1826"/>
            <w:shd w:val="clear" w:color="auto" w:fill="1F4E79"/>
          </w:tcPr>
          <w:p>
            <w:pPr>
              <w:spacing w:after="0" w:line="276" w:lineRule="auto"/>
              <w:jc w:val="center"/>
            </w:pPr>
            <w:r/>
            <w:r>
              <w:rPr>
                <w:rFonts w:ascii="宋体" w:hAnsi="宋体" w:eastAsia="宋体" w:cs="宋体"/>
                <w:b/>
                <w:i w:val="0"/>
                <w:color w:val="FFFFFF"/>
                <w:sz w:val="19"/>
              </w:rPr>
              <w:t>典型方法</w:t>
            </w:r>
          </w:p>
        </w:tc>
        <w:tc>
          <w:tcPr>
            <w:tcW w:type="dxa" w:w="1826"/>
            <w:shd w:val="clear" w:color="auto" w:fill="1F4E79"/>
          </w:tcPr>
          <w:p>
            <w:pPr>
              <w:spacing w:after="0" w:line="276" w:lineRule="auto"/>
              <w:jc w:val="center"/>
            </w:pPr>
            <w:r/>
            <w:r>
              <w:rPr>
                <w:rFonts w:ascii="宋体" w:hAnsi="宋体" w:eastAsia="宋体" w:cs="宋体"/>
                <w:b/>
                <w:i w:val="0"/>
                <w:color w:val="FFFFFF"/>
                <w:sz w:val="19"/>
              </w:rPr>
              <w:t>报道性能</w:t>
            </w:r>
          </w:p>
        </w:tc>
        <w:tc>
          <w:tcPr>
            <w:tcW w:type="dxa" w:w="2282"/>
            <w:shd w:val="clear" w:color="auto" w:fill="1F4E79"/>
          </w:tcPr>
          <w:p>
            <w:pPr>
              <w:spacing w:after="0" w:line="276" w:lineRule="auto"/>
              <w:jc w:val="center"/>
            </w:pPr>
            <w:r/>
            <w:r>
              <w:rPr>
                <w:rFonts w:ascii="宋体" w:hAnsi="宋体" w:eastAsia="宋体" w:cs="宋体"/>
                <w:b/>
                <w:i w:val="0"/>
                <w:color w:val="FFFFFF"/>
                <w:sz w:val="19"/>
              </w:rPr>
              <w:t>对本项目的启示</w:t>
            </w:r>
          </w:p>
        </w:tc>
      </w:tr>
      <w:tr>
        <w:tc>
          <w:tcPr>
            <w:tcW w:type="dxa" w:w="570"/>
          </w:tcPr>
          <w:p>
            <w:pPr>
              <w:spacing w:after="0" w:line="276" w:lineRule="auto"/>
            </w:pPr>
            <w:r/>
            <w:r>
              <w:rPr>
                <w:rFonts w:ascii="宋体" w:hAnsi="宋体" w:eastAsia="宋体" w:cs="宋体"/>
                <w:b w:val="0"/>
                <w:i w:val="0"/>
                <w:color w:val="000000"/>
                <w:sz w:val="19"/>
              </w:rPr>
              <w:t>1</w:t>
            </w:r>
          </w:p>
        </w:tc>
        <w:tc>
          <w:tcPr>
            <w:tcW w:type="dxa" w:w="2624"/>
          </w:tcPr>
          <w:p>
            <w:pPr>
              <w:spacing w:after="0" w:line="276" w:lineRule="auto"/>
            </w:pPr>
            <w:r/>
            <w:r>
              <w:rPr>
                <w:rFonts w:ascii="宋体" w:hAnsi="宋体" w:eastAsia="宋体" w:cs="宋体"/>
                <w:b w:val="0"/>
                <w:i w:val="0"/>
                <w:color w:val="000000"/>
                <w:sz w:val="19"/>
              </w:rPr>
              <w:t>手机自主咳嗽音检出慢阻肺（中国 Cough Search 研究；上海交通大学医学院附属瑞金医院等，NCT06082791）</w:t>
            </w:r>
          </w:p>
        </w:tc>
        <w:tc>
          <w:tcPr>
            <w:tcW w:type="dxa" w:w="1826"/>
          </w:tcPr>
          <w:p>
            <w:pPr>
              <w:spacing w:after="0" w:line="276" w:lineRule="auto"/>
            </w:pPr>
            <w:r/>
            <w:r>
              <w:rPr>
                <w:rFonts w:ascii="宋体" w:hAnsi="宋体" w:eastAsia="宋体" w:cs="宋体"/>
                <w:b w:val="0"/>
                <w:i w:val="0"/>
                <w:color w:val="000000"/>
                <w:sz w:val="19"/>
              </w:rPr>
              <w:t>手机自主咳嗽音采集 + transformer 深度学习模型</w:t>
            </w:r>
          </w:p>
        </w:tc>
        <w:tc>
          <w:tcPr>
            <w:tcW w:type="dxa" w:w="1826"/>
          </w:tcPr>
          <w:p>
            <w:pPr>
              <w:spacing w:after="0" w:line="276" w:lineRule="auto"/>
            </w:pPr>
            <w:r/>
            <w:r>
              <w:rPr>
                <w:rFonts w:ascii="宋体" w:hAnsi="宋体" w:eastAsia="宋体" w:cs="宋体"/>
                <w:b w:val="0"/>
                <w:i w:val="0"/>
                <w:color w:val="000000"/>
                <w:sz w:val="19"/>
              </w:rPr>
              <w:t>内部 AUC 0.92、外部 AUC 0.94（AUC 即受试者工作特征曲线下面积，Area Under the ROC Curve）；外部敏感度 92%、特异度 86%；GOLD（慢阻肺全球倡议分级）3–4 级敏感度 ＞93%。训练 406 例慢阻肺 / 1,631 例非慢阻肺；外部验证 105 例慢阻肺 / 617 例非慢阻肺（四家医院）</w:t>
            </w:r>
          </w:p>
        </w:tc>
        <w:tc>
          <w:tcPr>
            <w:tcW w:type="dxa" w:w="2282"/>
          </w:tcPr>
          <w:p>
            <w:pPr>
              <w:spacing w:after="0" w:line="276" w:lineRule="auto"/>
            </w:pPr>
            <w:r/>
            <w:r>
              <w:rPr>
                <w:rFonts w:ascii="宋体" w:hAnsi="宋体" w:eastAsia="宋体" w:cs="宋体"/>
                <w:b w:val="0"/>
                <w:i w:val="0"/>
                <w:color w:val="000000"/>
                <w:sz w:val="19"/>
              </w:rPr>
              <w:t>同类工作已获四家医院外部验证的最有力证据，同时说明中国人群咳嗽声学数据可用、可建模；本项目应采用同级外部验证设计</w:t>
            </w:r>
          </w:p>
        </w:tc>
      </w:tr>
      <w:tr>
        <w:tc>
          <w:tcPr>
            <w:tcW w:type="dxa" w:w="570"/>
            <w:shd w:val="clear" w:color="auto" w:fill="EDF3F9"/>
          </w:tcPr>
          <w:p>
            <w:pPr>
              <w:spacing w:after="0" w:line="276" w:lineRule="auto"/>
            </w:pPr>
            <w:r/>
            <w:r>
              <w:rPr>
                <w:rFonts w:ascii="宋体" w:hAnsi="宋体" w:eastAsia="宋体" w:cs="宋体"/>
                <w:b w:val="0"/>
                <w:i w:val="0"/>
                <w:color w:val="000000"/>
                <w:sz w:val="19"/>
              </w:rPr>
              <w:t>2</w:t>
            </w:r>
          </w:p>
        </w:tc>
        <w:tc>
          <w:tcPr>
            <w:tcW w:type="dxa" w:w="2624"/>
            <w:shd w:val="clear" w:color="auto" w:fill="EDF3F9"/>
          </w:tcPr>
          <w:p>
            <w:pPr>
              <w:spacing w:after="0" w:line="276" w:lineRule="auto"/>
            </w:pPr>
            <w:r/>
            <w:r>
              <w:rPr>
                <w:rFonts w:ascii="宋体" w:hAnsi="宋体" w:eastAsia="宋体" w:cs="宋体"/>
                <w:b w:val="0"/>
                <w:i w:val="0"/>
                <w:color w:val="000000"/>
                <w:sz w:val="19"/>
              </w:rPr>
              <w:t>Hyfe CoughMonitor 多中心验证（《Scientific Reports》2025）</w:t>
            </w:r>
          </w:p>
        </w:tc>
        <w:tc>
          <w:tcPr>
            <w:tcW w:type="dxa" w:w="1826"/>
            <w:shd w:val="clear" w:color="auto" w:fill="EDF3F9"/>
          </w:tcPr>
          <w:p>
            <w:pPr>
              <w:spacing w:after="0" w:line="276" w:lineRule="auto"/>
            </w:pPr>
            <w:r/>
            <w:r>
              <w:rPr>
                <w:rFonts w:ascii="宋体" w:hAnsi="宋体" w:eastAsia="宋体" w:cs="宋体"/>
                <w:b w:val="0"/>
                <w:i w:val="0"/>
                <w:color w:val="000000"/>
                <w:sz w:val="19"/>
              </w:rPr>
              <w:t>连续录音 + 端侧咳嗽检测算法，多观察者人工标注</w:t>
            </w:r>
          </w:p>
        </w:tc>
        <w:tc>
          <w:tcPr>
            <w:tcW w:type="dxa" w:w="1826"/>
            <w:shd w:val="clear" w:color="auto" w:fill="EDF3F9"/>
          </w:tcPr>
          <w:p>
            <w:pPr>
              <w:spacing w:after="0" w:line="276" w:lineRule="auto"/>
            </w:pPr>
            <w:r/>
            <w:r>
              <w:rPr>
                <w:rFonts w:ascii="宋体" w:hAnsi="宋体" w:eastAsia="宋体" w:cs="宋体"/>
                <w:b w:val="0"/>
                <w:i w:val="0"/>
                <w:color w:val="000000"/>
                <w:sz w:val="19"/>
              </w:rPr>
              <w:t>546 小时录音、4,454 次咳嗽事件；敏感度 90.4%（95%CI 88.3–92.2）；假阳性 1.03 次/小时；逐小时咳嗽计数 Pearson r = 0.99</w:t>
            </w:r>
          </w:p>
        </w:tc>
        <w:tc>
          <w:tcPr>
            <w:tcW w:type="dxa" w:w="2282"/>
            <w:shd w:val="clear" w:color="auto" w:fill="EDF3F9"/>
          </w:tcPr>
          <w:p>
            <w:pPr>
              <w:spacing w:after="0" w:line="276" w:lineRule="auto"/>
            </w:pPr>
            <w:r/>
            <w:r>
              <w:rPr>
                <w:rFonts w:ascii="宋体" w:hAnsi="宋体" w:eastAsia="宋体" w:cs="宋体"/>
                <w:b w:val="0"/>
                <w:i w:val="0"/>
                <w:color w:val="000000"/>
                <w:sz w:val="19"/>
              </w:rPr>
              <w:t>确立了本领域的指标报告口径：敏感度、假阳性（次/小时）与逐时段相关系数必须同时报告</w:t>
            </w:r>
          </w:p>
        </w:tc>
      </w:tr>
      <w:tr>
        <w:tc>
          <w:tcPr>
            <w:tcW w:type="dxa" w:w="570"/>
          </w:tcPr>
          <w:p>
            <w:pPr>
              <w:spacing w:after="0" w:line="276" w:lineRule="auto"/>
            </w:pPr>
            <w:r/>
            <w:r>
              <w:rPr>
                <w:rFonts w:ascii="宋体" w:hAnsi="宋体" w:eastAsia="宋体" w:cs="宋体"/>
                <w:b w:val="0"/>
                <w:i w:val="0"/>
                <w:color w:val="000000"/>
                <w:sz w:val="19"/>
              </w:rPr>
              <w:t>3</w:t>
            </w:r>
          </w:p>
        </w:tc>
        <w:tc>
          <w:tcPr>
            <w:tcW w:type="dxa" w:w="2624"/>
          </w:tcPr>
          <w:p>
            <w:pPr>
              <w:spacing w:after="0" w:line="276" w:lineRule="auto"/>
            </w:pPr>
            <w:r/>
            <w:r>
              <w:rPr>
                <w:rFonts w:ascii="宋体" w:hAnsi="宋体" w:eastAsia="宋体" w:cs="宋体"/>
                <w:b w:val="0"/>
                <w:i w:val="0"/>
                <w:color w:val="000000"/>
                <w:sz w:val="19"/>
              </w:rPr>
              <w:t>Hyfe Cough Tracker 手机 App 性能（F1000Research）</w:t>
            </w:r>
          </w:p>
        </w:tc>
        <w:tc>
          <w:tcPr>
            <w:tcW w:type="dxa" w:w="1826"/>
          </w:tcPr>
          <w:p>
            <w:pPr>
              <w:spacing w:after="0" w:line="276" w:lineRule="auto"/>
            </w:pPr>
            <w:r/>
            <w:r>
              <w:rPr>
                <w:rFonts w:ascii="宋体" w:hAnsi="宋体" w:eastAsia="宋体" w:cs="宋体"/>
                <w:b w:val="0"/>
                <w:i w:val="0"/>
                <w:color w:val="000000"/>
                <w:sz w:val="19"/>
              </w:rPr>
              <w:t>手机 App 咳嗽检测算法，49 名受试者</w:t>
            </w:r>
          </w:p>
        </w:tc>
        <w:tc>
          <w:tcPr>
            <w:tcW w:type="dxa" w:w="1826"/>
          </w:tcPr>
          <w:p>
            <w:pPr>
              <w:spacing w:after="0" w:line="276" w:lineRule="auto"/>
            </w:pPr>
            <w:r/>
            <w:r>
              <w:rPr>
                <w:rFonts w:ascii="宋体" w:hAnsi="宋体" w:eastAsia="宋体" w:cs="宋体"/>
                <w:b w:val="0"/>
                <w:i w:val="0"/>
                <w:color w:val="000000"/>
                <w:sz w:val="19"/>
              </w:rPr>
              <w:t>敏感度 91%、特异度 98%；咳嗽率 Pearson 相关 0.968</w:t>
            </w:r>
          </w:p>
        </w:tc>
        <w:tc>
          <w:tcPr>
            <w:tcW w:type="dxa" w:w="2282"/>
          </w:tcPr>
          <w:p>
            <w:pPr>
              <w:spacing w:after="0" w:line="276" w:lineRule="auto"/>
            </w:pPr>
            <w:r/>
            <w:r>
              <w:rPr>
                <w:rFonts w:ascii="宋体" w:hAnsi="宋体" w:eastAsia="宋体" w:cs="宋体"/>
                <w:b w:val="0"/>
                <w:i w:val="0"/>
                <w:color w:val="000000"/>
                <w:sz w:val="19"/>
              </w:rPr>
              <w:t>手机端即可达到可用精度，支持本项目以手机作为居家采集前端的路线</w:t>
            </w:r>
          </w:p>
        </w:tc>
      </w:tr>
      <w:tr>
        <w:tc>
          <w:tcPr>
            <w:tcW w:type="dxa" w:w="570"/>
            <w:shd w:val="clear" w:color="auto" w:fill="EDF3F9"/>
          </w:tcPr>
          <w:p>
            <w:pPr>
              <w:spacing w:after="0" w:line="276" w:lineRule="auto"/>
            </w:pPr>
            <w:r/>
            <w:r>
              <w:rPr>
                <w:rFonts w:ascii="宋体" w:hAnsi="宋体" w:eastAsia="宋体" w:cs="宋体"/>
                <w:b w:val="0"/>
                <w:i w:val="0"/>
                <w:color w:val="000000"/>
                <w:sz w:val="19"/>
              </w:rPr>
              <w:t>4</w:t>
            </w:r>
          </w:p>
        </w:tc>
        <w:tc>
          <w:tcPr>
            <w:tcW w:type="dxa" w:w="2624"/>
            <w:shd w:val="clear" w:color="auto" w:fill="EDF3F9"/>
          </w:tcPr>
          <w:p>
            <w:pPr>
              <w:spacing w:after="0" w:line="276" w:lineRule="auto"/>
            </w:pPr>
            <w:r/>
            <w:r>
              <w:rPr>
                <w:rFonts w:ascii="宋体" w:hAnsi="宋体" w:eastAsia="宋体" w:cs="宋体"/>
                <w:b w:val="0"/>
                <w:i w:val="0"/>
                <w:color w:val="000000"/>
                <w:sz w:val="19"/>
              </w:rPr>
              <w:t>莱斯特咳嗽监测仪（Leicester Cough Monitor，英国）24 小时自动咳嗽监测（Eur Respir J 2008）</w:t>
            </w:r>
          </w:p>
        </w:tc>
        <w:tc>
          <w:tcPr>
            <w:tcW w:type="dxa" w:w="1826"/>
            <w:shd w:val="clear" w:color="auto" w:fill="EDF3F9"/>
          </w:tcPr>
          <w:p>
            <w:pPr>
              <w:spacing w:after="0" w:line="276" w:lineRule="auto"/>
            </w:pPr>
            <w:r/>
            <w:r>
              <w:rPr>
                <w:rFonts w:ascii="宋体" w:hAnsi="宋体" w:eastAsia="宋体" w:cs="宋体"/>
                <w:b w:val="0"/>
                <w:i w:val="0"/>
                <w:color w:val="000000"/>
                <w:sz w:val="19"/>
              </w:rPr>
              <w:t>便携式录音设备 + 自动咳嗽识别</w:t>
            </w:r>
          </w:p>
        </w:tc>
        <w:tc>
          <w:tcPr>
            <w:tcW w:type="dxa" w:w="1826"/>
            <w:shd w:val="clear" w:color="auto" w:fill="EDF3F9"/>
          </w:tcPr>
          <w:p>
            <w:pPr>
              <w:spacing w:after="0" w:line="276" w:lineRule="auto"/>
            </w:pPr>
            <w:r/>
            <w:r>
              <w:rPr>
                <w:rFonts w:ascii="宋体" w:hAnsi="宋体" w:eastAsia="宋体" w:cs="宋体"/>
                <w:b w:val="0"/>
                <w:i w:val="0"/>
                <w:color w:val="000000"/>
                <w:sz w:val="19"/>
              </w:rPr>
              <w:t>敏感度 91%、特异度 99%、假阳性 2.5 次/小时；患者 48±9 次/小时 vs 健康对照 2±1 次/小时；组内 ICC = 0.9；日间 25 次/小时 vs 夜间 10 次/小时</w:t>
            </w:r>
          </w:p>
        </w:tc>
        <w:tc>
          <w:tcPr>
            <w:tcW w:type="dxa" w:w="2282"/>
            <w:shd w:val="clear" w:color="auto" w:fill="EDF3F9"/>
          </w:tcPr>
          <w:p>
            <w:pPr>
              <w:spacing w:after="0" w:line="276" w:lineRule="auto"/>
            </w:pPr>
            <w:r/>
            <w:r>
              <w:rPr>
                <w:rFonts w:ascii="宋体" w:hAnsi="宋体" w:eastAsia="宋体" w:cs="宋体"/>
                <w:b w:val="0"/>
                <w:i w:val="0"/>
                <w:color w:val="000000"/>
                <w:sz w:val="19"/>
              </w:rPr>
              <w:t>ICC = 0.9 是能否用于纵向随访的门槛，也是本项目一致性目标（ICC ≥ 0.90）的直接对标值</w:t>
            </w:r>
          </w:p>
        </w:tc>
      </w:tr>
      <w:tr>
        <w:tc>
          <w:tcPr>
            <w:tcW w:type="dxa" w:w="570"/>
          </w:tcPr>
          <w:p>
            <w:pPr>
              <w:spacing w:after="0" w:line="276" w:lineRule="auto"/>
            </w:pPr>
            <w:r/>
            <w:r>
              <w:rPr>
                <w:rFonts w:ascii="宋体" w:hAnsi="宋体" w:eastAsia="宋体" w:cs="宋体"/>
                <w:b w:val="0"/>
                <w:i w:val="0"/>
                <w:color w:val="000000"/>
                <w:sz w:val="19"/>
              </w:rPr>
              <w:t>5</w:t>
            </w:r>
          </w:p>
        </w:tc>
        <w:tc>
          <w:tcPr>
            <w:tcW w:type="dxa" w:w="2624"/>
          </w:tcPr>
          <w:p>
            <w:pPr>
              <w:spacing w:after="0" w:line="276" w:lineRule="auto"/>
            </w:pPr>
            <w:r/>
            <w:r>
              <w:rPr>
                <w:rFonts w:ascii="宋体" w:hAnsi="宋体" w:eastAsia="宋体" w:cs="宋体"/>
                <w:b w:val="0"/>
                <w:i w:val="0"/>
                <w:color w:val="000000"/>
                <w:sz w:val="19"/>
              </w:rPr>
              <w:t>呼吸率声学估计（帝国理工 AcuPebble，J Clin Med 2024）</w:t>
            </w:r>
          </w:p>
        </w:tc>
        <w:tc>
          <w:tcPr>
            <w:tcW w:type="dxa" w:w="1826"/>
          </w:tcPr>
          <w:p>
            <w:pPr>
              <w:spacing w:after="0" w:line="276" w:lineRule="auto"/>
            </w:pPr>
            <w:r/>
            <w:r>
              <w:rPr>
                <w:rFonts w:ascii="宋体" w:hAnsi="宋体" w:eastAsia="宋体" w:cs="宋体"/>
                <w:b w:val="0"/>
                <w:i w:val="0"/>
                <w:color w:val="000000"/>
                <w:sz w:val="19"/>
              </w:rPr>
              <w:t>颈部声学传感器 + 呼吸音分析，对照 capnography（金标准）</w:t>
            </w:r>
          </w:p>
        </w:tc>
        <w:tc>
          <w:tcPr>
            <w:tcW w:type="dxa" w:w="1826"/>
          </w:tcPr>
          <w:p>
            <w:pPr>
              <w:spacing w:after="0" w:line="276" w:lineRule="auto"/>
            </w:pPr>
            <w:r/>
            <w:r>
              <w:rPr>
                <w:rFonts w:ascii="宋体" w:hAnsi="宋体" w:eastAsia="宋体" w:cs="宋体"/>
                <w:b w:val="0"/>
                <w:i w:val="0"/>
                <w:color w:val="000000"/>
                <w:sz w:val="19"/>
              </w:rPr>
              <w:t>前瞻 15 名健康志愿者 + 回顾 150 例 OSA 患者；RMSD ＜ 3 次/分，平均误差 1.83 / 1.4 次/分</w:t>
            </w:r>
          </w:p>
        </w:tc>
        <w:tc>
          <w:tcPr>
            <w:tcW w:type="dxa" w:w="2282"/>
          </w:tcPr>
          <w:p>
            <w:pPr>
              <w:spacing w:after="0" w:line="276" w:lineRule="auto"/>
            </w:pPr>
            <w:r/>
            <w:r>
              <w:rPr>
                <w:rFonts w:ascii="宋体" w:hAnsi="宋体" w:eastAsia="宋体" w:cs="宋体"/>
                <w:b w:val="0"/>
                <w:i w:val="0"/>
                <w:color w:val="000000"/>
                <w:sz w:val="19"/>
              </w:rPr>
              <w:t>为“RMSD ＜ 3 次/分”提供文献依据：该误差范围是呼吸率监测设备被接受的临床可接受误差，本项目以此作为呼吸率验收口径</w:t>
            </w:r>
          </w:p>
        </w:tc>
      </w:tr>
      <w:tr>
        <w:tc>
          <w:tcPr>
            <w:tcW w:type="dxa" w:w="570"/>
            <w:shd w:val="clear" w:color="auto" w:fill="EDF3F9"/>
          </w:tcPr>
          <w:p>
            <w:pPr>
              <w:spacing w:after="0" w:line="276" w:lineRule="auto"/>
            </w:pPr>
            <w:r/>
            <w:r>
              <w:rPr>
                <w:rFonts w:ascii="宋体" w:hAnsi="宋体" w:eastAsia="宋体" w:cs="宋体"/>
                <w:b w:val="0"/>
                <w:i w:val="0"/>
                <w:color w:val="000000"/>
                <w:sz w:val="19"/>
              </w:rPr>
              <w:t>6</w:t>
            </w:r>
          </w:p>
        </w:tc>
        <w:tc>
          <w:tcPr>
            <w:tcW w:type="dxa" w:w="2624"/>
            <w:shd w:val="clear" w:color="auto" w:fill="EDF3F9"/>
          </w:tcPr>
          <w:p>
            <w:pPr>
              <w:spacing w:after="0" w:line="276" w:lineRule="auto"/>
            </w:pPr>
            <w:r/>
            <w:r>
              <w:rPr>
                <w:rFonts w:ascii="宋体" w:hAnsi="宋体" w:eastAsia="宋体" w:cs="宋体"/>
                <w:b w:val="0"/>
                <w:i w:val="0"/>
                <w:color w:val="000000"/>
                <w:sz w:val="19"/>
              </w:rPr>
              <w:t>儿童肺音 AI 荟萃分析（首尔大学，JMIR 2025，41 项研究）</w:t>
            </w:r>
          </w:p>
        </w:tc>
        <w:tc>
          <w:tcPr>
            <w:tcW w:type="dxa" w:w="1826"/>
            <w:shd w:val="clear" w:color="auto" w:fill="EDF3F9"/>
          </w:tcPr>
          <w:p>
            <w:pPr>
              <w:spacing w:after="0" w:line="276" w:lineRule="auto"/>
            </w:pPr>
            <w:r/>
            <w:r>
              <w:rPr>
                <w:rFonts w:ascii="宋体" w:hAnsi="宋体" w:eastAsia="宋体" w:cs="宋体"/>
                <w:b w:val="0"/>
                <w:i w:val="0"/>
                <w:color w:val="000000"/>
                <w:sz w:val="19"/>
              </w:rPr>
              <w:t>系统综述与荟萃分析</w:t>
            </w:r>
          </w:p>
        </w:tc>
        <w:tc>
          <w:tcPr>
            <w:tcW w:type="dxa" w:w="1826"/>
            <w:shd w:val="clear" w:color="auto" w:fill="EDF3F9"/>
          </w:tcPr>
          <w:p>
            <w:pPr>
              <w:spacing w:after="0" w:line="276" w:lineRule="auto"/>
            </w:pPr>
            <w:r/>
            <w:r>
              <w:rPr>
                <w:rFonts w:ascii="宋体" w:hAnsi="宋体" w:eastAsia="宋体" w:cs="宋体"/>
                <w:b w:val="0"/>
                <w:i w:val="0"/>
                <w:color w:val="000000"/>
                <w:sz w:val="19"/>
              </w:rPr>
              <w:t>喘息检出合并敏感度 0.902、特异度 0.955；异常肺音检出敏感度 0.907、特异度 0.877</w:t>
            </w:r>
          </w:p>
        </w:tc>
        <w:tc>
          <w:tcPr>
            <w:tcW w:type="dxa" w:w="2282"/>
            <w:shd w:val="clear" w:color="auto" w:fill="EDF3F9"/>
          </w:tcPr>
          <w:p>
            <w:pPr>
              <w:spacing w:after="0" w:line="276" w:lineRule="auto"/>
            </w:pPr>
            <w:r/>
            <w:r>
              <w:rPr>
                <w:rFonts w:ascii="宋体" w:hAnsi="宋体" w:eastAsia="宋体" w:cs="宋体"/>
                <w:b w:val="0"/>
                <w:i w:val="0"/>
                <w:color w:val="000000"/>
                <w:sz w:val="19"/>
              </w:rPr>
              <w:t>本项目喘息检出目标（敏感度 ≥ 0.80、特异度 ≥ 0.85）低于文献合并值，属保守设定</w:t>
            </w:r>
          </w:p>
        </w:tc>
      </w:tr>
      <w:tr>
        <w:tc>
          <w:tcPr>
            <w:tcW w:type="dxa" w:w="570"/>
          </w:tcPr>
          <w:p>
            <w:pPr>
              <w:spacing w:after="0" w:line="276" w:lineRule="auto"/>
            </w:pPr>
            <w:r/>
            <w:r>
              <w:rPr>
                <w:rFonts w:ascii="宋体" w:hAnsi="宋体" w:eastAsia="宋体" w:cs="宋体"/>
                <w:b w:val="0"/>
                <w:i w:val="0"/>
                <w:color w:val="000000"/>
                <w:sz w:val="19"/>
              </w:rPr>
              <w:t>7</w:t>
            </w:r>
          </w:p>
        </w:tc>
        <w:tc>
          <w:tcPr>
            <w:tcW w:type="dxa" w:w="2624"/>
          </w:tcPr>
          <w:p>
            <w:pPr>
              <w:spacing w:after="0" w:line="276" w:lineRule="auto"/>
            </w:pPr>
            <w:r/>
            <w:r>
              <w:rPr>
                <w:rFonts w:ascii="宋体" w:hAnsi="宋体" w:eastAsia="宋体" w:cs="宋体"/>
                <w:b w:val="0"/>
                <w:i w:val="0"/>
                <w:color w:val="000000"/>
                <w:sz w:val="19"/>
              </w:rPr>
              <w:t>呼吸音 AI 筛查哮喘 / 慢阻肺（多特征融合 + CatBoost，Sci Rep）</w:t>
            </w:r>
          </w:p>
        </w:tc>
        <w:tc>
          <w:tcPr>
            <w:tcW w:type="dxa" w:w="1826"/>
          </w:tcPr>
          <w:p>
            <w:pPr>
              <w:spacing w:after="0" w:line="276" w:lineRule="auto"/>
            </w:pPr>
            <w:r/>
            <w:r>
              <w:rPr>
                <w:rFonts w:ascii="宋体" w:hAnsi="宋体" w:eastAsia="宋体" w:cs="宋体"/>
                <w:b w:val="0"/>
                <w:i w:val="0"/>
                <w:color w:val="000000"/>
                <w:sz w:val="19"/>
              </w:rPr>
              <w:t>手工声学特征 + 梯度提升树（CatBoost）</w:t>
            </w:r>
          </w:p>
        </w:tc>
        <w:tc>
          <w:tcPr>
            <w:tcW w:type="dxa" w:w="1826"/>
          </w:tcPr>
          <w:p>
            <w:pPr>
              <w:spacing w:after="0" w:line="276" w:lineRule="auto"/>
            </w:pPr>
            <w:r/>
            <w:r>
              <w:rPr>
                <w:rFonts w:ascii="宋体" w:hAnsi="宋体" w:eastAsia="宋体" w:cs="宋体"/>
                <w:b w:val="0"/>
                <w:i w:val="0"/>
                <w:color w:val="000000"/>
                <w:sz w:val="19"/>
              </w:rPr>
              <w:t>总体准确率 90.3%；健康 / 哮喘 / 慢阻肺 F1 分别为 0.945 / 0.915 / 0.842；MCC 0.856（MCC 即马修斯相关系数，Matthews Correlation Coefficient）、Cohen's κ 0.849</w:t>
            </w:r>
          </w:p>
        </w:tc>
        <w:tc>
          <w:tcPr>
            <w:tcW w:type="dxa" w:w="2282"/>
          </w:tcPr>
          <w:p>
            <w:pPr>
              <w:spacing w:after="0" w:line="276" w:lineRule="auto"/>
            </w:pPr>
            <w:r/>
            <w:r>
              <w:rPr>
                <w:rFonts w:ascii="宋体" w:hAnsi="宋体" w:eastAsia="宋体" w:cs="宋体"/>
                <w:b w:val="0"/>
                <w:i w:val="0"/>
                <w:color w:val="000000"/>
                <w:sz w:val="19"/>
              </w:rPr>
              <w:t>轻量特征 + 树模型在边缘端同样可行，可作为对照基线；κ 与 MCC 联合报告值得借鉴</w:t>
            </w:r>
          </w:p>
        </w:tc>
      </w:tr>
      <w:tr>
        <w:tc>
          <w:tcPr>
            <w:tcW w:type="dxa" w:w="570"/>
            <w:shd w:val="clear" w:color="auto" w:fill="EDF3F9"/>
          </w:tcPr>
          <w:p>
            <w:pPr>
              <w:spacing w:after="0" w:line="276" w:lineRule="auto"/>
            </w:pPr>
            <w:r/>
            <w:r>
              <w:rPr>
                <w:rFonts w:ascii="宋体" w:hAnsi="宋体" w:eastAsia="宋体" w:cs="宋体"/>
                <w:b w:val="0"/>
                <w:i w:val="0"/>
                <w:color w:val="000000"/>
                <w:sz w:val="19"/>
              </w:rPr>
              <w:t>8</w:t>
            </w:r>
          </w:p>
        </w:tc>
        <w:tc>
          <w:tcPr>
            <w:tcW w:type="dxa" w:w="2624"/>
            <w:shd w:val="clear" w:color="auto" w:fill="EDF3F9"/>
          </w:tcPr>
          <w:p>
            <w:pPr>
              <w:spacing w:after="0" w:line="276" w:lineRule="auto"/>
            </w:pPr>
            <w:r/>
            <w:r>
              <w:rPr>
                <w:rFonts w:ascii="宋体" w:hAnsi="宋体" w:eastAsia="宋体" w:cs="宋体"/>
                <w:b w:val="0"/>
                <w:i w:val="0"/>
                <w:color w:val="000000"/>
                <w:sz w:val="19"/>
              </w:rPr>
              <w:t>夜间咳嗽的客观特征（Rassouli 2020，94 例成人哮喘、2,212 个夜晚）</w:t>
            </w:r>
          </w:p>
        </w:tc>
        <w:tc>
          <w:tcPr>
            <w:tcW w:type="dxa" w:w="1826"/>
            <w:shd w:val="clear" w:color="auto" w:fill="EDF3F9"/>
          </w:tcPr>
          <w:p>
            <w:pPr>
              <w:spacing w:after="0" w:line="276" w:lineRule="auto"/>
            </w:pPr>
            <w:r/>
            <w:r>
              <w:rPr>
                <w:rFonts w:ascii="宋体" w:hAnsi="宋体" w:eastAsia="宋体" w:cs="宋体"/>
                <w:b w:val="0"/>
                <w:i w:val="0"/>
                <w:color w:val="000000"/>
                <w:sz w:val="19"/>
              </w:rPr>
              <w:t>居家客观咳嗽监测与夜间时段分析</w:t>
            </w:r>
          </w:p>
        </w:tc>
        <w:tc>
          <w:tcPr>
            <w:tcW w:type="dxa" w:w="1826"/>
            <w:shd w:val="clear" w:color="auto" w:fill="EDF3F9"/>
          </w:tcPr>
          <w:p>
            <w:pPr>
              <w:spacing w:after="0" w:line="276" w:lineRule="auto"/>
            </w:pPr>
            <w:r/>
            <w:r>
              <w:rPr>
                <w:rFonts w:ascii="宋体" w:hAnsi="宋体" w:eastAsia="宋体" w:cs="宋体"/>
                <w:b w:val="0"/>
                <w:i w:val="0"/>
                <w:color w:val="000000"/>
                <w:sz w:val="19"/>
              </w:rPr>
              <w:t>53% 的夜晚有咳嗽；86% 的咳嗽成簇出现；躺下后前 30 分钟咳嗽频次是其余夜间时段的 4.5 倍</w:t>
            </w:r>
          </w:p>
        </w:tc>
        <w:tc>
          <w:tcPr>
            <w:tcW w:type="dxa" w:w="2282"/>
            <w:shd w:val="clear" w:color="auto" w:fill="EDF3F9"/>
          </w:tcPr>
          <w:p>
            <w:pPr>
              <w:spacing w:after="0" w:line="276" w:lineRule="auto"/>
            </w:pPr>
            <w:r/>
            <w:r>
              <w:rPr>
                <w:rFonts w:ascii="宋体" w:hAnsi="宋体" w:eastAsia="宋体" w:cs="宋体"/>
                <w:b w:val="0"/>
                <w:i w:val="0"/>
                <w:color w:val="000000"/>
                <w:sz w:val="19"/>
              </w:rPr>
              <w:t>支撑“夜间咳嗽指数”设计：入睡后前 30 分钟是关键观察窗，应单独成指标而非混入全天均值</w:t>
            </w:r>
          </w:p>
        </w:tc>
      </w:tr>
      <w:tr>
        <w:tc>
          <w:tcPr>
            <w:tcW w:type="dxa" w:w="570"/>
          </w:tcPr>
          <w:p>
            <w:pPr>
              <w:spacing w:after="0" w:line="276" w:lineRule="auto"/>
            </w:pPr>
            <w:r/>
            <w:r>
              <w:rPr>
                <w:rFonts w:ascii="宋体" w:hAnsi="宋体" w:eastAsia="宋体" w:cs="宋体"/>
                <w:b w:val="0"/>
                <w:i w:val="0"/>
                <w:color w:val="000000"/>
                <w:sz w:val="19"/>
              </w:rPr>
              <w:t>9</w:t>
            </w:r>
          </w:p>
        </w:tc>
        <w:tc>
          <w:tcPr>
            <w:tcW w:type="dxa" w:w="2624"/>
          </w:tcPr>
          <w:p>
            <w:pPr>
              <w:spacing w:after="0" w:line="276" w:lineRule="auto"/>
            </w:pPr>
            <w:r/>
            <w:r>
              <w:rPr>
                <w:rFonts w:ascii="宋体" w:hAnsi="宋体" w:eastAsia="宋体" w:cs="宋体"/>
                <w:b w:val="0"/>
                <w:i w:val="0"/>
                <w:color w:val="000000"/>
                <w:sz w:val="19"/>
              </w:rPr>
              <w:t>夜间咳嗽可预测哮喘急性发作（Tinschert 2020，79 例成人哮喘、29 天居家手机监测）</w:t>
            </w:r>
          </w:p>
        </w:tc>
        <w:tc>
          <w:tcPr>
            <w:tcW w:type="dxa" w:w="1826"/>
          </w:tcPr>
          <w:p>
            <w:pPr>
              <w:spacing w:after="0" w:line="276" w:lineRule="auto"/>
            </w:pPr>
            <w:r/>
            <w:r>
              <w:rPr>
                <w:rFonts w:ascii="宋体" w:hAnsi="宋体" w:eastAsia="宋体" w:cs="宋体"/>
                <w:b w:val="0"/>
                <w:i w:val="0"/>
                <w:color w:val="000000"/>
                <w:sz w:val="19"/>
              </w:rPr>
              <w:t>居家手机被动监测 + 睡眠质量 + 机器学习分类</w:t>
            </w:r>
          </w:p>
        </w:tc>
        <w:tc>
          <w:tcPr>
            <w:tcW w:type="dxa" w:w="1826"/>
          </w:tcPr>
          <w:p>
            <w:pPr>
              <w:spacing w:after="0" w:line="276" w:lineRule="auto"/>
            </w:pPr>
            <w:r/>
            <w:r>
              <w:rPr>
                <w:rFonts w:ascii="宋体" w:hAnsi="宋体" w:eastAsia="宋体" w:cs="宋体"/>
                <w:b w:val="0"/>
                <w:i w:val="0"/>
                <w:color w:val="000000"/>
                <w:sz w:val="19"/>
              </w:rPr>
              <w:t>识别“哮喘控制恶化周”的 BAC 71%；可提前最多 5 天预测急性发作；敏感度 75%–88%、特异度 57%–72%</w:t>
            </w:r>
          </w:p>
        </w:tc>
        <w:tc>
          <w:tcPr>
            <w:tcW w:type="dxa" w:w="2282"/>
          </w:tcPr>
          <w:p>
            <w:pPr>
              <w:spacing w:after="0" w:line="276" w:lineRule="auto"/>
            </w:pPr>
            <w:r/>
            <w:r>
              <w:rPr>
                <w:rFonts w:ascii="宋体" w:hAnsi="宋体" w:eastAsia="宋体" w:cs="宋体"/>
                <w:b w:val="0"/>
                <w:i w:val="0"/>
                <w:color w:val="000000"/>
                <w:sz w:val="19"/>
              </w:rPr>
              <w:t>预警价值的直接证据；本项目阶段 C 的结局预测效能可对标该水平（BAC 70%–75%、提前 5 天）</w:t>
            </w:r>
          </w:p>
        </w:tc>
      </w:tr>
      <w:tr>
        <w:tc>
          <w:tcPr>
            <w:tcW w:type="dxa" w:w="570"/>
            <w:shd w:val="clear" w:color="auto" w:fill="EDF3F9"/>
          </w:tcPr>
          <w:p>
            <w:pPr>
              <w:spacing w:after="0" w:line="276" w:lineRule="auto"/>
            </w:pPr>
            <w:r/>
            <w:r>
              <w:rPr>
                <w:rFonts w:ascii="宋体" w:hAnsi="宋体" w:eastAsia="宋体" w:cs="宋体"/>
                <w:b w:val="0"/>
                <w:i w:val="0"/>
                <w:color w:val="000000"/>
                <w:sz w:val="19"/>
              </w:rPr>
              <w:t>10</w:t>
            </w:r>
          </w:p>
        </w:tc>
        <w:tc>
          <w:tcPr>
            <w:tcW w:type="dxa" w:w="2624"/>
            <w:shd w:val="clear" w:color="auto" w:fill="EDF3F9"/>
          </w:tcPr>
          <w:p>
            <w:pPr>
              <w:spacing w:after="0" w:line="276" w:lineRule="auto"/>
            </w:pPr>
            <w:r/>
            <w:r>
              <w:rPr>
                <w:rFonts w:ascii="宋体" w:hAnsi="宋体" w:eastAsia="宋体" w:cs="宋体"/>
                <w:b w:val="0"/>
                <w:i w:val="0"/>
                <w:color w:val="000000"/>
                <w:sz w:val="19"/>
              </w:rPr>
              <w:t>主观报告与客观录音的巨大差距（Falconer 1993，15 例常年性哮喘儿童连续 7 夜）</w:t>
            </w:r>
          </w:p>
        </w:tc>
        <w:tc>
          <w:tcPr>
            <w:tcW w:type="dxa" w:w="1826"/>
            <w:shd w:val="clear" w:color="auto" w:fill="EDF3F9"/>
          </w:tcPr>
          <w:p>
            <w:pPr>
              <w:spacing w:after="0" w:line="276" w:lineRule="auto"/>
            </w:pPr>
            <w:r/>
            <w:r>
              <w:rPr>
                <w:rFonts w:ascii="宋体" w:hAnsi="宋体" w:eastAsia="宋体" w:cs="宋体"/>
                <w:b w:val="0"/>
                <w:i w:val="0"/>
                <w:color w:val="000000"/>
                <w:sz w:val="19"/>
              </w:rPr>
              <w:t>家长日记 vs 连续录音人工计数</w:t>
            </w:r>
          </w:p>
        </w:tc>
        <w:tc>
          <w:tcPr>
            <w:tcW w:type="dxa" w:w="1826"/>
            <w:shd w:val="clear" w:color="auto" w:fill="EDF3F9"/>
          </w:tcPr>
          <w:p>
            <w:pPr>
              <w:spacing w:after="0" w:line="276" w:lineRule="auto"/>
            </w:pPr>
            <w:r/>
            <w:r>
              <w:rPr>
                <w:rFonts w:ascii="宋体" w:hAnsi="宋体" w:eastAsia="宋体" w:cs="宋体"/>
                <w:b w:val="0"/>
                <w:i w:val="0"/>
                <w:color w:val="000000"/>
                <w:sz w:val="19"/>
              </w:rPr>
              <w:t>家长报告 66% 的夜晚有咳嗽，录音实测 90%；一致性 Cohen's κ 仅 0.30</w:t>
            </w:r>
          </w:p>
        </w:tc>
        <w:tc>
          <w:tcPr>
            <w:tcW w:type="dxa" w:w="2282"/>
            <w:shd w:val="clear" w:color="auto" w:fill="EDF3F9"/>
          </w:tcPr>
          <w:p>
            <w:pPr>
              <w:spacing w:after="0" w:line="276" w:lineRule="auto"/>
            </w:pPr>
            <w:r/>
            <w:r>
              <w:rPr>
                <w:rFonts w:ascii="宋体" w:hAnsi="宋体" w:eastAsia="宋体" w:cs="宋体"/>
                <w:b w:val="0"/>
                <w:i w:val="0"/>
                <w:color w:val="000000"/>
                <w:sz w:val="19"/>
              </w:rPr>
              <w:t>本项目最核心的立论依据：必须以客观监测替代症状日记，而不是把日记电子化</w:t>
            </w:r>
          </w:p>
        </w:tc>
      </w:tr>
      <w:tr>
        <w:tc>
          <w:tcPr>
            <w:tcW w:type="dxa" w:w="570"/>
          </w:tcPr>
          <w:p>
            <w:pPr>
              <w:spacing w:after="0" w:line="276" w:lineRule="auto"/>
            </w:pPr>
            <w:r/>
            <w:r>
              <w:rPr>
                <w:rFonts w:ascii="宋体" w:hAnsi="宋体" w:eastAsia="宋体" w:cs="宋体"/>
                <w:b w:val="0"/>
                <w:i w:val="0"/>
                <w:color w:val="000000"/>
                <w:sz w:val="19"/>
              </w:rPr>
              <w:t>11</w:t>
            </w:r>
          </w:p>
        </w:tc>
        <w:tc>
          <w:tcPr>
            <w:tcW w:type="dxa" w:w="2624"/>
          </w:tcPr>
          <w:p>
            <w:pPr>
              <w:spacing w:after="0" w:line="276" w:lineRule="auto"/>
            </w:pPr>
            <w:r/>
            <w:r>
              <w:rPr>
                <w:rFonts w:ascii="宋体" w:hAnsi="宋体" w:eastAsia="宋体" w:cs="宋体"/>
                <w:b w:val="0"/>
                <w:i w:val="0"/>
                <w:color w:val="000000"/>
                <w:sz w:val="19"/>
              </w:rPr>
              <w:t>咳嗽与慢阻肺急性加重的关系（Burgel 2009，法国 433 例慢阻肺）</w:t>
            </w:r>
          </w:p>
        </w:tc>
        <w:tc>
          <w:tcPr>
            <w:tcW w:type="dxa" w:w="1826"/>
          </w:tcPr>
          <w:p>
            <w:pPr>
              <w:spacing w:after="0" w:line="276" w:lineRule="auto"/>
            </w:pPr>
            <w:r/>
            <w:r>
              <w:rPr>
                <w:rFonts w:ascii="宋体" w:hAnsi="宋体" w:eastAsia="宋体" w:cs="宋体"/>
                <w:b w:val="0"/>
                <w:i w:val="0"/>
                <w:color w:val="000000"/>
                <w:sz w:val="19"/>
              </w:rPr>
              <w:t>队列研究：慢性咳嗽咳痰与急性加重频率的关联分析</w:t>
            </w:r>
          </w:p>
        </w:tc>
        <w:tc>
          <w:tcPr>
            <w:tcW w:type="dxa" w:w="1826"/>
          </w:tcPr>
          <w:p>
            <w:pPr>
              <w:spacing w:after="0" w:line="276" w:lineRule="auto"/>
            </w:pPr>
            <w:r/>
            <w:r>
              <w:rPr>
                <w:rFonts w:ascii="宋体" w:hAnsi="宋体" w:eastAsia="宋体" w:cs="宋体"/>
                <w:b w:val="0"/>
                <w:i w:val="0"/>
                <w:color w:val="000000"/>
                <w:sz w:val="19"/>
              </w:rPr>
              <w:t>有慢性咳嗽咳痰者年均急性加重 2.20 次 vs 0.97 次；需住院的重度加重 0.43 vs 0.22 次/年；频繁加重比例 55% vs 22%</w:t>
            </w:r>
          </w:p>
        </w:tc>
        <w:tc>
          <w:tcPr>
            <w:tcW w:type="dxa" w:w="2282"/>
          </w:tcPr>
          <w:p>
            <w:pPr>
              <w:spacing w:after="0" w:line="276" w:lineRule="auto"/>
            </w:pPr>
            <w:r/>
            <w:r>
              <w:rPr>
                <w:rFonts w:ascii="宋体" w:hAnsi="宋体" w:eastAsia="宋体" w:cs="宋体"/>
                <w:b w:val="0"/>
                <w:i w:val="0"/>
                <w:color w:val="000000"/>
                <w:sz w:val="19"/>
              </w:rPr>
              <w:t>把咳嗽从症状升级为预后分层变量，支撑向呼吸科与支付方论证监测价值</w:t>
            </w:r>
          </w:p>
        </w:tc>
      </w:tr>
      <w:tr>
        <w:tc>
          <w:tcPr>
            <w:tcW w:type="dxa" w:w="570"/>
            <w:shd w:val="clear" w:color="auto" w:fill="EDF3F9"/>
          </w:tcPr>
          <w:p>
            <w:pPr>
              <w:spacing w:after="0" w:line="276" w:lineRule="auto"/>
            </w:pPr>
            <w:r/>
            <w:r>
              <w:rPr>
                <w:rFonts w:ascii="宋体" w:hAnsi="宋体" w:eastAsia="宋体" w:cs="宋体"/>
                <w:b w:val="0"/>
                <w:i w:val="0"/>
                <w:color w:val="000000"/>
                <w:sz w:val="19"/>
              </w:rPr>
              <w:t>12</w:t>
            </w:r>
          </w:p>
        </w:tc>
        <w:tc>
          <w:tcPr>
            <w:tcW w:type="dxa" w:w="2624"/>
            <w:shd w:val="clear" w:color="auto" w:fill="EDF3F9"/>
          </w:tcPr>
          <w:p>
            <w:pPr>
              <w:spacing w:after="0" w:line="276" w:lineRule="auto"/>
            </w:pPr>
            <w:r/>
            <w:r>
              <w:rPr>
                <w:rFonts w:ascii="宋体" w:hAnsi="宋体" w:eastAsia="宋体" w:cs="宋体"/>
                <w:b w:val="0"/>
                <w:i w:val="0"/>
                <w:color w:val="000000"/>
                <w:sz w:val="19"/>
              </w:rPr>
              <w:t>客观计数无法被主观评分替代（Smith 2006，26 例稳定期慢阻肺）</w:t>
            </w:r>
          </w:p>
        </w:tc>
        <w:tc>
          <w:tcPr>
            <w:tcW w:type="dxa" w:w="1826"/>
            <w:shd w:val="clear" w:color="auto" w:fill="EDF3F9"/>
          </w:tcPr>
          <w:p>
            <w:pPr>
              <w:spacing w:after="0" w:line="276" w:lineRule="auto"/>
            </w:pPr>
            <w:r/>
            <w:r>
              <w:rPr>
                <w:rFonts w:ascii="宋体" w:hAnsi="宋体" w:eastAsia="宋体" w:cs="宋体"/>
                <w:b w:val="0"/>
                <w:i w:val="0"/>
                <w:color w:val="000000"/>
                <w:sz w:val="19"/>
              </w:rPr>
              <w:t>客观咳嗽计数（咳嗽秒/小时）与主观评分对照</w:t>
            </w:r>
          </w:p>
        </w:tc>
        <w:tc>
          <w:tcPr>
            <w:tcW w:type="dxa" w:w="1826"/>
            <w:shd w:val="clear" w:color="auto" w:fill="EDF3F9"/>
          </w:tcPr>
          <w:p>
            <w:pPr>
              <w:spacing w:after="0" w:line="276" w:lineRule="auto"/>
            </w:pPr>
            <w:r/>
            <w:r>
              <w:rPr>
                <w:rFonts w:ascii="宋体" w:hAnsi="宋体" w:eastAsia="宋体" w:cs="宋体"/>
                <w:b w:val="0"/>
                <w:i w:val="0"/>
                <w:color w:val="000000"/>
                <w:sz w:val="19"/>
              </w:rPr>
              <w:t>咳嗽时间中位 7.5 咳嗽秒/小时（日间 12.4、夜间 1.9）；主观评分与客观计数相关仅 r = 0.37–0.50</w:t>
            </w:r>
          </w:p>
        </w:tc>
        <w:tc>
          <w:tcPr>
            <w:tcW w:type="dxa" w:w="2282"/>
            <w:shd w:val="clear" w:color="auto" w:fill="EDF3F9"/>
          </w:tcPr>
          <w:p>
            <w:pPr>
              <w:spacing w:after="0" w:line="276" w:lineRule="auto"/>
            </w:pPr>
            <w:r/>
            <w:r>
              <w:rPr>
                <w:rFonts w:ascii="宋体" w:hAnsi="宋体" w:eastAsia="宋体" w:cs="宋体"/>
                <w:b w:val="0"/>
                <w:i w:val="0"/>
                <w:color w:val="000000"/>
                <w:sz w:val="19"/>
              </w:rPr>
              <w:t>主观与客观是两个不同维度；产品必须坚持客观计数口径，不能以评分代替计数</w:t>
            </w:r>
          </w:p>
        </w:tc>
      </w:tr>
      <w:tr>
        <w:tc>
          <w:tcPr>
            <w:tcW w:type="dxa" w:w="570"/>
          </w:tcPr>
          <w:p>
            <w:pPr>
              <w:spacing w:after="0" w:line="276" w:lineRule="auto"/>
            </w:pPr>
            <w:r/>
            <w:r>
              <w:rPr>
                <w:rFonts w:ascii="宋体" w:hAnsi="宋体" w:eastAsia="宋体" w:cs="宋体"/>
                <w:b w:val="0"/>
                <w:i w:val="0"/>
                <w:color w:val="000000"/>
                <w:sz w:val="19"/>
              </w:rPr>
              <w:t>13</w:t>
            </w:r>
          </w:p>
        </w:tc>
        <w:tc>
          <w:tcPr>
            <w:tcW w:type="dxa" w:w="2624"/>
          </w:tcPr>
          <w:p>
            <w:pPr>
              <w:spacing w:after="0" w:line="276" w:lineRule="auto"/>
            </w:pPr>
            <w:r/>
            <w:r>
              <w:rPr>
                <w:rFonts w:ascii="宋体" w:hAnsi="宋体" w:eastAsia="宋体" w:cs="宋体"/>
                <w:b w:val="0"/>
                <w:i w:val="0"/>
                <w:color w:val="000000"/>
                <w:sz w:val="19"/>
              </w:rPr>
              <w:t>24 小时咳嗽计数的监管地位（默沙东 gefapixant；COUGH-1 n=730 / COUGH-2 n=1,314 III 期）</w:t>
            </w:r>
          </w:p>
        </w:tc>
        <w:tc>
          <w:tcPr>
            <w:tcW w:type="dxa" w:w="1826"/>
          </w:tcPr>
          <w:p>
            <w:pPr>
              <w:spacing w:after="0" w:line="276" w:lineRule="auto"/>
            </w:pPr>
            <w:r/>
            <w:r>
              <w:rPr>
                <w:rFonts w:ascii="宋体" w:hAnsi="宋体" w:eastAsia="宋体" w:cs="宋体"/>
                <w:b w:val="0"/>
                <w:i w:val="0"/>
                <w:color w:val="000000"/>
                <w:sz w:val="19"/>
              </w:rPr>
              <w:t>以 24 小时动态录音设备客观测量的 24 小时咳嗽频次作为主要终点</w:t>
            </w:r>
          </w:p>
        </w:tc>
        <w:tc>
          <w:tcPr>
            <w:tcW w:type="dxa" w:w="1826"/>
          </w:tcPr>
          <w:p>
            <w:pPr>
              <w:spacing w:after="0" w:line="276" w:lineRule="auto"/>
            </w:pPr>
            <w:r/>
            <w:r>
              <w:rPr>
                <w:rFonts w:ascii="宋体" w:hAnsi="宋体" w:eastAsia="宋体" w:cs="宋体"/>
                <w:b w:val="0"/>
                <w:i w:val="0"/>
                <w:color w:val="000000"/>
                <w:sz w:val="19"/>
              </w:rPr>
              <w:t>45 mg 组第 12 周较安慰剂降低 18.45%（p=0.041）、第 24 周降低 14.64%（p=0.031）；2023 年 11 月 FDA 顾问委员会以 12:1 投票反对获批并随后发出完整回复函，争议核心是咳嗽频次下降的临床意义</w:t>
            </w:r>
          </w:p>
        </w:tc>
        <w:tc>
          <w:tcPr>
            <w:tcW w:type="dxa" w:w="2282"/>
          </w:tcPr>
          <w:p>
            <w:pPr>
              <w:spacing w:after="0" w:line="276" w:lineRule="auto"/>
            </w:pPr>
            <w:r/>
            <w:r>
              <w:rPr>
                <w:rFonts w:ascii="宋体" w:hAnsi="宋体" w:eastAsia="宋体" w:cs="宋体"/>
                <w:b w:val="0"/>
                <w:i w:val="0"/>
                <w:color w:val="000000"/>
                <w:sz w:val="19"/>
              </w:rPr>
              <w:t>准确口径：24 小时咳嗽计数已被用作注册试验主要终点的测量方法，但其独立支持获批的监管地位仍在演进，目前通过 FDA 药物开发工具（DDT）/ 临床结局评估（COA）资格认证路径推进；切勿表述为“FDA 已批准 24 小时咳嗽计数作为终点”</w:t>
            </w:r>
          </w:p>
        </w:tc>
      </w:tr>
      <w:tr>
        <w:tc>
          <w:tcPr>
            <w:tcW w:type="dxa" w:w="570"/>
            <w:shd w:val="clear" w:color="auto" w:fill="EDF3F9"/>
          </w:tcPr>
          <w:p>
            <w:pPr>
              <w:spacing w:after="0" w:line="276" w:lineRule="auto"/>
            </w:pPr>
            <w:r/>
            <w:r>
              <w:rPr>
                <w:rFonts w:ascii="宋体" w:hAnsi="宋体" w:eastAsia="宋体" w:cs="宋体"/>
                <w:b w:val="0"/>
                <w:i w:val="0"/>
                <w:color w:val="000000"/>
                <w:sz w:val="19"/>
              </w:rPr>
              <w:t>14</w:t>
            </w:r>
          </w:p>
        </w:tc>
        <w:tc>
          <w:tcPr>
            <w:tcW w:type="dxa" w:w="2624"/>
            <w:shd w:val="clear" w:color="auto" w:fill="EDF3F9"/>
          </w:tcPr>
          <w:p>
            <w:pPr>
              <w:spacing w:after="0" w:line="276" w:lineRule="auto"/>
            </w:pPr>
            <w:r/>
            <w:r>
              <w:rPr>
                <w:rFonts w:ascii="宋体" w:hAnsi="宋体" w:eastAsia="宋体" w:cs="宋体"/>
                <w:b w:val="0"/>
                <w:i w:val="0"/>
                <w:color w:val="000000"/>
                <w:sz w:val="19"/>
              </w:rPr>
              <w:t>领域方法学现状的警示（咳嗽声学标志物系统综述，89 项研究、34 个国家）</w:t>
            </w:r>
          </w:p>
        </w:tc>
        <w:tc>
          <w:tcPr>
            <w:tcW w:type="dxa" w:w="1826"/>
            <w:shd w:val="clear" w:color="auto" w:fill="EDF3F9"/>
          </w:tcPr>
          <w:p>
            <w:pPr>
              <w:spacing w:after="0" w:line="276" w:lineRule="auto"/>
            </w:pPr>
            <w:r/>
            <w:r>
              <w:rPr>
                <w:rFonts w:ascii="宋体" w:hAnsi="宋体" w:eastAsia="宋体" w:cs="宋体"/>
                <w:b w:val="0"/>
                <w:i w:val="0"/>
                <w:color w:val="000000"/>
                <w:sz w:val="19"/>
              </w:rPr>
              <w:t>系统综述与偏倚风险评估</w:t>
            </w:r>
          </w:p>
        </w:tc>
        <w:tc>
          <w:tcPr>
            <w:tcW w:type="dxa" w:w="1826"/>
            <w:shd w:val="clear" w:color="auto" w:fill="EDF3F9"/>
          </w:tcPr>
          <w:p>
            <w:pPr>
              <w:spacing w:after="0" w:line="276" w:lineRule="auto"/>
            </w:pPr>
            <w:r/>
            <w:r>
              <w:rPr>
                <w:rFonts w:ascii="宋体" w:hAnsi="宋体" w:eastAsia="宋体" w:cs="宋体"/>
                <w:b w:val="0"/>
                <w:i w:val="0"/>
                <w:color w:val="000000"/>
                <w:sz w:val="19"/>
              </w:rPr>
              <w:t>敏感度与特异度常 ≥ 90%，但仅约 11% 的研究开展了外部验证，71%–88% 的研究存在高偏倚风险</w:t>
            </w:r>
          </w:p>
        </w:tc>
        <w:tc>
          <w:tcPr>
            <w:tcW w:type="dxa" w:w="2282"/>
            <w:shd w:val="clear" w:color="auto" w:fill="EDF3F9"/>
          </w:tcPr>
          <w:p>
            <w:pPr>
              <w:spacing w:after="0" w:line="276" w:lineRule="auto"/>
            </w:pPr>
            <w:r/>
            <w:r>
              <w:rPr>
                <w:rFonts w:ascii="宋体" w:hAnsi="宋体" w:eastAsia="宋体" w:cs="宋体"/>
                <w:b w:val="0"/>
                <w:i w:val="0"/>
                <w:color w:val="000000"/>
                <w:sz w:val="19"/>
              </w:rPr>
              <w:t>把“严格的外部验证与低偏倚设计”作为差异化优势：预设终点、盲法标注、独立外部验证集、按受试者划分数据集</w:t>
            </w:r>
          </w:p>
        </w:tc>
      </w:tr>
    </w:tbl>
    <w:p>
      <w:pPr>
        <w:spacing w:after="40"/>
      </w:pPr>
    </w:p>
    <w:p>
      <w:pPr>
        <w:spacing w:after="80"/>
        <w:jc w:val="left"/>
      </w:pPr>
      <w:r>
        <w:rPr>
          <w:rFonts w:ascii="宋体" w:hAnsi="宋体" w:eastAsia="宋体" w:cs="宋体"/>
          <w:b w:val="0"/>
          <w:i w:val="0"/>
          <w:color w:val="595959"/>
          <w:sz w:val="18"/>
        </w:rPr>
        <w:t>注：表中数据为文献报道值，用于说明方向可行性；具体来源见附录 B，引用时请核对原文。</w:t>
      </w:r>
    </w:p>
    <w:p>
      <w:pPr>
        <w:pStyle w:val="Heading2"/>
      </w:pPr>
      <w:r>
        <w:rPr>
          <w:rFonts w:ascii="宋体" w:hAnsi="宋体" w:eastAsia="宋体" w:cs="宋体"/>
          <w:b/>
          <w:i w:val="0"/>
          <w:color w:val="2E74B5"/>
          <w:sz w:val="25"/>
        </w:rPr>
        <w:t>7.2 临床价值主张</w:t>
      </w:r>
    </w:p>
    <w:tbl>
      <w:tblPr>
        <w:tblStyle w:val="TableGrid"/>
        <w:jc w:val="center"/>
        <w:tblLook w:firstColumn="1" w:firstRow="1" w:lastColumn="0" w:lastRow="0" w:noHBand="0" w:noVBand="1" w:val="04A0"/>
        <w:tblCellMar>
          <w:top w:w="60" w:type="dxa"/>
          <w:left w:w="90" w:type="dxa"/>
          <w:bottom w:w="60" w:type="dxa"/>
          <w:right w:w="90" w:type="dxa"/>
        </w:tblCellMar>
        <w:tblW w:w="9129" w:type="dxa"/>
        <w:tblLayout w:type="fixed"/>
      </w:tblPr>
      <w:tblGrid>
        <w:gridCol w:w="1712"/>
        <w:gridCol w:w="3537"/>
        <w:gridCol w:w="3880"/>
      </w:tblGrid>
      <w:tr>
        <w:trPr>
          <w:tblHeader w:val="true"/>
        </w:trPr>
        <w:tc>
          <w:tcPr>
            <w:tcW w:type="dxa" w:w="1711"/>
            <w:shd w:val="clear" w:color="auto" w:fill="1F4E79"/>
          </w:tcPr>
          <w:p>
            <w:pPr>
              <w:spacing w:after="0" w:line="276" w:lineRule="auto"/>
              <w:jc w:val="center"/>
            </w:pPr>
            <w:r/>
            <w:r>
              <w:rPr>
                <w:rFonts w:ascii="宋体" w:hAnsi="宋体" w:eastAsia="宋体" w:cs="宋体"/>
                <w:b/>
                <w:i w:val="0"/>
                <w:color w:val="FFFFFF"/>
                <w:sz w:val="19"/>
              </w:rPr>
              <w:t>应用场景</w:t>
            </w:r>
          </w:p>
        </w:tc>
        <w:tc>
          <w:tcPr>
            <w:tcW w:type="dxa" w:w="3537"/>
            <w:shd w:val="clear" w:color="auto" w:fill="1F4E79"/>
          </w:tcPr>
          <w:p>
            <w:pPr>
              <w:spacing w:after="0" w:line="276" w:lineRule="auto"/>
              <w:jc w:val="center"/>
            </w:pPr>
            <w:r/>
            <w:r>
              <w:rPr>
                <w:rFonts w:ascii="宋体" w:hAnsi="宋体" w:eastAsia="宋体" w:cs="宋体"/>
                <w:b/>
                <w:i w:val="0"/>
                <w:color w:val="FFFFFF"/>
                <w:sz w:val="19"/>
              </w:rPr>
              <w:t>临床问题</w:t>
            </w:r>
          </w:p>
        </w:tc>
        <w:tc>
          <w:tcPr>
            <w:tcW w:type="dxa" w:w="3879"/>
            <w:shd w:val="clear" w:color="auto" w:fill="1F4E79"/>
          </w:tcPr>
          <w:p>
            <w:pPr>
              <w:spacing w:after="0" w:line="276" w:lineRule="auto"/>
              <w:jc w:val="center"/>
            </w:pPr>
            <w:r/>
            <w:r>
              <w:rPr>
                <w:rFonts w:ascii="宋体" w:hAnsi="宋体" w:eastAsia="宋体" w:cs="宋体"/>
                <w:b/>
                <w:i w:val="0"/>
                <w:color w:val="FFFFFF"/>
                <w:sz w:val="19"/>
              </w:rPr>
              <w:t>本项目提供的价值</w:t>
            </w:r>
          </w:p>
        </w:tc>
      </w:tr>
      <w:tr>
        <w:tc>
          <w:tcPr>
            <w:tcW w:type="dxa" w:w="1711"/>
          </w:tcPr>
          <w:p>
            <w:pPr>
              <w:spacing w:after="0" w:line="276" w:lineRule="auto"/>
            </w:pPr>
            <w:r/>
            <w:r>
              <w:rPr>
                <w:rFonts w:ascii="宋体" w:hAnsi="宋体" w:eastAsia="宋体" w:cs="宋体"/>
                <w:b w:val="0"/>
                <w:i w:val="0"/>
                <w:color w:val="000000"/>
                <w:sz w:val="19"/>
              </w:rPr>
              <w:t>哮喘长期管理</w:t>
            </w:r>
          </w:p>
        </w:tc>
        <w:tc>
          <w:tcPr>
            <w:tcW w:type="dxa" w:w="3537"/>
          </w:tcPr>
          <w:p>
            <w:pPr>
              <w:spacing w:after="0" w:line="276" w:lineRule="auto"/>
            </w:pPr>
            <w:r/>
            <w:r>
              <w:rPr>
                <w:rFonts w:ascii="宋体" w:hAnsi="宋体" w:eastAsia="宋体" w:cs="宋体"/>
                <w:b w:val="0"/>
                <w:i w:val="0"/>
                <w:color w:val="000000"/>
                <w:sz w:val="19"/>
              </w:rPr>
              <w:t>控制水平评估依赖主观问卷，夜间症状被低估：家长报告与录音实测的一致性 Cohen's κ 仅 0.30</w:t>
            </w:r>
          </w:p>
        </w:tc>
        <w:tc>
          <w:tcPr>
            <w:tcW w:type="dxa" w:w="3879"/>
          </w:tcPr>
          <w:p>
            <w:pPr>
              <w:spacing w:after="0" w:line="276" w:lineRule="auto"/>
            </w:pPr>
            <w:r/>
            <w:r>
              <w:rPr>
                <w:rFonts w:ascii="宋体" w:hAnsi="宋体" w:eastAsia="宋体" w:cs="宋体"/>
                <w:b w:val="0"/>
                <w:i w:val="0"/>
                <w:color w:val="000000"/>
                <w:sz w:val="19"/>
              </w:rPr>
              <w:t>提供夜间咳嗽与喘息客观数据。居家手机监测研究显示，夜间咳嗽结合睡眠质量可提前最多 5 天预测急性发作（BAC 71%、敏感度 75%–88%、特异度 57%–72%），可辅助评估控制水平与用药调整效果</w:t>
            </w:r>
          </w:p>
        </w:tc>
      </w:tr>
      <w:tr>
        <w:tc>
          <w:tcPr>
            <w:tcW w:type="dxa" w:w="1711"/>
            <w:shd w:val="clear" w:color="auto" w:fill="EDF3F9"/>
          </w:tcPr>
          <w:p>
            <w:pPr>
              <w:spacing w:after="0" w:line="276" w:lineRule="auto"/>
            </w:pPr>
            <w:r/>
            <w:r>
              <w:rPr>
                <w:rFonts w:ascii="宋体" w:hAnsi="宋体" w:eastAsia="宋体" w:cs="宋体"/>
                <w:b w:val="0"/>
                <w:i w:val="0"/>
                <w:color w:val="000000"/>
                <w:sz w:val="19"/>
              </w:rPr>
              <w:t>慢阻肺随访</w:t>
            </w:r>
          </w:p>
        </w:tc>
        <w:tc>
          <w:tcPr>
            <w:tcW w:type="dxa" w:w="3537"/>
            <w:shd w:val="clear" w:color="auto" w:fill="EDF3F9"/>
          </w:tcPr>
          <w:p>
            <w:pPr>
              <w:spacing w:after="0" w:line="276" w:lineRule="auto"/>
            </w:pPr>
            <w:r/>
            <w:r>
              <w:rPr>
                <w:rFonts w:ascii="宋体" w:hAnsi="宋体" w:eastAsia="宋体" w:cs="宋体"/>
                <w:b w:val="0"/>
                <w:i w:val="0"/>
                <w:color w:val="000000"/>
                <w:sz w:val="19"/>
              </w:rPr>
              <w:t>急性加重发现滞后、住院率高：有慢性咳嗽咳痰者年均急性加重 2.20 次 vs 0.97 次，需住院的重度加重 0.43 vs 0.22 次/年，频繁加重比例 55% vs 22%</w:t>
            </w:r>
          </w:p>
        </w:tc>
        <w:tc>
          <w:tcPr>
            <w:tcW w:type="dxa" w:w="3879"/>
            <w:shd w:val="clear" w:color="auto" w:fill="EDF3F9"/>
          </w:tcPr>
          <w:p>
            <w:pPr>
              <w:spacing w:after="0" w:line="276" w:lineRule="auto"/>
            </w:pPr>
            <w:r/>
            <w:r>
              <w:rPr>
                <w:rFonts w:ascii="宋体" w:hAnsi="宋体" w:eastAsia="宋体" w:cs="宋体"/>
                <w:b w:val="0"/>
                <w:i w:val="0"/>
                <w:color w:val="000000"/>
                <w:sz w:val="19"/>
              </w:rPr>
              <w:t>捕捉加重前的咳嗽频次上升趋势，提供预警窗口；把入睡后前 30 分钟作为重点观察窗（该时段咳嗽频次是其余夜间时段的 4.5 倍，86% 的咳嗽成簇出现）</w:t>
            </w:r>
          </w:p>
        </w:tc>
      </w:tr>
      <w:tr>
        <w:tc>
          <w:tcPr>
            <w:tcW w:type="dxa" w:w="1711"/>
          </w:tcPr>
          <w:p>
            <w:pPr>
              <w:spacing w:after="0" w:line="276" w:lineRule="auto"/>
            </w:pPr>
            <w:r/>
            <w:r>
              <w:rPr>
                <w:rFonts w:ascii="宋体" w:hAnsi="宋体" w:eastAsia="宋体" w:cs="宋体"/>
                <w:b w:val="0"/>
                <w:i w:val="0"/>
                <w:color w:val="000000"/>
                <w:sz w:val="19"/>
              </w:rPr>
              <w:t>儿童喘息</w:t>
            </w:r>
          </w:p>
        </w:tc>
        <w:tc>
          <w:tcPr>
            <w:tcW w:type="dxa" w:w="3537"/>
          </w:tcPr>
          <w:p>
            <w:pPr>
              <w:spacing w:after="0" w:line="276" w:lineRule="auto"/>
            </w:pPr>
            <w:r/>
            <w:r>
              <w:rPr>
                <w:rFonts w:ascii="宋体" w:hAnsi="宋体" w:eastAsia="宋体" w:cs="宋体"/>
                <w:b w:val="0"/>
                <w:i w:val="0"/>
                <w:color w:val="000000"/>
                <w:sz w:val="19"/>
              </w:rPr>
              <w:t>儿童难以配合肺功能检查，家长夜间焦虑；儿童哮喘患者超 1,000 万、整体控制率不足 50%</w:t>
            </w:r>
          </w:p>
        </w:tc>
        <w:tc>
          <w:tcPr>
            <w:tcW w:type="dxa" w:w="3879"/>
          </w:tcPr>
          <w:p>
            <w:pPr>
              <w:spacing w:after="0" w:line="276" w:lineRule="auto"/>
            </w:pPr>
            <w:r/>
            <w:r>
              <w:rPr>
                <w:rFonts w:ascii="宋体" w:hAnsi="宋体" w:eastAsia="宋体" w:cs="宋体"/>
                <w:b w:val="0"/>
                <w:i w:val="0"/>
                <w:color w:val="000000"/>
                <w:sz w:val="19"/>
              </w:rPr>
              <w:t>非接触、无需佩戴的夜间监测，输出可向医生展示的客观记录；喘息检出已有循证基础（41 项研究荟萃分析：合并敏感度 0.902、特异度 0.955）</w:t>
            </w:r>
          </w:p>
        </w:tc>
      </w:tr>
      <w:tr>
        <w:tc>
          <w:tcPr>
            <w:tcW w:type="dxa" w:w="1711"/>
            <w:shd w:val="clear" w:color="auto" w:fill="EDF3F9"/>
          </w:tcPr>
          <w:p>
            <w:pPr>
              <w:spacing w:after="0" w:line="276" w:lineRule="auto"/>
            </w:pPr>
            <w:r/>
            <w:r>
              <w:rPr>
                <w:rFonts w:ascii="宋体" w:hAnsi="宋体" w:eastAsia="宋体" w:cs="宋体"/>
                <w:b w:val="0"/>
                <w:i w:val="0"/>
                <w:color w:val="000000"/>
                <w:sz w:val="19"/>
              </w:rPr>
              <w:t>疗效评价</w:t>
            </w:r>
          </w:p>
        </w:tc>
        <w:tc>
          <w:tcPr>
            <w:tcW w:type="dxa" w:w="3537"/>
            <w:shd w:val="clear" w:color="auto" w:fill="EDF3F9"/>
          </w:tcPr>
          <w:p>
            <w:pPr>
              <w:spacing w:after="0" w:line="276" w:lineRule="auto"/>
            </w:pPr>
            <w:r/>
            <w:r>
              <w:rPr>
                <w:rFonts w:ascii="宋体" w:hAnsi="宋体" w:eastAsia="宋体" w:cs="宋体"/>
                <w:b w:val="0"/>
                <w:i w:val="0"/>
                <w:color w:val="000000"/>
                <w:sz w:val="19"/>
              </w:rPr>
              <w:t>药物或方案调整后的效果缺少客观指标：主观评分与客观咳嗽计数相关仅 r = 0.37–0.50</w:t>
            </w:r>
          </w:p>
        </w:tc>
        <w:tc>
          <w:tcPr>
            <w:tcW w:type="dxa" w:w="3879"/>
            <w:shd w:val="clear" w:color="auto" w:fill="EDF3F9"/>
          </w:tcPr>
          <w:p>
            <w:pPr>
              <w:spacing w:after="0" w:line="276" w:lineRule="auto"/>
            </w:pPr>
            <w:r/>
            <w:r>
              <w:rPr>
                <w:rFonts w:ascii="宋体" w:hAnsi="宋体" w:eastAsia="宋体" w:cs="宋体"/>
                <w:b w:val="0"/>
                <w:i w:val="0"/>
                <w:color w:val="000000"/>
                <w:sz w:val="19"/>
              </w:rPr>
              <w:t>提供连续、可量化的声学指标作为疗效观察依据；以 ICC(2,1) 与 Bland-Altman 报告一致性，确保纵向随访数据可比</w:t>
            </w:r>
          </w:p>
        </w:tc>
      </w:tr>
      <w:tr>
        <w:tc>
          <w:tcPr>
            <w:tcW w:type="dxa" w:w="1711"/>
          </w:tcPr>
          <w:p>
            <w:pPr>
              <w:spacing w:after="0" w:line="276" w:lineRule="auto"/>
            </w:pPr>
            <w:r/>
            <w:r>
              <w:rPr>
                <w:rFonts w:ascii="宋体" w:hAnsi="宋体" w:eastAsia="宋体" w:cs="宋体"/>
                <w:b w:val="0"/>
                <w:i w:val="0"/>
                <w:color w:val="000000"/>
                <w:sz w:val="19"/>
              </w:rPr>
              <w:t>临床研究（药企 / CRO）</w:t>
            </w:r>
          </w:p>
        </w:tc>
        <w:tc>
          <w:tcPr>
            <w:tcW w:type="dxa" w:w="3537"/>
          </w:tcPr>
          <w:p>
            <w:pPr>
              <w:spacing w:after="0" w:line="276" w:lineRule="auto"/>
            </w:pPr>
            <w:r/>
            <w:r>
              <w:rPr>
                <w:rFonts w:ascii="宋体" w:hAnsi="宋体" w:eastAsia="宋体" w:cs="宋体"/>
                <w:b w:val="0"/>
                <w:i w:val="0"/>
                <w:color w:val="000000"/>
                <w:sz w:val="19"/>
              </w:rPr>
              <w:t>咳嗽终点依赖人工日记，数据质量与依从性差；注册试验需要可审计的客观终点测量方法</w:t>
            </w:r>
          </w:p>
        </w:tc>
        <w:tc>
          <w:tcPr>
            <w:tcW w:type="dxa" w:w="3879"/>
          </w:tcPr>
          <w:p>
            <w:pPr>
              <w:spacing w:after="0" w:line="276" w:lineRule="auto"/>
            </w:pPr>
            <w:r/>
            <w:r>
              <w:rPr>
                <w:rFonts w:ascii="宋体" w:hAnsi="宋体" w:eastAsia="宋体" w:cs="宋体"/>
                <w:b w:val="0"/>
                <w:i w:val="0"/>
                <w:color w:val="000000"/>
                <w:sz w:val="19"/>
              </w:rPr>
              <w:t>提供客观连续的咳嗽计数与声学终点数据服务，交付逐事件指标（敏感度 / 阳性预测值）、逐时段指标（相关系数 / ICC）与假阳性率（次/小时）。口径须准确：24 小时咳嗽计数已被用作注册试验主要终点的测量方法，但其独立支持获批的监管地位仍在演进</w:t>
            </w:r>
          </w:p>
        </w:tc>
      </w:tr>
      <w:tr>
        <w:tc>
          <w:tcPr>
            <w:tcW w:type="dxa" w:w="1711"/>
            <w:shd w:val="clear" w:color="auto" w:fill="EDF3F9"/>
          </w:tcPr>
          <w:p>
            <w:pPr>
              <w:spacing w:after="0" w:line="276" w:lineRule="auto"/>
            </w:pPr>
            <w:r/>
            <w:r>
              <w:rPr>
                <w:rFonts w:ascii="宋体" w:hAnsi="宋体" w:eastAsia="宋体" w:cs="宋体"/>
                <w:b w:val="0"/>
                <w:i w:val="0"/>
                <w:color w:val="000000"/>
                <w:sz w:val="19"/>
              </w:rPr>
              <w:t>症状学早筛与转诊触发</w:t>
            </w:r>
          </w:p>
        </w:tc>
        <w:tc>
          <w:tcPr>
            <w:tcW w:type="dxa" w:w="3537"/>
            <w:shd w:val="clear" w:color="auto" w:fill="EDF3F9"/>
          </w:tcPr>
          <w:p>
            <w:pPr>
              <w:spacing w:after="0" w:line="276" w:lineRule="auto"/>
            </w:pPr>
            <w:r/>
            <w:r>
              <w:rPr>
                <w:rFonts w:ascii="宋体" w:hAnsi="宋体" w:eastAsia="宋体" w:cs="宋体"/>
                <w:b w:val="0"/>
                <w:i w:val="0"/>
                <w:color w:val="000000"/>
                <w:sz w:val="19"/>
              </w:rPr>
              <w:t>哮喘 71.2% 从未被医生诊断、慢阻肺 90% 从未获明确诊断且约 60% 无明显咳嗽咳痰喘息症状，现有手段无法触达该人群</w:t>
            </w:r>
          </w:p>
        </w:tc>
        <w:tc>
          <w:tcPr>
            <w:tcW w:type="dxa" w:w="3879"/>
            <w:shd w:val="clear" w:color="auto" w:fill="EDF3F9"/>
          </w:tcPr>
          <w:p>
            <w:pPr>
              <w:spacing w:after="0" w:line="276" w:lineRule="auto"/>
            </w:pPr>
            <w:r/>
            <w:r>
              <w:rPr>
                <w:rFonts w:ascii="宋体" w:hAnsi="宋体" w:eastAsia="宋体" w:cs="宋体"/>
                <w:b w:val="0"/>
                <w:i w:val="0"/>
                <w:color w:val="000000"/>
                <w:sz w:val="19"/>
              </w:rPr>
              <w:t>以低成本声学测量与“建议就诊”提示作为基层筛查与转诊触发的辅助工具；仅输出客观测量信息，不给出诊断结论，以守住第二类软件的宣称边界</w:t>
            </w:r>
          </w:p>
        </w:tc>
      </w:tr>
    </w:tbl>
    <w:p>
      <w:pPr>
        <w:spacing w:after="40"/>
      </w:pPr>
    </w:p>
    <w:p>
      <w:pPr>
        <w:pStyle w:val="Heading2"/>
      </w:pPr>
      <w:r>
        <w:rPr>
          <w:rFonts w:ascii="宋体" w:hAnsi="宋体" w:eastAsia="宋体" w:cs="宋体"/>
          <w:b/>
          <w:i w:val="0"/>
          <w:color w:val="2E74B5"/>
          <w:sz w:val="25"/>
        </w:rPr>
        <w:t>7.3 临床验证方案设计</w:t>
      </w:r>
    </w:p>
    <w:tbl>
      <w:tblPr>
        <w:tblStyle w:val="TableGrid"/>
        <w:jc w:val="center"/>
        <w:tblLook w:firstColumn="1" w:firstRow="1" w:lastColumn="0" w:lastRow="0" w:noHBand="0" w:noVBand="1" w:val="04A0"/>
        <w:tblCellMar>
          <w:top w:w="60" w:type="dxa"/>
          <w:left w:w="90" w:type="dxa"/>
          <w:bottom w:w="60" w:type="dxa"/>
          <w:right w:w="90" w:type="dxa"/>
        </w:tblCellMar>
        <w:tblW w:w="9129" w:type="dxa"/>
        <w:tblLayout w:type="fixed"/>
      </w:tblPr>
      <w:tblGrid>
        <w:gridCol w:w="1598"/>
        <w:gridCol w:w="3537"/>
        <w:gridCol w:w="3994"/>
      </w:tblGrid>
      <w:tr>
        <w:trPr>
          <w:tblHeader w:val="true"/>
        </w:trPr>
        <w:tc>
          <w:tcPr>
            <w:tcW w:type="dxa" w:w="1597"/>
            <w:shd w:val="clear" w:color="auto" w:fill="1F4E79"/>
          </w:tcPr>
          <w:p>
            <w:pPr>
              <w:spacing w:after="0" w:line="276" w:lineRule="auto"/>
              <w:jc w:val="center"/>
            </w:pPr>
            <w:r/>
            <w:r>
              <w:rPr>
                <w:rFonts w:ascii="宋体" w:hAnsi="宋体" w:eastAsia="宋体" w:cs="宋体"/>
                <w:b/>
                <w:i w:val="0"/>
                <w:color w:val="FFFFFF"/>
                <w:sz w:val="19"/>
              </w:rPr>
              <w:t>维度</w:t>
            </w:r>
          </w:p>
        </w:tc>
        <w:tc>
          <w:tcPr>
            <w:tcW w:type="dxa" w:w="3537"/>
            <w:shd w:val="clear" w:color="auto" w:fill="1F4E79"/>
          </w:tcPr>
          <w:p>
            <w:pPr>
              <w:spacing w:after="0" w:line="276" w:lineRule="auto"/>
              <w:jc w:val="center"/>
            </w:pPr>
            <w:r/>
            <w:r>
              <w:rPr>
                <w:rFonts w:ascii="宋体" w:hAnsi="宋体" w:eastAsia="宋体" w:cs="宋体"/>
                <w:b/>
                <w:i w:val="0"/>
                <w:color w:val="FFFFFF"/>
                <w:sz w:val="19"/>
              </w:rPr>
              <w:t>方案设计</w:t>
            </w:r>
          </w:p>
        </w:tc>
        <w:tc>
          <w:tcPr>
            <w:tcW w:type="dxa" w:w="3993"/>
            <w:shd w:val="clear" w:color="auto" w:fill="1F4E79"/>
          </w:tcPr>
          <w:p>
            <w:pPr>
              <w:spacing w:after="0" w:line="276" w:lineRule="auto"/>
              <w:jc w:val="center"/>
            </w:pPr>
            <w:r/>
            <w:r>
              <w:rPr>
                <w:rFonts w:ascii="宋体" w:hAnsi="宋体" w:eastAsia="宋体" w:cs="宋体"/>
                <w:b/>
                <w:i w:val="0"/>
                <w:color w:val="FFFFFF"/>
                <w:sz w:val="19"/>
              </w:rPr>
              <w:t>说明</w:t>
            </w:r>
          </w:p>
        </w:tc>
      </w:tr>
      <w:tr>
        <w:tc>
          <w:tcPr>
            <w:tcW w:type="dxa" w:w="1597"/>
          </w:tcPr>
          <w:p>
            <w:pPr>
              <w:spacing w:after="0" w:line="276" w:lineRule="auto"/>
            </w:pPr>
            <w:r/>
            <w:r>
              <w:rPr>
                <w:rFonts w:ascii="宋体" w:hAnsi="宋体" w:eastAsia="宋体" w:cs="宋体"/>
                <w:b w:val="0"/>
                <w:i w:val="0"/>
                <w:color w:val="000000"/>
                <w:sz w:val="19"/>
              </w:rPr>
              <w:t>研究总体设计</w:t>
            </w:r>
          </w:p>
        </w:tc>
        <w:tc>
          <w:tcPr>
            <w:tcW w:type="dxa" w:w="3537"/>
          </w:tcPr>
          <w:p>
            <w:pPr>
              <w:spacing w:after="0" w:line="276" w:lineRule="auto"/>
            </w:pPr>
            <w:r/>
            <w:r>
              <w:rPr>
                <w:rFonts w:ascii="宋体" w:hAnsi="宋体" w:eastAsia="宋体" w:cs="宋体"/>
                <w:b w:val="0"/>
                <w:i w:val="0"/>
                <w:color w:val="000000"/>
                <w:sz w:val="19"/>
              </w:rPr>
              <w:t>分三阶段推进：阶段 A 回顾性建模与算法性能评估 → 阶段 B 前瞻性居家一致性与可行性研究 → 阶段 C 前瞻性多中心结局预测与注册用临床评价</w:t>
            </w:r>
          </w:p>
        </w:tc>
        <w:tc>
          <w:tcPr>
            <w:tcW w:type="dxa" w:w="3993"/>
          </w:tcPr>
          <w:p>
            <w:pPr>
              <w:spacing w:after="0" w:line="276" w:lineRule="auto"/>
            </w:pPr>
            <w:r/>
            <w:r>
              <w:rPr>
                <w:rFonts w:ascii="宋体" w:hAnsi="宋体" w:eastAsia="宋体" w:cs="宋体"/>
                <w:b w:val="0"/>
                <w:i w:val="0"/>
                <w:color w:val="000000"/>
                <w:sz w:val="19"/>
              </w:rPr>
              <w:t>阶段划分与注册资料要求对应：回顾性研究用于建模与初步验证；前瞻性研究用于确认真实使用条件下的表现；注册用临床评价需按指导原则另行设计</w:t>
            </w:r>
          </w:p>
        </w:tc>
      </w:tr>
      <w:tr>
        <w:tc>
          <w:tcPr>
            <w:tcW w:type="dxa" w:w="1597"/>
            <w:shd w:val="clear" w:color="auto" w:fill="EDF3F9"/>
          </w:tcPr>
          <w:p>
            <w:pPr>
              <w:spacing w:after="0" w:line="276" w:lineRule="auto"/>
            </w:pPr>
            <w:r/>
            <w:r>
              <w:rPr>
                <w:rFonts w:ascii="宋体" w:hAnsi="宋体" w:eastAsia="宋体" w:cs="宋体"/>
                <w:b w:val="0"/>
                <w:i w:val="0"/>
                <w:color w:val="000000"/>
                <w:sz w:val="19"/>
              </w:rPr>
              <w:t>阶段 A：回顾性建模与算法性能评估</w:t>
            </w:r>
          </w:p>
        </w:tc>
        <w:tc>
          <w:tcPr>
            <w:tcW w:type="dxa" w:w="3537"/>
            <w:shd w:val="clear" w:color="auto" w:fill="EDF3F9"/>
          </w:tcPr>
          <w:p>
            <w:pPr>
              <w:spacing w:after="0" w:line="276" w:lineRule="auto"/>
            </w:pPr>
            <w:r/>
            <w:r>
              <w:rPr>
                <w:rFonts w:ascii="宋体" w:hAnsi="宋体" w:eastAsia="宋体" w:cs="宋体"/>
                <w:b w:val="0"/>
                <w:i w:val="0"/>
                <w:color w:val="000000"/>
                <w:sz w:val="19"/>
              </w:rPr>
              <w:t>使用既往“同步录音 + 肺功能 + 医生诊断”档案数据；训练集、调优集、测试集两两无交集并查重，测试集原则上不做数据扩增；须完成压力测试与对抗测试</w:t>
            </w:r>
          </w:p>
        </w:tc>
        <w:tc>
          <w:tcPr>
            <w:tcW w:type="dxa" w:w="3993"/>
            <w:shd w:val="clear" w:color="auto" w:fill="EDF3F9"/>
          </w:tcPr>
          <w:p>
            <w:pPr>
              <w:spacing w:after="0" w:line="276" w:lineRule="auto"/>
            </w:pPr>
            <w:r/>
            <w:r>
              <w:rPr>
                <w:rFonts w:ascii="宋体" w:hAnsi="宋体" w:eastAsia="宋体" w:cs="宋体"/>
                <w:b w:val="0"/>
                <w:i w:val="0"/>
                <w:color w:val="000000"/>
                <w:sz w:val="19"/>
              </w:rPr>
              <w:t>需伦理批准（可申请知情同意豁免）；公开数据库不具封闭性，不得用作测评数据库，仅可用于算法性能评估；确认测试须使用自建封闭测评集（多机构、多设备、多地域、含罕见样本）</w:t>
            </w:r>
          </w:p>
        </w:tc>
      </w:tr>
      <w:tr>
        <w:tc>
          <w:tcPr>
            <w:tcW w:type="dxa" w:w="1597"/>
          </w:tcPr>
          <w:p>
            <w:pPr>
              <w:spacing w:after="0" w:line="276" w:lineRule="auto"/>
            </w:pPr>
            <w:r/>
            <w:r>
              <w:rPr>
                <w:rFonts w:ascii="宋体" w:hAnsi="宋体" w:eastAsia="宋体" w:cs="宋体"/>
                <w:b w:val="0"/>
                <w:i w:val="0"/>
                <w:color w:val="000000"/>
                <w:sz w:val="19"/>
              </w:rPr>
              <w:t>阶段 B 主要终点（咳嗽计数一致性）</w:t>
            </w:r>
          </w:p>
        </w:tc>
        <w:tc>
          <w:tcPr>
            <w:tcW w:type="dxa" w:w="3537"/>
          </w:tcPr>
          <w:p>
            <w:pPr>
              <w:spacing w:after="0" w:line="276" w:lineRule="auto"/>
            </w:pPr>
            <w:r/>
            <w:r>
              <w:rPr>
                <w:rFonts w:ascii="宋体" w:hAnsi="宋体" w:eastAsia="宋体" w:cs="宋体"/>
                <w:b w:val="0"/>
                <w:i w:val="0"/>
                <w:color w:val="000000"/>
                <w:sz w:val="19"/>
              </w:rPr>
              <w:t>以 ICC(2,1) 为主要指标，目标 ICC ≥ 0.90（对标莱斯特咳嗽监测仪的个体内 ICC 0.9）；同时报告 Bland-Altman 一致性界限与假阳性率（次/小时）</w:t>
            </w:r>
          </w:p>
        </w:tc>
        <w:tc>
          <w:tcPr>
            <w:tcW w:type="dxa" w:w="3993"/>
          </w:tcPr>
          <w:p>
            <w:pPr>
              <w:spacing w:after="0" w:line="276" w:lineRule="auto"/>
            </w:pPr>
            <w:r/>
            <w:r>
              <w:rPr>
                <w:rFonts w:ascii="宋体" w:hAnsi="宋体" w:eastAsia="宋体" w:cs="宋体"/>
                <w:b w:val="0"/>
                <w:i w:val="0"/>
                <w:color w:val="000000"/>
                <w:sz w:val="19"/>
              </w:rPr>
              <w:t>样本量估算：双侧 α=0.05、把握度 0.80、预期 ICC 0.90、下限 0.75 → 约需 40–50 例受试者、每例至少 2 夜有效录音</w:t>
            </w:r>
          </w:p>
        </w:tc>
      </w:tr>
      <w:tr>
        <w:tc>
          <w:tcPr>
            <w:tcW w:type="dxa" w:w="1597"/>
            <w:shd w:val="clear" w:color="auto" w:fill="EDF3F9"/>
          </w:tcPr>
          <w:p>
            <w:pPr>
              <w:spacing w:after="0" w:line="276" w:lineRule="auto"/>
            </w:pPr>
            <w:r/>
            <w:r>
              <w:rPr>
                <w:rFonts w:ascii="宋体" w:hAnsi="宋体" w:eastAsia="宋体" w:cs="宋体"/>
                <w:b w:val="0"/>
                <w:i w:val="0"/>
                <w:color w:val="000000"/>
                <w:sz w:val="19"/>
              </w:rPr>
              <w:t>阶段 B 次要终点（喘息检出）</w:t>
            </w:r>
          </w:p>
        </w:tc>
        <w:tc>
          <w:tcPr>
            <w:tcW w:type="dxa" w:w="3537"/>
            <w:shd w:val="clear" w:color="auto" w:fill="EDF3F9"/>
          </w:tcPr>
          <w:p>
            <w:pPr>
              <w:spacing w:after="0" w:line="276" w:lineRule="auto"/>
            </w:pPr>
            <w:r/>
            <w:r>
              <w:rPr>
                <w:rFonts w:ascii="宋体" w:hAnsi="宋体" w:eastAsia="宋体" w:cs="宋体"/>
                <w:b w:val="0"/>
                <w:i w:val="0"/>
                <w:color w:val="000000"/>
                <w:sz w:val="19"/>
              </w:rPr>
              <w:t>二分类指标：目标敏感度 0.90、绝对精度 ±0.10</w:t>
            </w:r>
          </w:p>
        </w:tc>
        <w:tc>
          <w:tcPr>
            <w:tcW w:type="dxa" w:w="3993"/>
            <w:shd w:val="clear" w:color="auto" w:fill="EDF3F9"/>
          </w:tcPr>
          <w:p>
            <w:pPr>
              <w:spacing w:after="0" w:line="276" w:lineRule="auto"/>
            </w:pPr>
            <w:r/>
            <w:r>
              <w:rPr>
                <w:rFonts w:ascii="宋体" w:hAnsi="宋体" w:eastAsia="宋体" w:cs="宋体"/>
                <w:b w:val="0"/>
                <w:i w:val="0"/>
                <w:color w:val="000000"/>
                <w:sz w:val="19"/>
              </w:rPr>
              <w:t>按单比例精确法估算需 ≥ 35 例阳性样本（儿童肺音 AI 荟萃分析的喘息检出合并敏感度为 0.902）；最终样本量须由统计师按本院阳性率计算</w:t>
            </w:r>
          </w:p>
        </w:tc>
      </w:tr>
      <w:tr>
        <w:tc>
          <w:tcPr>
            <w:tcW w:type="dxa" w:w="1597"/>
          </w:tcPr>
          <w:p>
            <w:pPr>
              <w:spacing w:after="0" w:line="276" w:lineRule="auto"/>
            </w:pPr>
            <w:r/>
            <w:r>
              <w:rPr>
                <w:rFonts w:ascii="宋体" w:hAnsi="宋体" w:eastAsia="宋体" w:cs="宋体"/>
                <w:b w:val="0"/>
                <w:i w:val="0"/>
                <w:color w:val="000000"/>
                <w:sz w:val="19"/>
              </w:rPr>
              <w:t>阶段 B 次要终点（呼吸率）</w:t>
            </w:r>
          </w:p>
        </w:tc>
        <w:tc>
          <w:tcPr>
            <w:tcW w:type="dxa" w:w="3537"/>
          </w:tcPr>
          <w:p>
            <w:pPr>
              <w:spacing w:after="0" w:line="276" w:lineRule="auto"/>
            </w:pPr>
            <w:r/>
            <w:r>
              <w:rPr>
                <w:rFonts w:ascii="宋体" w:hAnsi="宋体" w:eastAsia="宋体" w:cs="宋体"/>
                <w:b w:val="0"/>
                <w:i w:val="0"/>
                <w:color w:val="000000"/>
                <w:sz w:val="19"/>
              </w:rPr>
              <w:t>以 RMSD ＜ 3 次/分 为主要指标，对照 capnography 或 III 型心肺监测</w:t>
            </w:r>
          </w:p>
        </w:tc>
        <w:tc>
          <w:tcPr>
            <w:tcW w:type="dxa" w:w="3993"/>
          </w:tcPr>
          <w:p>
            <w:pPr>
              <w:spacing w:after="0" w:line="276" w:lineRule="auto"/>
            </w:pPr>
            <w:r/>
            <w:r>
              <w:rPr>
                <w:rFonts w:ascii="宋体" w:hAnsi="宋体" w:eastAsia="宋体" w:cs="宋体"/>
                <w:b w:val="0"/>
                <w:i w:val="0"/>
                <w:color w:val="000000"/>
                <w:sz w:val="19"/>
              </w:rPr>
              <w:t>RMSD ＜ 3 次/分是呼吸率监测设备被普遍接受的临床可接受误差范围（帝国理工 AcuPebble 研究 RMSD ＜ 3 次/分）</w:t>
            </w:r>
          </w:p>
        </w:tc>
      </w:tr>
      <w:tr>
        <w:tc>
          <w:tcPr>
            <w:tcW w:type="dxa" w:w="1597"/>
            <w:shd w:val="clear" w:color="auto" w:fill="EDF3F9"/>
          </w:tcPr>
          <w:p>
            <w:pPr>
              <w:spacing w:after="0" w:line="276" w:lineRule="auto"/>
            </w:pPr>
            <w:r/>
            <w:r>
              <w:rPr>
                <w:rFonts w:ascii="宋体" w:hAnsi="宋体" w:eastAsia="宋体" w:cs="宋体"/>
                <w:b w:val="0"/>
                <w:i w:val="0"/>
                <w:color w:val="000000"/>
                <w:sz w:val="19"/>
              </w:rPr>
              <w:t>阶段 B 其他终点</w:t>
            </w:r>
          </w:p>
        </w:tc>
        <w:tc>
          <w:tcPr>
            <w:tcW w:type="dxa" w:w="3537"/>
            <w:shd w:val="clear" w:color="auto" w:fill="EDF3F9"/>
          </w:tcPr>
          <w:p>
            <w:pPr>
              <w:spacing w:after="0" w:line="276" w:lineRule="auto"/>
            </w:pPr>
            <w:r/>
            <w:r>
              <w:rPr>
                <w:rFonts w:ascii="宋体" w:hAnsi="宋体" w:eastAsia="宋体" w:cs="宋体"/>
                <w:b w:val="0"/>
                <w:i w:val="0"/>
                <w:color w:val="000000"/>
                <w:sz w:val="19"/>
              </w:rPr>
              <w:t>设备使用依从性、居家数据可分析率（每 24 小时录音中可分析数据的百分比）、用户满意度、事件片段的人声污染率</w:t>
            </w:r>
          </w:p>
        </w:tc>
        <w:tc>
          <w:tcPr>
            <w:tcW w:type="dxa" w:w="3993"/>
            <w:shd w:val="clear" w:color="auto" w:fill="EDF3F9"/>
          </w:tcPr>
          <w:p>
            <w:pPr>
              <w:spacing w:after="0" w:line="276" w:lineRule="auto"/>
            </w:pPr>
            <w:r/>
            <w:r>
              <w:rPr>
                <w:rFonts w:ascii="宋体" w:hAnsi="宋体" w:eastAsia="宋体" w:cs="宋体"/>
                <w:b w:val="0"/>
                <w:i w:val="0"/>
                <w:color w:val="000000"/>
                <w:sz w:val="19"/>
              </w:rPr>
              <w:t>依从性与可分析率是居家产品能否成立的隐性关键终点；可分析率的定义对标勃林格殷格翰 IPF 远程咳嗽采集可行性研究的口径</w:t>
            </w:r>
          </w:p>
        </w:tc>
      </w:tr>
      <w:tr>
        <w:tc>
          <w:tcPr>
            <w:tcW w:type="dxa" w:w="1597"/>
          </w:tcPr>
          <w:p>
            <w:pPr>
              <w:spacing w:after="0" w:line="276" w:lineRule="auto"/>
            </w:pPr>
            <w:r/>
            <w:r>
              <w:rPr>
                <w:rFonts w:ascii="宋体" w:hAnsi="宋体" w:eastAsia="宋体" w:cs="宋体"/>
                <w:b w:val="0"/>
                <w:i w:val="0"/>
                <w:color w:val="000000"/>
                <w:sz w:val="19"/>
              </w:rPr>
              <w:t>阶段 C：结局预测与注册用临床评价</w:t>
            </w:r>
          </w:p>
        </w:tc>
        <w:tc>
          <w:tcPr>
            <w:tcW w:type="dxa" w:w="3537"/>
          </w:tcPr>
          <w:p>
            <w:pPr>
              <w:spacing w:after="0" w:line="276" w:lineRule="auto"/>
            </w:pPr>
            <w:r/>
            <w:r>
              <w:rPr>
                <w:rFonts w:ascii="宋体" w:hAnsi="宋体" w:eastAsia="宋体" w:cs="宋体"/>
                <w:b w:val="0"/>
                <w:i w:val="0"/>
                <w:color w:val="000000"/>
                <w:sz w:val="19"/>
              </w:rPr>
              <w:t>以急性加重 / 哮喘失控为结局，评价预测效能与预警提前时间；对标夜间咳嗽结合睡眠质量可提前最多 5 天预测发作、BAC 70%–75%</w:t>
            </w:r>
          </w:p>
        </w:tc>
        <w:tc>
          <w:tcPr>
            <w:tcW w:type="dxa" w:w="3993"/>
          </w:tcPr>
          <w:p>
            <w:pPr>
              <w:spacing w:after="0" w:line="276" w:lineRule="auto"/>
            </w:pPr>
            <w:r/>
            <w:r>
              <w:rPr>
                <w:rFonts w:ascii="宋体" w:hAnsi="宋体" w:eastAsia="宋体" w:cs="宋体"/>
                <w:b w:val="0"/>
                <w:i w:val="0"/>
                <w:color w:val="000000"/>
                <w:sz w:val="19"/>
              </w:rPr>
              <w:t>结局预测终点涉及辅助决策表述，会显著影响分类界定与注册路径，须先与省级药品监督管理部门沟通确认后再投入</w:t>
            </w:r>
          </w:p>
        </w:tc>
      </w:tr>
      <w:tr>
        <w:tc>
          <w:tcPr>
            <w:tcW w:type="dxa" w:w="1597"/>
            <w:shd w:val="clear" w:color="auto" w:fill="EDF3F9"/>
          </w:tcPr>
          <w:p>
            <w:pPr>
              <w:spacing w:after="0" w:line="276" w:lineRule="auto"/>
            </w:pPr>
            <w:r/>
            <w:r>
              <w:rPr>
                <w:rFonts w:ascii="宋体" w:hAnsi="宋体" w:eastAsia="宋体" w:cs="宋体"/>
                <w:b w:val="0"/>
                <w:i w:val="0"/>
                <w:color w:val="000000"/>
                <w:sz w:val="19"/>
              </w:rPr>
              <w:t>对照标准</w:t>
            </w:r>
          </w:p>
        </w:tc>
        <w:tc>
          <w:tcPr>
            <w:tcW w:type="dxa" w:w="3537"/>
            <w:shd w:val="clear" w:color="auto" w:fill="EDF3F9"/>
          </w:tcPr>
          <w:p>
            <w:pPr>
              <w:spacing w:after="0" w:line="276" w:lineRule="auto"/>
            </w:pPr>
            <w:r/>
            <w:r>
              <w:rPr>
                <w:rFonts w:ascii="宋体" w:hAnsi="宋体" w:eastAsia="宋体" w:cs="宋体"/>
                <w:b w:val="0"/>
                <w:i w:val="0"/>
                <w:color w:val="000000"/>
                <w:sz w:val="19"/>
              </w:rPr>
              <w:t>多观察者人工标注的连续录音（主要）；肺功能、症状量表与医生评估（次要）</w:t>
            </w:r>
          </w:p>
        </w:tc>
        <w:tc>
          <w:tcPr>
            <w:tcW w:type="dxa" w:w="3993"/>
            <w:shd w:val="clear" w:color="auto" w:fill="EDF3F9"/>
          </w:tcPr>
          <w:p>
            <w:pPr>
              <w:spacing w:after="0" w:line="276" w:lineRule="auto"/>
            </w:pPr>
            <w:r/>
            <w:r>
              <w:rPr>
                <w:rFonts w:ascii="宋体" w:hAnsi="宋体" w:eastAsia="宋体" w:cs="宋体"/>
                <w:b w:val="0"/>
                <w:i w:val="0"/>
                <w:color w:val="000000"/>
                <w:sz w:val="19"/>
              </w:rPr>
              <w:t>咳嗽计数以多观察者人工标注为参考标准最为严谨，不以患者日记作为参考标准；诊断类终点需谨慎，避免超出证据范围</w:t>
            </w:r>
          </w:p>
        </w:tc>
      </w:tr>
      <w:tr>
        <w:tc>
          <w:tcPr>
            <w:tcW w:type="dxa" w:w="1597"/>
          </w:tcPr>
          <w:p>
            <w:pPr>
              <w:spacing w:after="0" w:line="276" w:lineRule="auto"/>
            </w:pPr>
            <w:r/>
            <w:r>
              <w:rPr>
                <w:rFonts w:ascii="宋体" w:hAnsi="宋体" w:eastAsia="宋体" w:cs="宋体"/>
                <w:b w:val="0"/>
                <w:i w:val="0"/>
                <w:color w:val="000000"/>
                <w:sz w:val="19"/>
              </w:rPr>
              <w:t>入排标准</w:t>
            </w:r>
          </w:p>
        </w:tc>
        <w:tc>
          <w:tcPr>
            <w:tcW w:type="dxa" w:w="3537"/>
          </w:tcPr>
          <w:p>
            <w:pPr>
              <w:spacing w:after="0" w:line="276" w:lineRule="auto"/>
            </w:pPr>
            <w:r/>
            <w:r>
              <w:rPr>
                <w:rFonts w:ascii="宋体" w:hAnsi="宋体" w:eastAsia="宋体" w:cs="宋体"/>
                <w:b w:val="0"/>
                <w:i w:val="0"/>
                <w:color w:val="000000"/>
                <w:sz w:val="19"/>
              </w:rPr>
              <w:t>确诊哮喘 / 慢阻肺 / 反复喘息的患者，年龄覆盖成人与儿童</w:t>
            </w:r>
          </w:p>
        </w:tc>
        <w:tc>
          <w:tcPr>
            <w:tcW w:type="dxa" w:w="3993"/>
          </w:tcPr>
          <w:p>
            <w:pPr>
              <w:spacing w:after="0" w:line="276" w:lineRule="auto"/>
            </w:pPr>
            <w:r/>
            <w:r>
              <w:rPr>
                <w:rFonts w:ascii="宋体" w:hAnsi="宋体" w:eastAsia="宋体" w:cs="宋体"/>
                <w:b w:val="0"/>
                <w:i w:val="0"/>
                <w:color w:val="000000"/>
                <w:sz w:val="19"/>
              </w:rPr>
              <w:t>分层入组：成人哮喘、成人慢阻肺、儿童喘息三类人群分别分析；儿童入组需监护人签署知情同意</w:t>
            </w:r>
          </w:p>
        </w:tc>
      </w:tr>
      <w:tr>
        <w:tc>
          <w:tcPr>
            <w:tcW w:type="dxa" w:w="1597"/>
            <w:shd w:val="clear" w:color="auto" w:fill="EDF3F9"/>
          </w:tcPr>
          <w:p>
            <w:pPr>
              <w:spacing w:after="0" w:line="276" w:lineRule="auto"/>
            </w:pPr>
            <w:r/>
            <w:r>
              <w:rPr>
                <w:rFonts w:ascii="宋体" w:hAnsi="宋体" w:eastAsia="宋体" w:cs="宋体"/>
                <w:b w:val="0"/>
                <w:i w:val="0"/>
                <w:color w:val="000000"/>
                <w:sz w:val="19"/>
              </w:rPr>
              <w:t>研究周期</w:t>
            </w:r>
          </w:p>
        </w:tc>
        <w:tc>
          <w:tcPr>
            <w:tcW w:type="dxa" w:w="3537"/>
            <w:shd w:val="clear" w:color="auto" w:fill="EDF3F9"/>
          </w:tcPr>
          <w:p>
            <w:pPr>
              <w:spacing w:after="0" w:line="276" w:lineRule="auto"/>
            </w:pPr>
            <w:r/>
            <w:r>
              <w:rPr>
                <w:rFonts w:ascii="宋体" w:hAnsi="宋体" w:eastAsia="宋体" w:cs="宋体"/>
                <w:b w:val="0"/>
                <w:i w:val="0"/>
                <w:color w:val="000000"/>
                <w:sz w:val="19"/>
              </w:rPr>
              <w:t>阶段 A 约 6 个月；阶段 B 约 12 个月（含伦理审批与入组）；阶段 C 约 12–18 个月</w:t>
            </w:r>
          </w:p>
        </w:tc>
        <w:tc>
          <w:tcPr>
            <w:tcW w:type="dxa" w:w="3993"/>
            <w:shd w:val="clear" w:color="auto" w:fill="EDF3F9"/>
          </w:tcPr>
          <w:p>
            <w:pPr>
              <w:spacing w:after="0" w:line="276" w:lineRule="auto"/>
            </w:pPr>
            <w:r/>
            <w:r>
              <w:rPr>
                <w:rFonts w:ascii="宋体" w:hAnsi="宋体" w:eastAsia="宋体" w:cs="宋体"/>
                <w:b w:val="0"/>
                <w:i w:val="0"/>
                <w:color w:val="000000"/>
                <w:sz w:val="19"/>
              </w:rPr>
              <w:t>伦理审批与入组进度是主要不确定性来源，应预留缓冲；阶段 C 的周期与费用直接取决于分类界定结果</w:t>
            </w:r>
          </w:p>
        </w:tc>
      </w:tr>
      <w:tr>
        <w:tc>
          <w:tcPr>
            <w:tcW w:type="dxa" w:w="1597"/>
          </w:tcPr>
          <w:p>
            <w:pPr>
              <w:spacing w:after="0" w:line="276" w:lineRule="auto"/>
            </w:pPr>
            <w:r/>
            <w:r>
              <w:rPr>
                <w:rFonts w:ascii="宋体" w:hAnsi="宋体" w:eastAsia="宋体" w:cs="宋体"/>
                <w:b w:val="0"/>
                <w:i w:val="0"/>
                <w:color w:val="000000"/>
                <w:sz w:val="19"/>
              </w:rPr>
              <w:t>临床评价的强制性要求</w:t>
            </w:r>
          </w:p>
        </w:tc>
        <w:tc>
          <w:tcPr>
            <w:tcW w:type="dxa" w:w="3537"/>
          </w:tcPr>
          <w:p>
            <w:pPr>
              <w:spacing w:after="0" w:line="276" w:lineRule="auto"/>
            </w:pPr>
            <w:r/>
            <w:r>
              <w:rPr>
                <w:rFonts w:ascii="宋体" w:hAnsi="宋体" w:eastAsia="宋体" w:cs="宋体"/>
                <w:b w:val="0"/>
                <w:i w:val="0"/>
                <w:color w:val="000000"/>
                <w:sz w:val="19"/>
              </w:rPr>
              <w:t>核心算法为全新算法，按《人工智能医疗器械注册审查指导原则》（国家药监局器审中心 2022 年第 8 号）“全新的功能、算法和用途原则上均需开展临床评价”；辅助决策类更需开展临床试验</w:t>
            </w:r>
          </w:p>
        </w:tc>
        <w:tc>
          <w:tcPr>
            <w:tcW w:type="dxa" w:w="3993"/>
          </w:tcPr>
          <w:p>
            <w:pPr>
              <w:spacing w:after="0" w:line="276" w:lineRule="auto"/>
            </w:pPr>
            <w:r/>
            <w:r>
              <w:rPr>
                <w:rFonts w:ascii="宋体" w:hAnsi="宋体" w:eastAsia="宋体" w:cs="宋体"/>
                <w:b w:val="0"/>
                <w:i w:val="0"/>
                <w:color w:val="000000"/>
                <w:sz w:val="19"/>
              </w:rPr>
              <w:t>这一点必须如实体现：临床试验会显著拉长周期并增加成本，是注册路径上最大的时间与资金变量，也是分步合规策略的主要理由</w:t>
            </w:r>
          </w:p>
        </w:tc>
      </w:tr>
      <w:tr>
        <w:tc>
          <w:tcPr>
            <w:tcW w:type="dxa" w:w="1597"/>
            <w:shd w:val="clear" w:color="auto" w:fill="EDF3F9"/>
          </w:tcPr>
          <w:p>
            <w:pPr>
              <w:spacing w:after="0" w:line="276" w:lineRule="auto"/>
            </w:pPr>
            <w:r/>
            <w:r>
              <w:rPr>
                <w:rFonts w:ascii="宋体" w:hAnsi="宋体" w:eastAsia="宋体" w:cs="宋体"/>
                <w:b w:val="0"/>
                <w:i w:val="0"/>
                <w:color w:val="000000"/>
                <w:sz w:val="19"/>
              </w:rPr>
              <w:t>伦理与数据</w:t>
            </w:r>
          </w:p>
        </w:tc>
        <w:tc>
          <w:tcPr>
            <w:tcW w:type="dxa" w:w="3537"/>
            <w:shd w:val="clear" w:color="auto" w:fill="EDF3F9"/>
          </w:tcPr>
          <w:p>
            <w:pPr>
              <w:spacing w:after="0" w:line="276" w:lineRule="auto"/>
            </w:pPr>
            <w:r/>
            <w:r>
              <w:rPr>
                <w:rFonts w:ascii="宋体" w:hAnsi="宋体" w:eastAsia="宋体" w:cs="宋体"/>
                <w:b w:val="0"/>
                <w:i w:val="0"/>
                <w:color w:val="000000"/>
                <w:sz w:val="19"/>
              </w:rPr>
              <w:t>通过医院伦理委员会审查，签署知情同意，数据脱敏；须专门处理居家录音采集到家属、访客等第三方语音的问题</w:t>
            </w:r>
          </w:p>
        </w:tc>
        <w:tc>
          <w:tcPr>
            <w:tcW w:type="dxa" w:w="3993"/>
            <w:shd w:val="clear" w:color="auto" w:fill="EDF3F9"/>
          </w:tcPr>
          <w:p>
            <w:pPr>
              <w:spacing w:after="0" w:line="276" w:lineRule="auto"/>
            </w:pPr>
            <w:r/>
            <w:r>
              <w:rPr>
                <w:rFonts w:ascii="宋体" w:hAnsi="宋体" w:eastAsia="宋体" w:cs="宋体"/>
                <w:b w:val="0"/>
                <w:i w:val="0"/>
                <w:color w:val="000000"/>
                <w:sz w:val="19"/>
              </w:rPr>
              <w:t>涉及儿童需监护人同意；涉及数据出境需另行评估；研究方案应说明边缘端本地处理与原始音频不出设备的缓解措施</w:t>
            </w:r>
          </w:p>
        </w:tc>
      </w:tr>
    </w:tbl>
    <w:p>
      <w:pPr>
        <w:spacing w:after="40"/>
      </w:pPr>
    </w:p>
    <w:p>
      <w:pPr>
        <w:pStyle w:val="Heading2"/>
      </w:pPr>
      <w:r>
        <w:rPr>
          <w:rFonts w:ascii="宋体" w:hAnsi="宋体" w:eastAsia="宋体" w:cs="宋体"/>
          <w:b/>
          <w:i w:val="0"/>
          <w:color w:val="2E74B5"/>
          <w:sz w:val="25"/>
        </w:rPr>
        <w:t>7.4 合规路径与注册规划</w:t>
      </w:r>
    </w:p>
    <w:p>
      <w:pPr>
        <w:spacing w:after="80"/>
        <w:ind w:firstLine="420"/>
      </w:pPr>
      <w:r>
        <w:rPr>
          <w:rFonts w:ascii="宋体" w:hAnsi="宋体" w:eastAsia="宋体" w:cs="宋体"/>
          <w:b w:val="0"/>
          <w:i w:val="0"/>
          <w:color w:val="000000"/>
          <w:sz w:val="21"/>
        </w:rPr>
        <w:t>合规是医疗类项目最容易被评委追问、也最容易翻车的环节。本项目采取“先健康管理、后医疗器械”的分步策略，在每一步严格守住宣称边界，避免因越界宣传导致注册障碍。</w:t>
      </w:r>
    </w:p>
    <w:tbl>
      <w:tblPr>
        <w:tblStyle w:val="TableGrid"/>
        <w:jc w:val="center"/>
        <w:tblLook w:firstColumn="1" w:firstRow="1" w:lastColumn="0" w:lastRow="0" w:noHBand="0" w:noVBand="1" w:val="04A0"/>
        <w:tblCellMar>
          <w:top w:w="60" w:type="dxa"/>
          <w:left w:w="90" w:type="dxa"/>
          <w:bottom w:w="60" w:type="dxa"/>
          <w:right w:w="90" w:type="dxa"/>
        </w:tblCellMar>
        <w:tblW w:w="9129" w:type="dxa"/>
        <w:tblLayout w:type="fixed"/>
      </w:tblPr>
      <w:tblGrid>
        <w:gridCol w:w="1483"/>
        <w:gridCol w:w="3081"/>
        <w:gridCol w:w="4564"/>
      </w:tblGrid>
      <w:tr>
        <w:trPr>
          <w:tblHeader w:val="true"/>
        </w:trPr>
        <w:tc>
          <w:tcPr>
            <w:tcW w:type="dxa" w:w="1483"/>
            <w:shd w:val="clear" w:color="auto" w:fill="1F4E79"/>
          </w:tcPr>
          <w:p>
            <w:pPr>
              <w:spacing w:after="0" w:line="276" w:lineRule="auto"/>
              <w:jc w:val="center"/>
            </w:pPr>
            <w:r/>
            <w:r>
              <w:rPr>
                <w:rFonts w:ascii="宋体" w:hAnsi="宋体" w:eastAsia="宋体" w:cs="宋体"/>
                <w:b/>
                <w:i w:val="0"/>
                <w:color w:val="FFFFFF"/>
                <w:sz w:val="19"/>
              </w:rPr>
              <w:t>阶段</w:t>
            </w:r>
          </w:p>
        </w:tc>
        <w:tc>
          <w:tcPr>
            <w:tcW w:type="dxa" w:w="3081"/>
            <w:shd w:val="clear" w:color="auto" w:fill="1F4E79"/>
          </w:tcPr>
          <w:p>
            <w:pPr>
              <w:spacing w:after="0" w:line="276" w:lineRule="auto"/>
              <w:jc w:val="center"/>
            </w:pPr>
            <w:r/>
            <w:r>
              <w:rPr>
                <w:rFonts w:ascii="宋体" w:hAnsi="宋体" w:eastAsia="宋体" w:cs="宋体"/>
                <w:b/>
                <w:i w:val="0"/>
                <w:color w:val="FFFFFF"/>
                <w:sz w:val="19"/>
              </w:rPr>
              <w:t>产品形态与宣称边界</w:t>
            </w:r>
          </w:p>
        </w:tc>
        <w:tc>
          <w:tcPr>
            <w:tcW w:type="dxa" w:w="4564"/>
            <w:shd w:val="clear" w:color="auto" w:fill="1F4E79"/>
          </w:tcPr>
          <w:p>
            <w:pPr>
              <w:spacing w:after="0" w:line="276" w:lineRule="auto"/>
              <w:jc w:val="center"/>
            </w:pPr>
            <w:r/>
            <w:r>
              <w:rPr>
                <w:rFonts w:ascii="宋体" w:hAnsi="宋体" w:eastAsia="宋体" w:cs="宋体"/>
                <w:b/>
                <w:i w:val="0"/>
                <w:color w:val="FFFFFF"/>
                <w:sz w:val="19"/>
              </w:rPr>
              <w:t>合规要点</w:t>
            </w:r>
          </w:p>
        </w:tc>
      </w:tr>
      <w:tr>
        <w:tc>
          <w:tcPr>
            <w:tcW w:type="dxa" w:w="1483"/>
          </w:tcPr>
          <w:p>
            <w:pPr>
              <w:spacing w:after="0" w:line="276" w:lineRule="auto"/>
            </w:pPr>
            <w:r/>
            <w:r>
              <w:rPr>
                <w:rFonts w:ascii="宋体" w:hAnsi="宋体" w:eastAsia="宋体" w:cs="宋体"/>
                <w:b w:val="0"/>
                <w:i w:val="0"/>
                <w:color w:val="000000"/>
                <w:sz w:val="19"/>
              </w:rPr>
              <w:t>分类界定</w:t>
            </w:r>
          </w:p>
          <w:p>
            <w:pPr>
              <w:spacing w:after="0" w:line="276" w:lineRule="auto"/>
            </w:pPr>
            <w:r>
              <w:rPr>
                <w:rFonts w:ascii="宋体" w:hAnsi="宋体" w:eastAsia="宋体" w:cs="宋体"/>
                <w:b w:val="0"/>
                <w:i w:val="0"/>
                <w:color w:val="000000"/>
                <w:sz w:val="19"/>
              </w:rPr>
              <w:t>（前置判断）</w:t>
            </w:r>
          </w:p>
        </w:tc>
        <w:tc>
          <w:tcPr>
            <w:tcW w:type="dxa" w:w="3081"/>
          </w:tcPr>
          <w:p>
            <w:pPr>
              <w:spacing w:after="0" w:line="276" w:lineRule="auto"/>
            </w:pPr>
            <w:r/>
            <w:r>
              <w:rPr>
                <w:rFonts w:ascii="宋体" w:hAnsi="宋体" w:eastAsia="宋体" w:cs="宋体"/>
                <w:b w:val="0"/>
                <w:i w:val="0"/>
                <w:color w:val="000000"/>
                <w:sz w:val="19"/>
              </w:rPr>
              <w:t>按《人工智能医用软件产品分类界定指导原则》（国家药监局 2021 年第 47 号通告），判定依据是预期用途而非技术本身。本项目仅输出客观测量指标与趋势、只提供临床参考信息、不涉及治疗相关决策 → 倾向第二类，对应《医疗器械分类目录》“21 医用软件”下的 21-03 数据处理软件</w:t>
            </w:r>
          </w:p>
        </w:tc>
        <w:tc>
          <w:tcPr>
            <w:tcW w:type="dxa" w:w="4564"/>
          </w:tcPr>
          <w:p>
            <w:pPr>
              <w:spacing w:after="0" w:line="276" w:lineRule="auto"/>
            </w:pPr>
            <w:r/>
            <w:r>
              <w:rPr>
                <w:rFonts w:ascii="宋体" w:hAnsi="宋体" w:eastAsia="宋体" w:cs="宋体"/>
                <w:b w:val="0"/>
                <w:i w:val="0"/>
                <w:color w:val="000000"/>
                <w:sz w:val="19"/>
              </w:rPr>
              <w:t>若加入“预警急性加重”“建议调整用药”等表述，会滑向 21-04 决策支持软件（第三类，且需临床试验）。必须明确：以上只是初步判断，需向省级药品监督管理部门申请分类界定确认，不以自行判断作为申报依据</w:t>
            </w:r>
          </w:p>
        </w:tc>
      </w:tr>
      <w:tr>
        <w:tc>
          <w:tcPr>
            <w:tcW w:type="dxa" w:w="1483"/>
            <w:shd w:val="clear" w:color="auto" w:fill="EDF3F9"/>
          </w:tcPr>
          <w:p>
            <w:pPr>
              <w:spacing w:after="0" w:line="276" w:lineRule="auto"/>
            </w:pPr>
            <w:r/>
            <w:r>
              <w:rPr>
                <w:rFonts w:ascii="宋体" w:hAnsi="宋体" w:eastAsia="宋体" w:cs="宋体"/>
                <w:b w:val="0"/>
                <w:i w:val="0"/>
                <w:color w:val="000000"/>
                <w:sz w:val="19"/>
              </w:rPr>
              <w:t>第一阶段</w:t>
            </w:r>
          </w:p>
          <w:p>
            <w:pPr>
              <w:spacing w:after="0" w:line="276" w:lineRule="auto"/>
            </w:pPr>
            <w:r>
              <w:rPr>
                <w:rFonts w:ascii="宋体" w:hAnsi="宋体" w:eastAsia="宋体" w:cs="宋体"/>
                <w:b w:val="0"/>
                <w:i w:val="0"/>
                <w:color w:val="000000"/>
                <w:sz w:val="19"/>
              </w:rPr>
              <w:t>健康管理工具</w:t>
            </w:r>
          </w:p>
        </w:tc>
        <w:tc>
          <w:tcPr>
            <w:tcW w:type="dxa" w:w="3081"/>
            <w:shd w:val="clear" w:color="auto" w:fill="EDF3F9"/>
          </w:tcPr>
          <w:p>
            <w:pPr>
              <w:spacing w:after="0" w:line="276" w:lineRule="auto"/>
            </w:pPr>
            <w:r/>
            <w:r>
              <w:rPr>
                <w:rFonts w:ascii="宋体" w:hAnsi="宋体" w:eastAsia="宋体" w:cs="宋体"/>
                <w:b w:val="0"/>
                <w:i w:val="0"/>
                <w:color w:val="000000"/>
                <w:sz w:val="19"/>
              </w:rPr>
              <w:t>定位为健康数据记录与趋势展示工具；仅描述「记录咳嗽次数」「展示趋势」「提示关注」，不得出现「诊断」「确诊」「筛查」「替代就医」等表述</w:t>
            </w:r>
          </w:p>
        </w:tc>
        <w:tc>
          <w:tcPr>
            <w:tcW w:type="dxa" w:w="4564"/>
            <w:shd w:val="clear" w:color="auto" w:fill="EDF3F9"/>
          </w:tcPr>
          <w:p>
            <w:pPr>
              <w:spacing w:after="0" w:line="276" w:lineRule="auto"/>
            </w:pPr>
            <w:r/>
            <w:r>
              <w:rPr>
                <w:rFonts w:ascii="宋体" w:hAnsi="宋体" w:eastAsia="宋体" w:cs="宋体"/>
                <w:b w:val="0"/>
                <w:i w:val="0"/>
                <w:color w:val="000000"/>
                <w:sz w:val="19"/>
              </w:rPr>
              <w:t>规避医疗器械属性认定的前提是宣称与用途不涉及疾病诊断治疗；软件界面文案、宣传物料、应用商店描述与答辩演示界面文案均需同步审查</w:t>
            </w:r>
          </w:p>
        </w:tc>
      </w:tr>
      <w:tr>
        <w:tc>
          <w:tcPr>
            <w:tcW w:type="dxa" w:w="1483"/>
          </w:tcPr>
          <w:p>
            <w:pPr>
              <w:spacing w:after="0" w:line="276" w:lineRule="auto"/>
            </w:pPr>
            <w:r/>
            <w:r>
              <w:rPr>
                <w:rFonts w:ascii="宋体" w:hAnsi="宋体" w:eastAsia="宋体" w:cs="宋体"/>
                <w:b w:val="0"/>
                <w:i w:val="0"/>
                <w:color w:val="000000"/>
                <w:sz w:val="19"/>
              </w:rPr>
              <w:t>第二阶段</w:t>
            </w:r>
          </w:p>
          <w:p>
            <w:pPr>
              <w:spacing w:after="0" w:line="276" w:lineRule="auto"/>
            </w:pPr>
            <w:r>
              <w:rPr>
                <w:rFonts w:ascii="宋体" w:hAnsi="宋体" w:eastAsia="宋体" w:cs="宋体"/>
                <w:b w:val="0"/>
                <w:i w:val="0"/>
                <w:color w:val="000000"/>
                <w:sz w:val="19"/>
              </w:rPr>
              <w:t>辅助参考软件（第二类）</w:t>
            </w:r>
          </w:p>
        </w:tc>
        <w:tc>
          <w:tcPr>
            <w:tcW w:type="dxa" w:w="3081"/>
          </w:tcPr>
          <w:p>
            <w:pPr>
              <w:spacing w:after="0" w:line="276" w:lineRule="auto"/>
            </w:pPr>
            <w:r/>
            <w:r>
              <w:rPr>
                <w:rFonts w:ascii="宋体" w:hAnsi="宋体" w:eastAsia="宋体" w:cs="宋体"/>
                <w:b w:val="0"/>
                <w:i w:val="0"/>
                <w:color w:val="000000"/>
                <w:sz w:val="19"/>
              </w:rPr>
              <w:t>以「为医生提供院外客观声学测量数据参考」为用途，输出咳嗽频次、夜间咳嗽指数、喘息检出与呼吸率等客观指标，仍不直接给出诊断结论</w:t>
            </w:r>
          </w:p>
        </w:tc>
        <w:tc>
          <w:tcPr>
            <w:tcW w:type="dxa" w:w="4564"/>
          </w:tcPr>
          <w:p>
            <w:pPr>
              <w:spacing w:after="0" w:line="276" w:lineRule="auto"/>
            </w:pPr>
            <w:r/>
            <w:r>
              <w:rPr>
                <w:rFonts w:ascii="宋体" w:hAnsi="宋体" w:eastAsia="宋体" w:cs="宋体"/>
                <w:b w:val="0"/>
                <w:i w:val="0"/>
                <w:color w:val="000000"/>
                <w:sz w:val="19"/>
              </w:rPr>
              <w:t>若功能被认定为辅助参考，通常按第二类医疗器械管理，需完成注册检验、临床评价与质量管理体系考核；国内已有同类路径先例（肺音数据处理软件，鲁械注准 20222210799，适用范围为给出湿罗音、干罗音、呼吸音粗糙或增强的信息以供临床参考）</w:t>
            </w:r>
          </w:p>
        </w:tc>
      </w:tr>
      <w:tr>
        <w:tc>
          <w:tcPr>
            <w:tcW w:type="dxa" w:w="1483"/>
            <w:shd w:val="clear" w:color="auto" w:fill="EDF3F9"/>
          </w:tcPr>
          <w:p>
            <w:pPr>
              <w:spacing w:after="0" w:line="276" w:lineRule="auto"/>
            </w:pPr>
            <w:r/>
            <w:r>
              <w:rPr>
                <w:rFonts w:ascii="宋体" w:hAnsi="宋体" w:eastAsia="宋体" w:cs="宋体"/>
                <w:b w:val="0"/>
                <w:i w:val="0"/>
                <w:color w:val="000000"/>
                <w:sz w:val="19"/>
              </w:rPr>
              <w:t>第三阶段</w:t>
            </w:r>
          </w:p>
          <w:p>
            <w:pPr>
              <w:spacing w:after="0" w:line="276" w:lineRule="auto"/>
            </w:pPr>
            <w:r>
              <w:rPr>
                <w:rFonts w:ascii="宋体" w:hAnsi="宋体" w:eastAsia="宋体" w:cs="宋体"/>
                <w:b w:val="0"/>
                <w:i w:val="0"/>
                <w:color w:val="000000"/>
                <w:sz w:val="19"/>
              </w:rPr>
              <w:t>注册申报</w:t>
            </w:r>
          </w:p>
        </w:tc>
        <w:tc>
          <w:tcPr>
            <w:tcW w:type="dxa" w:w="3081"/>
            <w:shd w:val="clear" w:color="auto" w:fill="EDF3F9"/>
          </w:tcPr>
          <w:p>
            <w:pPr>
              <w:spacing w:after="0" w:line="276" w:lineRule="auto"/>
            </w:pPr>
            <w:r/>
            <w:r>
              <w:rPr>
                <w:rFonts w:ascii="宋体" w:hAnsi="宋体" w:eastAsia="宋体" w:cs="宋体"/>
                <w:b w:val="0"/>
                <w:i w:val="0"/>
                <w:color w:val="000000"/>
                <w:sz w:val="19"/>
              </w:rPr>
              <w:t>按医用软件（独立软件 / SaMD，Software as a Medical Device）路径申报，明确预期用途、适用人群与禁忌</w:t>
            </w:r>
          </w:p>
        </w:tc>
        <w:tc>
          <w:tcPr>
            <w:tcW w:type="dxa" w:w="4564"/>
            <w:shd w:val="clear" w:color="auto" w:fill="EDF3F9"/>
          </w:tcPr>
          <w:p>
            <w:pPr>
              <w:spacing w:after="0" w:line="276" w:lineRule="auto"/>
            </w:pPr>
            <w:r/>
            <w:r>
              <w:rPr>
                <w:rFonts w:ascii="宋体" w:hAnsi="宋体" w:eastAsia="宋体" w:cs="宋体"/>
                <w:b w:val="0"/>
                <w:i w:val="0"/>
                <w:color w:val="000000"/>
                <w:sz w:val="19"/>
              </w:rPr>
              <w:t>适用文件包括《医疗器械软件注册审查指导原则（2022 年修订版）》（2022 年第 9 号）、《医疗器械网络安全注册审查指导原则（2022 年修订版）》（2022 年第 7 号）、《移动医疗器械注册技术审查指导原则》（2017 年第 222 号）与《医疗器械生产质量管理规范附录独立软件》</w:t>
            </w:r>
          </w:p>
        </w:tc>
      </w:tr>
      <w:tr>
        <w:tc>
          <w:tcPr>
            <w:tcW w:type="dxa" w:w="1483"/>
          </w:tcPr>
          <w:p>
            <w:pPr>
              <w:spacing w:after="0" w:line="276" w:lineRule="auto"/>
            </w:pPr>
            <w:r/>
            <w:r>
              <w:rPr>
                <w:rFonts w:ascii="宋体" w:hAnsi="宋体" w:eastAsia="宋体" w:cs="宋体"/>
                <w:b w:val="0"/>
                <w:i w:val="0"/>
                <w:color w:val="000000"/>
                <w:sz w:val="19"/>
              </w:rPr>
              <w:t>全流程</w:t>
            </w:r>
          </w:p>
          <w:p>
            <w:pPr>
              <w:spacing w:after="0" w:line="276" w:lineRule="auto"/>
            </w:pPr>
            <w:r>
              <w:rPr>
                <w:rFonts w:ascii="宋体" w:hAnsi="宋体" w:eastAsia="宋体" w:cs="宋体"/>
                <w:b w:val="0"/>
                <w:i w:val="0"/>
                <w:color w:val="000000"/>
                <w:sz w:val="19"/>
              </w:rPr>
              <w:t>算法更新与可追溯性</w:t>
            </w:r>
          </w:p>
        </w:tc>
        <w:tc>
          <w:tcPr>
            <w:tcW w:type="dxa" w:w="3081"/>
          </w:tcPr>
          <w:p>
            <w:pPr>
              <w:spacing w:after="0" w:line="276" w:lineRule="auto"/>
            </w:pPr>
            <w:r/>
            <w:r>
              <w:rPr>
                <w:rFonts w:ascii="宋体" w:hAnsi="宋体" w:eastAsia="宋体" w:cs="宋体"/>
                <w:b w:val="0"/>
                <w:i w:val="0"/>
                <w:color w:val="000000"/>
                <w:sz w:val="19"/>
              </w:rPr>
              <w:t>采用“锁定模型 + 经验证的离线版本升级 + 回滚机制”策略，禁止在线持续学习；每次发布保留算法版本号、训练数据版本与评估报告</w:t>
            </w:r>
          </w:p>
        </w:tc>
        <w:tc>
          <w:tcPr>
            <w:tcW w:type="dxa" w:w="4564"/>
          </w:tcPr>
          <w:p>
            <w:pPr>
              <w:spacing w:after="0" w:line="276" w:lineRule="auto"/>
            </w:pPr>
            <w:r/>
            <w:r>
              <w:rPr>
                <w:rFonts w:ascii="宋体" w:hAnsi="宋体" w:eastAsia="宋体" w:cs="宋体"/>
                <w:b w:val="0"/>
                <w:i w:val="0"/>
                <w:color w:val="000000"/>
                <w:sz w:val="19"/>
              </w:rPr>
              <w:t>按 2022 年第 8 号指导原则：算法驱动型更新（算法、结构、流程、框架或输入输出类型改变，或弃用原训练数据、改用全新数据重新训练）通常属于重大软件更新，需申请变更注册；数据驱动型更新以算法性能评估结果为准，若与前次注册相比在相同测试集与指标上存在统计学差异，也属重大更新；需考虑引入回滚机制，上市后须持续开展算法泛化能力研究</w:t>
            </w:r>
          </w:p>
        </w:tc>
      </w:tr>
      <w:tr>
        <w:tc>
          <w:tcPr>
            <w:tcW w:type="dxa" w:w="1483"/>
            <w:shd w:val="clear" w:color="auto" w:fill="EDF3F9"/>
          </w:tcPr>
          <w:p>
            <w:pPr>
              <w:spacing w:after="0" w:line="276" w:lineRule="auto"/>
            </w:pPr>
            <w:r/>
            <w:r>
              <w:rPr>
                <w:rFonts w:ascii="宋体" w:hAnsi="宋体" w:eastAsia="宋体" w:cs="宋体"/>
                <w:b w:val="0"/>
                <w:i w:val="0"/>
                <w:color w:val="000000"/>
                <w:sz w:val="19"/>
              </w:rPr>
              <w:t>全流程</w:t>
            </w:r>
          </w:p>
          <w:p>
            <w:pPr>
              <w:spacing w:after="0" w:line="276" w:lineRule="auto"/>
            </w:pPr>
            <w:r>
              <w:rPr>
                <w:rFonts w:ascii="宋体" w:hAnsi="宋体" w:eastAsia="宋体" w:cs="宋体"/>
                <w:b w:val="0"/>
                <w:i w:val="0"/>
                <w:color w:val="000000"/>
                <w:sz w:val="19"/>
              </w:rPr>
              <w:t>数据与网络安全</w:t>
            </w:r>
          </w:p>
        </w:tc>
        <w:tc>
          <w:tcPr>
            <w:tcW w:type="dxa" w:w="3081"/>
            <w:shd w:val="clear" w:color="auto" w:fill="EDF3F9"/>
          </w:tcPr>
          <w:p>
            <w:pPr>
              <w:spacing w:after="0" w:line="276" w:lineRule="auto"/>
            </w:pPr>
            <w:r/>
            <w:r>
              <w:rPr>
                <w:rFonts w:ascii="宋体" w:hAnsi="宋体" w:eastAsia="宋体" w:cs="宋体"/>
                <w:b w:val="0"/>
                <w:i w:val="0"/>
                <w:color w:val="000000"/>
                <w:sz w:val="19"/>
              </w:rPr>
              <w:t>原始音频不出设备，云端仅接收指标与事件摘要；居家连续录音可能采集到家属、访客等第三方语音，须在伦理方案与知情同意中专门处理</w:t>
            </w:r>
          </w:p>
        </w:tc>
        <w:tc>
          <w:tcPr>
            <w:tcW w:type="dxa" w:w="4564"/>
            <w:shd w:val="clear" w:color="auto" w:fill="EDF3F9"/>
          </w:tcPr>
          <w:p>
            <w:pPr>
              <w:spacing w:after="0" w:line="276" w:lineRule="auto"/>
            </w:pPr>
            <w:r/>
            <w:r>
              <w:rPr>
                <w:rFonts w:ascii="宋体" w:hAnsi="宋体" w:eastAsia="宋体" w:cs="宋体"/>
                <w:b w:val="0"/>
                <w:i w:val="0"/>
                <w:color w:val="000000"/>
                <w:sz w:val="19"/>
              </w:rPr>
              <w:t>对齐《个人信息保护法》《数据安全法》对敏感个人信息的要求，并落实医疗器械网络安全指导原则中的防护、审计与应急要求；在数据出境、远程访问与用户权限功能上逐项做合规设计</w:t>
            </w:r>
          </w:p>
        </w:tc>
      </w:tr>
    </w:tbl>
    <w:p>
      <w:pPr>
        <w:spacing w:after="40"/>
      </w:pPr>
    </w:p>
    <w:p>
      <w:pPr>
        <w:pStyle w:val="Heading2"/>
      </w:pPr>
      <w:r>
        <w:rPr>
          <w:rFonts w:ascii="宋体" w:hAnsi="宋体" w:eastAsia="宋体" w:cs="宋体"/>
          <w:b/>
          <w:i w:val="0"/>
          <w:color w:val="2E74B5"/>
          <w:sz w:val="25"/>
        </w:rPr>
        <w:t>7.5 数据合规与伦理</w:t>
      </w:r>
    </w:p>
    <w:p>
      <w:pPr>
        <w:spacing w:after="40" w:line="324" w:lineRule="auto"/>
        <w:ind w:left="425" w:hanging="283"/>
      </w:pPr>
      <w:r>
        <w:rPr>
          <w:rFonts w:ascii="宋体" w:hAnsi="宋体" w:eastAsia="宋体" w:cs="宋体"/>
          <w:b w:val="0"/>
          <w:i w:val="0"/>
          <w:color w:val="2E74B5"/>
          <w:sz w:val="18"/>
        </w:rPr>
        <w:t xml:space="preserve">● </w:t>
      </w:r>
      <w:r>
        <w:rPr>
          <w:rFonts w:ascii="宋体" w:hAnsi="宋体" w:eastAsia="宋体" w:cs="宋体"/>
          <w:b/>
          <w:i w:val="0"/>
          <w:color w:val="000000"/>
          <w:sz w:val="21"/>
        </w:rPr>
        <w:t>法律定位：</w:t>
      </w:r>
      <w:r>
        <w:rPr>
          <w:rFonts w:ascii="宋体" w:hAnsi="宋体" w:eastAsia="宋体" w:cs="宋体"/>
          <w:b w:val="0"/>
          <w:i w:val="0"/>
          <w:color w:val="000000"/>
          <w:sz w:val="21"/>
        </w:rPr>
        <w:t>呼吸音与咳嗽音属于医疗健康信息，按《中华人民共和国个人信息保护法》（PIPL，Personal Information Protection Law）第 28 条属于敏感个人信息，处理须具有特定的目的和充分的必要性并采取严格保护措施。</w:t>
      </w:r>
    </w:p>
    <w:p>
      <w:pPr>
        <w:spacing w:after="40" w:line="324" w:lineRule="auto"/>
        <w:ind w:left="425" w:hanging="283"/>
      </w:pPr>
      <w:r>
        <w:rPr>
          <w:rFonts w:ascii="宋体" w:hAnsi="宋体" w:eastAsia="宋体" w:cs="宋体"/>
          <w:b w:val="0"/>
          <w:i w:val="0"/>
          <w:color w:val="2E74B5"/>
          <w:sz w:val="18"/>
        </w:rPr>
        <w:t xml:space="preserve">● </w:t>
      </w:r>
      <w:r>
        <w:rPr>
          <w:rFonts w:ascii="宋体" w:hAnsi="宋体" w:eastAsia="宋体" w:cs="宋体"/>
          <w:b/>
          <w:i w:val="0"/>
          <w:color w:val="000000"/>
          <w:sz w:val="21"/>
        </w:rPr>
        <w:t>单独同意：</w:t>
      </w:r>
      <w:r>
        <w:rPr>
          <w:rFonts w:ascii="宋体" w:hAnsi="宋体" w:eastAsia="宋体" w:cs="宋体"/>
          <w:b w:val="0"/>
          <w:i w:val="0"/>
          <w:color w:val="000000"/>
          <w:sz w:val="21"/>
        </w:rPr>
        <w:t>《个人信息保护法》第 29 条要求处理敏感个人信息取得个人的单独同意；第 31 条要求处理不满 14 周岁未成年人个人信息须取得监护人同意，并制定专门的处理规则。</w:t>
      </w:r>
    </w:p>
    <w:p>
      <w:pPr>
        <w:spacing w:after="40" w:line="324" w:lineRule="auto"/>
        <w:ind w:left="425" w:hanging="283"/>
      </w:pPr>
      <w:r>
        <w:rPr>
          <w:rFonts w:ascii="宋体" w:hAnsi="宋体" w:eastAsia="宋体" w:cs="宋体"/>
          <w:b w:val="0"/>
          <w:i w:val="0"/>
          <w:color w:val="2E74B5"/>
          <w:sz w:val="18"/>
        </w:rPr>
        <w:t xml:space="preserve">● </w:t>
      </w:r>
      <w:r>
        <w:rPr>
          <w:rFonts w:ascii="宋体" w:hAnsi="宋体" w:eastAsia="宋体" w:cs="宋体"/>
          <w:b/>
          <w:i w:val="0"/>
          <w:color w:val="000000"/>
          <w:sz w:val="21"/>
        </w:rPr>
        <w:t>影响评估：</w:t>
      </w:r>
      <w:r>
        <w:rPr>
          <w:rFonts w:ascii="宋体" w:hAnsi="宋体" w:eastAsia="宋体" w:cs="宋体"/>
          <w:b w:val="0"/>
          <w:i w:val="0"/>
          <w:color w:val="000000"/>
          <w:sz w:val="21"/>
        </w:rPr>
        <w:t>按第 55、56 条，处理敏感个人信息须事前进行个人信息保护影响评估（PIA）并对处理情况进行记录，评估报告与处理记录至少保存 3 年。</w:t>
      </w:r>
    </w:p>
    <w:p>
      <w:pPr>
        <w:spacing w:after="40" w:line="324" w:lineRule="auto"/>
        <w:ind w:left="425" w:hanging="283"/>
      </w:pPr>
      <w:r>
        <w:rPr>
          <w:rFonts w:ascii="宋体" w:hAnsi="宋体" w:eastAsia="宋体" w:cs="宋体"/>
          <w:b w:val="0"/>
          <w:i w:val="0"/>
          <w:color w:val="2E74B5"/>
          <w:sz w:val="18"/>
        </w:rPr>
        <w:t xml:space="preserve">● </w:t>
      </w:r>
      <w:r>
        <w:rPr>
          <w:rFonts w:ascii="宋体" w:hAnsi="宋体" w:eastAsia="宋体" w:cs="宋体"/>
          <w:b/>
          <w:i w:val="0"/>
          <w:color w:val="000000"/>
          <w:sz w:val="21"/>
        </w:rPr>
        <w:t>跨境传输：</w:t>
      </w:r>
      <w:r>
        <w:rPr>
          <w:rFonts w:ascii="宋体" w:hAnsi="宋体" w:eastAsia="宋体" w:cs="宋体"/>
          <w:b w:val="0"/>
          <w:i w:val="0"/>
          <w:color w:val="000000"/>
          <w:sz w:val="21"/>
        </w:rPr>
        <w:t>按第 38–40 条，确需向境外提供个人信息时须通过安全评估、专业机构认证或订立标准合同之一，并进行个人信息保护影响评估；本项目的默认策略是境内存储与处理、不向境外提供原始音频。</w:t>
      </w:r>
    </w:p>
    <w:p>
      <w:pPr>
        <w:spacing w:after="40" w:line="324" w:lineRule="auto"/>
        <w:ind w:left="425" w:hanging="283"/>
      </w:pPr>
      <w:r>
        <w:rPr>
          <w:rFonts w:ascii="宋体" w:hAnsi="宋体" w:eastAsia="宋体" w:cs="宋体"/>
          <w:b w:val="0"/>
          <w:i w:val="0"/>
          <w:color w:val="2E74B5"/>
          <w:sz w:val="18"/>
        </w:rPr>
        <w:t xml:space="preserve">● </w:t>
      </w:r>
      <w:r>
        <w:rPr>
          <w:rFonts w:ascii="宋体" w:hAnsi="宋体" w:eastAsia="宋体" w:cs="宋体"/>
          <w:b/>
          <w:i w:val="0"/>
          <w:color w:val="000000"/>
          <w:sz w:val="21"/>
        </w:rPr>
        <w:t>第三方语音问题（本项目特有）：</w:t>
      </w:r>
      <w:r>
        <w:rPr>
          <w:rFonts w:ascii="宋体" w:hAnsi="宋体" w:eastAsia="宋体" w:cs="宋体"/>
          <w:b w:val="0"/>
          <w:i w:val="0"/>
          <w:color w:val="000000"/>
          <w:sz w:val="21"/>
        </w:rPr>
        <w:t>居家连续录音不可避免地会采集到家属、访客等非受试者的语音，这属于第三方个人信息，必须在伦理方案与知情同意中专门处理——包括家庭内告知、可随时暂停录音、第三方提出删除请求的处理流程；技术缓解措施为边缘端本地特征提取、原始音频不出设备、事件片段做人声抑制。</w:t>
      </w:r>
    </w:p>
    <w:p>
      <w:pPr>
        <w:spacing w:after="40" w:line="324" w:lineRule="auto"/>
        <w:ind w:left="425" w:hanging="283"/>
      </w:pPr>
      <w:r>
        <w:rPr>
          <w:rFonts w:ascii="宋体" w:hAnsi="宋体" w:eastAsia="宋体" w:cs="宋体"/>
          <w:b w:val="0"/>
          <w:i w:val="0"/>
          <w:color w:val="2E74B5"/>
          <w:sz w:val="18"/>
        </w:rPr>
        <w:t xml:space="preserve">● </w:t>
      </w:r>
      <w:r>
        <w:rPr>
          <w:rFonts w:ascii="宋体" w:hAnsi="宋体" w:eastAsia="宋体" w:cs="宋体"/>
          <w:b/>
          <w:i w:val="0"/>
          <w:color w:val="000000"/>
          <w:sz w:val="21"/>
        </w:rPr>
        <w:t>最小必要与目的限定：</w:t>
      </w:r>
      <w:r>
        <w:rPr>
          <w:rFonts w:ascii="宋体" w:hAnsi="宋体" w:eastAsia="宋体" w:cs="宋体"/>
          <w:b w:val="0"/>
          <w:i w:val="0"/>
          <w:color w:val="000000"/>
          <w:sz w:val="21"/>
        </w:rPr>
        <w:t>只采集实现功能所必需的数据，并明确告知用途、留存期限与共享范围，不将健康数据用于未获授权的商业用途；事件片段单独加密存储并设置留存期限。</w:t>
      </w:r>
    </w:p>
    <w:p>
      <w:pPr>
        <w:spacing w:after="40" w:line="324" w:lineRule="auto"/>
        <w:ind w:left="425" w:hanging="283"/>
      </w:pPr>
      <w:r>
        <w:rPr>
          <w:rFonts w:ascii="宋体" w:hAnsi="宋体" w:eastAsia="宋体" w:cs="宋体"/>
          <w:b w:val="0"/>
          <w:i w:val="0"/>
          <w:color w:val="2E74B5"/>
          <w:sz w:val="18"/>
        </w:rPr>
        <w:t xml:space="preserve">● </w:t>
      </w:r>
      <w:r>
        <w:rPr>
          <w:rFonts w:ascii="宋体" w:hAnsi="宋体" w:eastAsia="宋体" w:cs="宋体"/>
          <w:b/>
          <w:i w:val="0"/>
          <w:color w:val="000000"/>
          <w:sz w:val="21"/>
        </w:rPr>
        <w:t>知情同意：</w:t>
      </w:r>
      <w:r>
        <w:rPr>
          <w:rFonts w:ascii="宋体" w:hAnsi="宋体" w:eastAsia="宋体" w:cs="宋体"/>
          <w:b w:val="0"/>
          <w:i w:val="0"/>
          <w:color w:val="000000"/>
          <w:sz w:val="21"/>
        </w:rPr>
        <w:t>患者与家属分别知情；涉及儿童由监护人签署；临床研究另需伦理委员会批准，并区分「诊疗目的」与「研究目的」的授权范围。</w:t>
      </w:r>
    </w:p>
    <w:p>
      <w:pPr>
        <w:spacing w:after="40" w:line="324" w:lineRule="auto"/>
        <w:ind w:left="425" w:hanging="283"/>
      </w:pPr>
      <w:r>
        <w:rPr>
          <w:rFonts w:ascii="宋体" w:hAnsi="宋体" w:eastAsia="宋体" w:cs="宋体"/>
          <w:b w:val="0"/>
          <w:i w:val="0"/>
          <w:color w:val="2E74B5"/>
          <w:sz w:val="18"/>
        </w:rPr>
        <w:t xml:space="preserve">● </w:t>
      </w:r>
      <w:r>
        <w:rPr>
          <w:rFonts w:ascii="宋体" w:hAnsi="宋体" w:eastAsia="宋体" w:cs="宋体"/>
          <w:b/>
          <w:i w:val="0"/>
          <w:color w:val="000000"/>
          <w:sz w:val="21"/>
        </w:rPr>
        <w:t>去标识化与脱敏：</w:t>
      </w:r>
      <w:r>
        <w:rPr>
          <w:rFonts w:ascii="宋体" w:hAnsi="宋体" w:eastAsia="宋体" w:cs="宋体"/>
          <w:b w:val="0"/>
          <w:i w:val="0"/>
          <w:color w:val="000000"/>
          <w:sz w:val="21"/>
        </w:rPr>
        <w:t>上传前移除姓名、身份证号、联系方式等直接标识；音频事件片段做人声抑制处理，并对录制片段切分与施加语音滤波，降低间接识别风险。</w:t>
      </w:r>
    </w:p>
    <w:p>
      <w:pPr>
        <w:spacing w:after="40" w:line="324" w:lineRule="auto"/>
        <w:ind w:left="425" w:hanging="283"/>
      </w:pPr>
      <w:r>
        <w:rPr>
          <w:rFonts w:ascii="宋体" w:hAnsi="宋体" w:eastAsia="宋体" w:cs="宋体"/>
          <w:b w:val="0"/>
          <w:i w:val="0"/>
          <w:color w:val="2E74B5"/>
          <w:sz w:val="18"/>
        </w:rPr>
        <w:t xml:space="preserve">● </w:t>
      </w:r>
      <w:r>
        <w:rPr>
          <w:rFonts w:ascii="宋体" w:hAnsi="宋体" w:eastAsia="宋体" w:cs="宋体"/>
          <w:b/>
          <w:i w:val="0"/>
          <w:color w:val="000000"/>
          <w:sz w:val="21"/>
        </w:rPr>
        <w:t>权限与审计：</w:t>
      </w:r>
      <w:r>
        <w:rPr>
          <w:rFonts w:ascii="宋体" w:hAnsi="宋体" w:eastAsia="宋体" w:cs="宋体"/>
          <w:b w:val="0"/>
          <w:i w:val="0"/>
          <w:color w:val="000000"/>
          <w:sz w:val="21"/>
        </w:rPr>
        <w:t>按角色最小授权（患者、医生、家属、运营），所有数据访问留痕，支持患者查询与撤回授权。</w:t>
      </w:r>
    </w:p>
    <w:p>
      <w:pPr>
        <w:spacing w:after="40" w:line="324" w:lineRule="auto"/>
        <w:ind w:left="425" w:hanging="283"/>
      </w:pPr>
      <w:r>
        <w:rPr>
          <w:rFonts w:ascii="宋体" w:hAnsi="宋体" w:eastAsia="宋体" w:cs="宋体"/>
          <w:b w:val="0"/>
          <w:i w:val="0"/>
          <w:color w:val="2E74B5"/>
          <w:sz w:val="18"/>
        </w:rPr>
        <w:t xml:space="preserve">● </w:t>
      </w:r>
      <w:r>
        <w:rPr>
          <w:rFonts w:ascii="宋体" w:hAnsi="宋体" w:eastAsia="宋体" w:cs="宋体"/>
          <w:b/>
          <w:i w:val="0"/>
          <w:color w:val="000000"/>
          <w:sz w:val="21"/>
        </w:rPr>
        <w:t>人类遗传资源边界：</w:t>
      </w:r>
      <w:r>
        <w:rPr>
          <w:rFonts w:ascii="宋体" w:hAnsi="宋体" w:eastAsia="宋体" w:cs="宋体"/>
          <w:b w:val="0"/>
          <w:i w:val="0"/>
          <w:color w:val="000000"/>
          <w:sz w:val="21"/>
        </w:rPr>
        <w:t>《人类遗传资源管理条例实施细则》（科技部令第 21 号，2023 年 7 月 1 日施行）第 2 条明确人类遗传资源信息不包括临床数据、影像数据、蛋白质数据和代谢数据，因此纯呼吸音 / 咳嗽音数据通常不落入人类遗传资源监管（除非同时采集基因或生物样本）；该判断需在项目立项与伦理申报时与合作机构法务复核。</w:t>
      </w:r>
    </w:p>
    <w:p>
      <w:pPr>
        <w:spacing w:after="40" w:line="324" w:lineRule="auto"/>
        <w:ind w:left="425" w:hanging="283"/>
      </w:pPr>
      <w:r>
        <w:rPr>
          <w:rFonts w:ascii="宋体" w:hAnsi="宋体" w:eastAsia="宋体" w:cs="宋体"/>
          <w:b w:val="0"/>
          <w:i w:val="0"/>
          <w:color w:val="2E74B5"/>
          <w:sz w:val="18"/>
        </w:rPr>
        <w:t xml:space="preserve">● </w:t>
      </w:r>
      <w:r>
        <w:rPr>
          <w:rFonts w:ascii="宋体" w:hAnsi="宋体" w:eastAsia="宋体" w:cs="宋体"/>
          <w:b/>
          <w:i w:val="0"/>
          <w:color w:val="000000"/>
          <w:sz w:val="21"/>
        </w:rPr>
        <w:t>算法透明度：</w:t>
      </w:r>
      <w:r>
        <w:rPr>
          <w:rFonts w:ascii="宋体" w:hAnsi="宋体" w:eastAsia="宋体" w:cs="宋体"/>
          <w:b w:val="0"/>
          <w:i w:val="0"/>
          <w:color w:val="000000"/>
          <w:sz w:val="21"/>
        </w:rPr>
        <w:t>向医生与患者说明指标的适用范围与局限，明确「提示关注」不等于「诊断结论」，并在产品文档中给出性能边界。</w:t>
      </w:r>
    </w:p>
    <w:p>
      <w:r>
        <w:br w:type="page"/>
      </w:r>
    </w:p>
    <w:p>
      <w:pPr>
        <w:pStyle w:val="Heading1"/>
      </w:pPr>
      <w:r>
        <w:rPr>
          <w:rFonts w:ascii="宋体" w:hAnsi="宋体" w:eastAsia="宋体" w:cs="宋体"/>
          <w:b/>
          <w:i w:val="0"/>
          <w:color w:val="1F4E79"/>
          <w:sz w:val="30"/>
        </w:rPr>
        <w:t>第八章 市场分析与竞争格局</w:t>
      </w:r>
    </w:p>
    <w:p>
      <w:pPr>
        <w:pStyle w:val="Heading2"/>
      </w:pPr>
      <w:r>
        <w:rPr>
          <w:rFonts w:ascii="宋体" w:hAnsi="宋体" w:eastAsia="宋体" w:cs="宋体"/>
          <w:b/>
          <w:i w:val="0"/>
          <w:color w:val="2E74B5"/>
          <w:sz w:val="25"/>
        </w:rPr>
        <w:t>8.1 市场空间</w:t>
      </w:r>
    </w:p>
    <w:p>
      <w:pPr>
        <w:pStyle w:val="Heading3"/>
      </w:pPr>
      <w:r>
        <w:rPr>
          <w:rFonts w:ascii="宋体" w:hAnsi="宋体" w:eastAsia="宋体" w:cs="宋体"/>
          <w:b/>
          <w:i w:val="0"/>
          <w:color w:val="2E74B5"/>
          <w:sz w:val="22"/>
        </w:rPr>
        <w:t>8.1.1 流行病学基数</w:t>
      </w:r>
    </w:p>
    <w:tbl>
      <w:tblPr>
        <w:tblStyle w:val="TableGrid"/>
        <w:jc w:val="center"/>
        <w:tblLook w:firstColumn="1" w:firstRow="1" w:lastColumn="0" w:lastRow="0" w:noHBand="0" w:noVBand="1" w:val="04A0"/>
        <w:tblCellMar>
          <w:top w:w="60" w:type="dxa"/>
          <w:left w:w="90" w:type="dxa"/>
          <w:bottom w:w="60" w:type="dxa"/>
          <w:right w:w="90" w:type="dxa"/>
        </w:tblCellMar>
        <w:tblW w:w="9129" w:type="dxa"/>
        <w:tblLayout w:type="fixed"/>
      </w:tblPr>
      <w:tblGrid>
        <w:gridCol w:w="2282"/>
        <w:gridCol w:w="1940"/>
        <w:gridCol w:w="4907"/>
      </w:tblGrid>
      <w:tr>
        <w:trPr>
          <w:tblHeader w:val="true"/>
        </w:trPr>
        <w:tc>
          <w:tcPr>
            <w:tcW w:type="dxa" w:w="2282"/>
            <w:shd w:val="clear" w:color="auto" w:fill="1F4E79"/>
          </w:tcPr>
          <w:p>
            <w:pPr>
              <w:spacing w:after="0" w:line="276" w:lineRule="auto"/>
              <w:jc w:val="center"/>
            </w:pPr>
            <w:r/>
            <w:r>
              <w:rPr>
                <w:rFonts w:ascii="宋体" w:hAnsi="宋体" w:eastAsia="宋体" w:cs="宋体"/>
                <w:b/>
                <w:i w:val="0"/>
                <w:color w:val="FFFFFF"/>
                <w:sz w:val="19"/>
              </w:rPr>
              <w:t>人群 / 指标</w:t>
            </w:r>
          </w:p>
        </w:tc>
        <w:tc>
          <w:tcPr>
            <w:tcW w:type="dxa" w:w="1940"/>
            <w:shd w:val="clear" w:color="auto" w:fill="1F4E79"/>
          </w:tcPr>
          <w:p>
            <w:pPr>
              <w:spacing w:after="0" w:line="276" w:lineRule="auto"/>
              <w:jc w:val="center"/>
            </w:pPr>
            <w:r/>
            <w:r>
              <w:rPr>
                <w:rFonts w:ascii="宋体" w:hAnsi="宋体" w:eastAsia="宋体" w:cs="宋体"/>
                <w:b/>
                <w:i w:val="0"/>
                <w:color w:val="FFFFFF"/>
                <w:sz w:val="19"/>
              </w:rPr>
              <w:t>数值（量级）</w:t>
            </w:r>
          </w:p>
        </w:tc>
        <w:tc>
          <w:tcPr>
            <w:tcW w:type="dxa" w:w="4906"/>
            <w:shd w:val="clear" w:color="auto" w:fill="1F4E79"/>
          </w:tcPr>
          <w:p>
            <w:pPr>
              <w:spacing w:after="0" w:line="276" w:lineRule="auto"/>
              <w:jc w:val="center"/>
            </w:pPr>
            <w:r/>
            <w:r>
              <w:rPr>
                <w:rFonts w:ascii="宋体" w:hAnsi="宋体" w:eastAsia="宋体" w:cs="宋体"/>
                <w:b/>
                <w:i w:val="0"/>
                <w:color w:val="FFFFFF"/>
                <w:sz w:val="19"/>
              </w:rPr>
              <w:t>说明与来源口径</w:t>
            </w:r>
          </w:p>
        </w:tc>
      </w:tr>
      <w:tr>
        <w:tc>
          <w:tcPr>
            <w:tcW w:type="dxa" w:w="2282"/>
          </w:tcPr>
          <w:p>
            <w:pPr>
              <w:spacing w:after="0" w:line="276" w:lineRule="auto"/>
            </w:pPr>
            <w:r/>
            <w:r>
              <w:rPr>
                <w:rFonts w:ascii="宋体" w:hAnsi="宋体" w:eastAsia="宋体" w:cs="宋体"/>
                <w:b w:val="0"/>
                <w:i w:val="0"/>
                <w:color w:val="000000"/>
                <w:sz w:val="19"/>
              </w:rPr>
              <w:t>中国成人哮喘（20 岁及以上）</w:t>
            </w:r>
          </w:p>
        </w:tc>
        <w:tc>
          <w:tcPr>
            <w:tcW w:type="dxa" w:w="1940"/>
          </w:tcPr>
          <w:p>
            <w:pPr>
              <w:spacing w:after="0" w:line="276" w:lineRule="auto"/>
            </w:pPr>
            <w:r/>
            <w:r>
              <w:rPr>
                <w:rFonts w:ascii="宋体" w:hAnsi="宋体" w:eastAsia="宋体" w:cs="宋体"/>
                <w:b w:val="0"/>
                <w:i w:val="0"/>
                <w:color w:val="000000"/>
                <w:sz w:val="19"/>
              </w:rPr>
              <w:t>患病率 4.2%，患者约 4,570 万</w:t>
            </w:r>
          </w:p>
        </w:tc>
        <w:tc>
          <w:tcPr>
            <w:tcW w:type="dxa" w:w="4906"/>
          </w:tcPr>
          <w:p>
            <w:pPr>
              <w:spacing w:after="0" w:line="276" w:lineRule="auto"/>
            </w:pPr>
            <w:r/>
            <w:r>
              <w:rPr>
                <w:rFonts w:ascii="宋体" w:hAnsi="宋体" w:eastAsia="宋体" w:cs="宋体"/>
                <w:b w:val="0"/>
                <w:i w:val="0"/>
                <w:color w:val="000000"/>
                <w:sz w:val="19"/>
              </w:rPr>
              <w:t>中国成人肺部健康研究（CPH Study，China Pulmonary Health Study），《柳叶刀》2019 年，DOI 10.1016/S0140-6736(19)31147-X</w:t>
            </w:r>
          </w:p>
        </w:tc>
      </w:tr>
      <w:tr>
        <w:tc>
          <w:tcPr>
            <w:tcW w:type="dxa" w:w="2282"/>
            <w:shd w:val="clear" w:color="auto" w:fill="EDF3F9"/>
          </w:tcPr>
          <w:p>
            <w:pPr>
              <w:spacing w:after="0" w:line="276" w:lineRule="auto"/>
            </w:pPr>
            <w:r/>
            <w:r>
              <w:rPr>
                <w:rFonts w:ascii="宋体" w:hAnsi="宋体" w:eastAsia="宋体" w:cs="宋体"/>
                <w:b w:val="0"/>
                <w:i w:val="0"/>
                <w:color w:val="000000"/>
                <w:sz w:val="19"/>
              </w:rPr>
              <w:t>哮喘诊断与治疗缺口</w:t>
            </w:r>
          </w:p>
        </w:tc>
        <w:tc>
          <w:tcPr>
            <w:tcW w:type="dxa" w:w="1940"/>
            <w:shd w:val="clear" w:color="auto" w:fill="EDF3F9"/>
          </w:tcPr>
          <w:p>
            <w:pPr>
              <w:spacing w:after="0" w:line="276" w:lineRule="auto"/>
            </w:pPr>
            <w:r/>
            <w:r>
              <w:rPr>
                <w:rFonts w:ascii="宋体" w:hAnsi="宋体" w:eastAsia="宋体" w:cs="宋体"/>
                <w:b w:val="0"/>
                <w:i w:val="0"/>
                <w:color w:val="000000"/>
                <w:sz w:val="19"/>
              </w:rPr>
              <w:t>71.2% 从未被医生诊断；仅 5.6% 接受规范吸入激素（ICS）治疗；26.2%（约 1,310 万人）伴肺功能气流受限</w:t>
            </w:r>
          </w:p>
        </w:tc>
        <w:tc>
          <w:tcPr>
            <w:tcW w:type="dxa" w:w="4906"/>
            <w:shd w:val="clear" w:color="auto" w:fill="EDF3F9"/>
          </w:tcPr>
          <w:p>
            <w:pPr>
              <w:spacing w:after="0" w:line="276" w:lineRule="auto"/>
            </w:pPr>
            <w:r/>
            <w:r>
              <w:rPr>
                <w:rFonts w:ascii="宋体" w:hAnsi="宋体" w:eastAsia="宋体" w:cs="宋体"/>
                <w:b w:val="0"/>
                <w:i w:val="0"/>
                <w:color w:val="000000"/>
                <w:sz w:val="19"/>
              </w:rPr>
              <w:t>同一研究口径；说明“症状学早筛与转诊触发”的价值不小于已确诊患者的长期管理</w:t>
            </w:r>
          </w:p>
        </w:tc>
      </w:tr>
      <w:tr>
        <w:tc>
          <w:tcPr>
            <w:tcW w:type="dxa" w:w="2282"/>
          </w:tcPr>
          <w:p>
            <w:pPr>
              <w:spacing w:after="0" w:line="276" w:lineRule="auto"/>
            </w:pPr>
            <w:r/>
            <w:r>
              <w:rPr>
                <w:rFonts w:ascii="宋体" w:hAnsi="宋体" w:eastAsia="宋体" w:cs="宋体"/>
                <w:b w:val="0"/>
                <w:i w:val="0"/>
                <w:color w:val="000000"/>
                <w:sz w:val="19"/>
              </w:rPr>
              <w:t>中国慢阻肺（COPD）</w:t>
            </w:r>
          </w:p>
        </w:tc>
        <w:tc>
          <w:tcPr>
            <w:tcW w:type="dxa" w:w="1940"/>
          </w:tcPr>
          <w:p>
            <w:pPr>
              <w:spacing w:after="0" w:line="276" w:lineRule="auto"/>
            </w:pPr>
            <w:r/>
            <w:r>
              <w:rPr>
                <w:rFonts w:ascii="宋体" w:hAnsi="宋体" w:eastAsia="宋体" w:cs="宋体"/>
                <w:b w:val="0"/>
                <w:i w:val="0"/>
                <w:color w:val="000000"/>
                <w:sz w:val="19"/>
              </w:rPr>
              <w:t>患病率 8.6%（20 岁及以上）、13.7%（40 岁及以上）、超过 27%（60 岁及以上）；患者约 9,990 万</w:t>
            </w:r>
          </w:p>
        </w:tc>
        <w:tc>
          <w:tcPr>
            <w:tcW w:type="dxa" w:w="4906"/>
          </w:tcPr>
          <w:p>
            <w:pPr>
              <w:spacing w:after="0" w:line="276" w:lineRule="auto"/>
            </w:pPr>
            <w:r/>
            <w:r>
              <w:rPr>
                <w:rFonts w:ascii="宋体" w:hAnsi="宋体" w:eastAsia="宋体" w:cs="宋体"/>
                <w:b w:val="0"/>
                <w:i w:val="0"/>
                <w:color w:val="000000"/>
                <w:sz w:val="19"/>
              </w:rPr>
              <w:t>CPH Study 首项成果，《柳叶刀》2018 年；与哮喘数据同源，口径一致</w:t>
            </w:r>
          </w:p>
        </w:tc>
      </w:tr>
      <w:tr>
        <w:tc>
          <w:tcPr>
            <w:tcW w:type="dxa" w:w="2282"/>
            <w:shd w:val="clear" w:color="auto" w:fill="EDF3F9"/>
          </w:tcPr>
          <w:p>
            <w:pPr>
              <w:spacing w:after="0" w:line="276" w:lineRule="auto"/>
            </w:pPr>
            <w:r/>
            <w:r>
              <w:rPr>
                <w:rFonts w:ascii="宋体" w:hAnsi="宋体" w:eastAsia="宋体" w:cs="宋体"/>
                <w:b w:val="0"/>
                <w:i w:val="0"/>
                <w:color w:val="000000"/>
                <w:sz w:val="19"/>
              </w:rPr>
              <w:t>慢阻肺知晓与诊断缺口</w:t>
            </w:r>
          </w:p>
        </w:tc>
        <w:tc>
          <w:tcPr>
            <w:tcW w:type="dxa" w:w="1940"/>
            <w:shd w:val="clear" w:color="auto" w:fill="EDF3F9"/>
          </w:tcPr>
          <w:p>
            <w:pPr>
              <w:spacing w:after="0" w:line="276" w:lineRule="auto"/>
            </w:pPr>
            <w:r/>
            <w:r>
              <w:rPr>
                <w:rFonts w:ascii="宋体" w:hAnsi="宋体" w:eastAsia="宋体" w:cs="宋体"/>
                <w:b w:val="0"/>
                <w:i w:val="0"/>
                <w:color w:val="000000"/>
                <w:sz w:val="19"/>
              </w:rPr>
              <w:t>患者中不足 3% 知晓自己患病、90% 从未获明确诊断；约 60% 无明显咳嗽咳痰喘息症状</w:t>
            </w:r>
          </w:p>
        </w:tc>
        <w:tc>
          <w:tcPr>
            <w:tcW w:type="dxa" w:w="4906"/>
            <w:shd w:val="clear" w:color="auto" w:fill="EDF3F9"/>
          </w:tcPr>
          <w:p>
            <w:pPr>
              <w:spacing w:after="0" w:line="276" w:lineRule="auto"/>
            </w:pPr>
            <w:r/>
            <w:r>
              <w:rPr>
                <w:rFonts w:ascii="宋体" w:hAnsi="宋体" w:eastAsia="宋体" w:cs="宋体"/>
                <w:b w:val="0"/>
                <w:i w:val="0"/>
                <w:color w:val="000000"/>
                <w:sz w:val="19"/>
              </w:rPr>
              <w:t>同一研究口径；无症状比例高意味着仅靠症状主诉无法发现患者，需要低成本、可规模化的客观测量手段</w:t>
            </w:r>
          </w:p>
        </w:tc>
      </w:tr>
      <w:tr>
        <w:tc>
          <w:tcPr>
            <w:tcW w:type="dxa" w:w="2282"/>
          </w:tcPr>
          <w:p>
            <w:pPr>
              <w:spacing w:after="0" w:line="276" w:lineRule="auto"/>
            </w:pPr>
            <w:r/>
            <w:r>
              <w:rPr>
                <w:rFonts w:ascii="宋体" w:hAnsi="宋体" w:eastAsia="宋体" w:cs="宋体"/>
                <w:b w:val="0"/>
                <w:i w:val="0"/>
                <w:color w:val="000000"/>
                <w:sz w:val="19"/>
              </w:rPr>
              <w:t>儿童哮喘</w:t>
            </w:r>
          </w:p>
        </w:tc>
        <w:tc>
          <w:tcPr>
            <w:tcW w:type="dxa" w:w="1940"/>
          </w:tcPr>
          <w:p>
            <w:pPr>
              <w:spacing w:after="0" w:line="276" w:lineRule="auto"/>
            </w:pPr>
            <w:r/>
            <w:r>
              <w:rPr>
                <w:rFonts w:ascii="宋体" w:hAnsi="宋体" w:eastAsia="宋体" w:cs="宋体"/>
                <w:b w:val="0"/>
                <w:i w:val="0"/>
                <w:color w:val="000000"/>
                <w:sz w:val="19"/>
              </w:rPr>
              <w:t>患者超过 1,000 万；整体控制率不足 50%</w:t>
            </w:r>
          </w:p>
        </w:tc>
        <w:tc>
          <w:tcPr>
            <w:tcW w:type="dxa" w:w="4906"/>
          </w:tcPr>
          <w:p>
            <w:pPr>
              <w:spacing w:after="0" w:line="276" w:lineRule="auto"/>
            </w:pPr>
            <w:r/>
            <w:r>
              <w:rPr>
                <w:rFonts w:ascii="宋体" w:hAnsi="宋体" w:eastAsia="宋体" w:cs="宋体"/>
                <w:b w:val="0"/>
                <w:i w:val="0"/>
                <w:color w:val="000000"/>
                <w:sz w:val="19"/>
              </w:rPr>
              <w:t>国家儿童医学中心 申昆玲，中华医学信息导报 2025 年；儿童哮喘患病率的具体百分比与最新一次全国流行病学调查数值【待核实】</w:t>
            </w:r>
          </w:p>
        </w:tc>
      </w:tr>
      <w:tr>
        <w:tc>
          <w:tcPr>
            <w:tcW w:type="dxa" w:w="2282"/>
            <w:shd w:val="clear" w:color="auto" w:fill="EDF3F9"/>
          </w:tcPr>
          <w:p>
            <w:pPr>
              <w:spacing w:after="0" w:line="276" w:lineRule="auto"/>
            </w:pPr>
            <w:r/>
            <w:r>
              <w:rPr>
                <w:rFonts w:ascii="宋体" w:hAnsi="宋体" w:eastAsia="宋体" w:cs="宋体"/>
                <w:b w:val="0"/>
                <w:i w:val="0"/>
                <w:color w:val="000000"/>
                <w:sz w:val="19"/>
              </w:rPr>
              <w:t>呼吸慢病合计与价值主张</w:t>
            </w:r>
          </w:p>
        </w:tc>
        <w:tc>
          <w:tcPr>
            <w:tcW w:type="dxa" w:w="1940"/>
            <w:shd w:val="clear" w:color="auto" w:fill="EDF3F9"/>
          </w:tcPr>
          <w:p>
            <w:pPr>
              <w:spacing w:after="0" w:line="276" w:lineRule="auto"/>
            </w:pPr>
            <w:r/>
            <w:r>
              <w:rPr>
                <w:rFonts w:ascii="宋体" w:hAnsi="宋体" w:eastAsia="宋体" w:cs="宋体"/>
                <w:b w:val="0"/>
                <w:i w:val="0"/>
                <w:color w:val="000000"/>
                <w:sz w:val="19"/>
              </w:rPr>
              <w:t>哮喘与慢阻肺合计超 1.4 亿，含儿童哮喘合计超 1.5 亿；诊断缺口与管理缺口并存</w:t>
            </w:r>
          </w:p>
        </w:tc>
        <w:tc>
          <w:tcPr>
            <w:tcW w:type="dxa" w:w="4906"/>
            <w:shd w:val="clear" w:color="auto" w:fill="EDF3F9"/>
          </w:tcPr>
          <w:p>
            <w:pPr>
              <w:spacing w:after="0" w:line="276" w:lineRule="auto"/>
            </w:pPr>
            <w:r/>
            <w:r>
              <w:rPr>
                <w:rFonts w:ascii="宋体" w:hAnsi="宋体" w:eastAsia="宋体" w:cs="宋体"/>
                <w:b w:val="0"/>
                <w:i w:val="0"/>
                <w:color w:val="000000"/>
                <w:sz w:val="19"/>
              </w:rPr>
              <w:t>项目结论：价值主张应同时覆盖“症状学早筛 / 转诊触发”与“已确诊患者的长期管理”两条路径</w:t>
            </w:r>
          </w:p>
        </w:tc>
      </w:tr>
      <w:tr>
        <w:tc>
          <w:tcPr>
            <w:tcW w:type="dxa" w:w="2282"/>
          </w:tcPr>
          <w:p>
            <w:pPr>
              <w:spacing w:after="0" w:line="276" w:lineRule="auto"/>
            </w:pPr>
            <w:r/>
            <w:r>
              <w:rPr>
                <w:rFonts w:ascii="宋体" w:hAnsi="宋体" w:eastAsia="宋体" w:cs="宋体"/>
                <w:b w:val="0"/>
                <w:i w:val="0"/>
                <w:color w:val="000000"/>
                <w:sz w:val="19"/>
              </w:rPr>
              <w:t>吸烟人群</w:t>
            </w:r>
          </w:p>
        </w:tc>
        <w:tc>
          <w:tcPr>
            <w:tcW w:type="dxa" w:w="1940"/>
          </w:tcPr>
          <w:p>
            <w:pPr>
              <w:spacing w:after="0" w:line="276" w:lineRule="auto"/>
            </w:pPr>
            <w:r/>
            <w:r>
              <w:rPr>
                <w:rFonts w:ascii="宋体" w:hAnsi="宋体" w:eastAsia="宋体" w:cs="宋体"/>
                <w:b w:val="0"/>
                <w:i w:val="0"/>
                <w:color w:val="000000"/>
                <w:sz w:val="19"/>
              </w:rPr>
              <w:t>3 亿以上</w:t>
            </w:r>
          </w:p>
        </w:tc>
        <w:tc>
          <w:tcPr>
            <w:tcW w:type="dxa" w:w="4906"/>
          </w:tcPr>
          <w:p>
            <w:pPr>
              <w:spacing w:after="0" w:line="276" w:lineRule="auto"/>
            </w:pPr>
            <w:r/>
            <w:r>
              <w:rPr>
                <w:rFonts w:ascii="宋体" w:hAnsi="宋体" w:eastAsia="宋体" w:cs="宋体"/>
                <w:b w:val="0"/>
                <w:i w:val="0"/>
                <w:color w:val="000000"/>
                <w:sz w:val="19"/>
              </w:rPr>
              <w:t>国家卫生健康部门公开发布口径，是慢阻肺主要危险因素</w:t>
            </w:r>
          </w:p>
        </w:tc>
      </w:tr>
      <w:tr>
        <w:tc>
          <w:tcPr>
            <w:tcW w:type="dxa" w:w="2282"/>
            <w:shd w:val="clear" w:color="auto" w:fill="EDF3F9"/>
          </w:tcPr>
          <w:p>
            <w:pPr>
              <w:spacing w:after="0" w:line="276" w:lineRule="auto"/>
            </w:pPr>
            <w:r/>
            <w:r>
              <w:rPr>
                <w:rFonts w:ascii="宋体" w:hAnsi="宋体" w:eastAsia="宋体" w:cs="宋体"/>
                <w:b w:val="0"/>
                <w:i w:val="0"/>
                <w:color w:val="000000"/>
                <w:sz w:val="19"/>
              </w:rPr>
              <w:t>慢阻肺疾病负担</w:t>
            </w:r>
          </w:p>
        </w:tc>
        <w:tc>
          <w:tcPr>
            <w:tcW w:type="dxa" w:w="1940"/>
            <w:shd w:val="clear" w:color="auto" w:fill="EDF3F9"/>
          </w:tcPr>
          <w:p>
            <w:pPr>
              <w:spacing w:after="0" w:line="276" w:lineRule="auto"/>
            </w:pPr>
            <w:r/>
            <w:r>
              <w:rPr>
                <w:rFonts w:ascii="宋体" w:hAnsi="宋体" w:eastAsia="宋体" w:cs="宋体"/>
                <w:b w:val="0"/>
                <w:i w:val="0"/>
                <w:color w:val="000000"/>
                <w:sz w:val="19"/>
              </w:rPr>
              <w:t>我国主要死因之一</w:t>
            </w:r>
          </w:p>
        </w:tc>
        <w:tc>
          <w:tcPr>
            <w:tcW w:type="dxa" w:w="4906"/>
            <w:shd w:val="clear" w:color="auto" w:fill="EDF3F9"/>
          </w:tcPr>
          <w:p>
            <w:pPr>
              <w:spacing w:after="0" w:line="276" w:lineRule="auto"/>
            </w:pPr>
            <w:r/>
            <w:r>
              <w:rPr>
                <w:rFonts w:ascii="宋体" w:hAnsi="宋体" w:eastAsia="宋体" w:cs="宋体"/>
                <w:b w:val="0"/>
                <w:i w:val="0"/>
                <w:color w:val="000000"/>
                <w:sz w:val="19"/>
              </w:rPr>
              <w:t>全球疾病负担研究口径，具体顺位与最新年份数据【待核实】</w:t>
            </w:r>
          </w:p>
        </w:tc>
      </w:tr>
      <w:tr>
        <w:tc>
          <w:tcPr>
            <w:tcW w:type="dxa" w:w="2282"/>
          </w:tcPr>
          <w:p>
            <w:pPr>
              <w:spacing w:after="0" w:line="276" w:lineRule="auto"/>
            </w:pPr>
            <w:r/>
            <w:r>
              <w:rPr>
                <w:rFonts w:ascii="宋体" w:hAnsi="宋体" w:eastAsia="宋体" w:cs="宋体"/>
                <w:b w:val="0"/>
                <w:i w:val="0"/>
                <w:color w:val="000000"/>
                <w:sz w:val="19"/>
              </w:rPr>
              <w:t>呼吸慢病院外连续监测渗透率</w:t>
            </w:r>
          </w:p>
        </w:tc>
        <w:tc>
          <w:tcPr>
            <w:tcW w:type="dxa" w:w="1940"/>
          </w:tcPr>
          <w:p>
            <w:pPr>
              <w:spacing w:after="0" w:line="276" w:lineRule="auto"/>
            </w:pPr>
            <w:r/>
            <w:r>
              <w:rPr>
                <w:rFonts w:ascii="宋体" w:hAnsi="宋体" w:eastAsia="宋体" w:cs="宋体"/>
                <w:b w:val="0"/>
                <w:i w:val="0"/>
                <w:color w:val="000000"/>
                <w:sz w:val="19"/>
              </w:rPr>
              <w:t>极低：现有院外手段以症状日记与峰流速为主</w:t>
            </w:r>
          </w:p>
        </w:tc>
        <w:tc>
          <w:tcPr>
            <w:tcW w:type="dxa" w:w="4906"/>
          </w:tcPr>
          <w:p>
            <w:pPr>
              <w:spacing w:after="0" w:line="276" w:lineRule="auto"/>
            </w:pPr>
            <w:r/>
            <w:r>
              <w:rPr>
                <w:rFonts w:ascii="宋体" w:hAnsi="宋体" w:eastAsia="宋体" w:cs="宋体"/>
                <w:b w:val="0"/>
                <w:i w:val="0"/>
                <w:color w:val="000000"/>
                <w:sz w:val="19"/>
              </w:rPr>
              <w:t>定性判断：临床试验级 24 小时咳嗽记录仪（莱斯特、VitaloJAK、Strados RESP）单价高、按项目租赁，面向科研与注册试验，尚未进入家庭长期管理场景</w:t>
            </w:r>
          </w:p>
        </w:tc>
      </w:tr>
    </w:tbl>
    <w:p>
      <w:pPr>
        <w:spacing w:after="40"/>
      </w:pPr>
    </w:p>
    <w:p>
      <w:pPr>
        <w:spacing w:after="80"/>
        <w:jc w:val="left"/>
      </w:pPr>
      <w:r>
        <w:rPr>
          <w:rFonts w:ascii="宋体" w:hAnsi="宋体" w:eastAsia="宋体" w:cs="宋体"/>
          <w:b w:val="0"/>
          <w:i w:val="0"/>
          <w:color w:val="595959"/>
          <w:sz w:val="18"/>
        </w:rPr>
        <w:t>注：流行病学数据请以最新权威文献与官方统计为准，引用前请核对原文口径（见附录 B）。</w:t>
      </w:r>
    </w:p>
    <w:p>
      <w:pPr>
        <w:pStyle w:val="Heading3"/>
      </w:pPr>
      <w:r>
        <w:rPr>
          <w:rFonts w:ascii="宋体" w:hAnsi="宋体" w:eastAsia="宋体" w:cs="宋体"/>
          <w:b/>
          <w:i w:val="0"/>
          <w:color w:val="2E74B5"/>
          <w:sz w:val="22"/>
        </w:rPr>
        <w:t>8.1.2 市场规模测算（自下而上）</w:t>
      </w:r>
    </w:p>
    <w:p>
      <w:pPr>
        <w:spacing w:after="80"/>
        <w:ind w:firstLine="420"/>
      </w:pPr>
      <w:r>
        <w:rPr>
          <w:rFonts w:ascii="宋体" w:hAnsi="宋体" w:eastAsia="宋体" w:cs="宋体"/>
          <w:b w:val="0"/>
          <w:i w:val="0"/>
          <w:color w:val="000000"/>
          <w:sz w:val="21"/>
        </w:rPr>
        <w:t>采用自下而上的方法，从可获得的目标客户数量与客单价出发推算可服务市场，避免直接引用口径不清的行业报告数字。</w:t>
      </w:r>
    </w:p>
    <w:tbl>
      <w:tblPr>
        <w:tblStyle w:val="TableGrid"/>
        <w:jc w:val="center"/>
        <w:tblLook w:firstColumn="1" w:firstRow="1" w:lastColumn="0" w:lastRow="0" w:noHBand="0" w:noVBand="1" w:val="04A0"/>
        <w:tblCellMar>
          <w:top w:w="60" w:type="dxa"/>
          <w:left w:w="90" w:type="dxa"/>
          <w:bottom w:w="60" w:type="dxa"/>
          <w:right w:w="90" w:type="dxa"/>
        </w:tblCellMar>
        <w:tblW w:w="9129" w:type="dxa"/>
        <w:tblLayout w:type="fixed"/>
      </w:tblPr>
      <w:tblGrid>
        <w:gridCol w:w="1826"/>
        <w:gridCol w:w="1712"/>
        <w:gridCol w:w="1712"/>
        <w:gridCol w:w="1940"/>
        <w:gridCol w:w="1940"/>
      </w:tblGrid>
      <w:tr>
        <w:trPr>
          <w:tblHeader w:val="true"/>
        </w:trPr>
        <w:tc>
          <w:tcPr>
            <w:tcW w:type="dxa" w:w="1826"/>
            <w:shd w:val="clear" w:color="auto" w:fill="1F4E79"/>
          </w:tcPr>
          <w:p>
            <w:pPr>
              <w:spacing w:after="0" w:line="276" w:lineRule="auto"/>
              <w:jc w:val="center"/>
            </w:pPr>
            <w:r/>
            <w:r>
              <w:rPr>
                <w:rFonts w:ascii="宋体" w:hAnsi="宋体" w:eastAsia="宋体" w:cs="宋体"/>
                <w:b/>
                <w:i w:val="0"/>
                <w:color w:val="FFFFFF"/>
                <w:sz w:val="19"/>
              </w:rPr>
              <w:t>客户群</w:t>
            </w:r>
          </w:p>
        </w:tc>
        <w:tc>
          <w:tcPr>
            <w:tcW w:type="dxa" w:w="1711"/>
            <w:shd w:val="clear" w:color="auto" w:fill="1F4E79"/>
          </w:tcPr>
          <w:p>
            <w:pPr>
              <w:spacing w:after="0" w:line="276" w:lineRule="auto"/>
              <w:jc w:val="center"/>
            </w:pPr>
            <w:r/>
            <w:r>
              <w:rPr>
                <w:rFonts w:ascii="宋体" w:hAnsi="宋体" w:eastAsia="宋体" w:cs="宋体"/>
                <w:b/>
                <w:i w:val="0"/>
                <w:color w:val="FFFFFF"/>
                <w:sz w:val="19"/>
              </w:rPr>
              <w:t>目标客户数（可及）</w:t>
            </w:r>
          </w:p>
        </w:tc>
        <w:tc>
          <w:tcPr>
            <w:tcW w:type="dxa" w:w="1711"/>
            <w:shd w:val="clear" w:color="auto" w:fill="1F4E79"/>
          </w:tcPr>
          <w:p>
            <w:pPr>
              <w:spacing w:after="0" w:line="276" w:lineRule="auto"/>
              <w:jc w:val="center"/>
            </w:pPr>
            <w:r/>
            <w:r>
              <w:rPr>
                <w:rFonts w:ascii="宋体" w:hAnsi="宋体" w:eastAsia="宋体" w:cs="宋体"/>
                <w:b/>
                <w:i w:val="0"/>
                <w:color w:val="FFFFFF"/>
                <w:sz w:val="19"/>
              </w:rPr>
              <w:t>客单价假设</w:t>
            </w:r>
          </w:p>
        </w:tc>
        <w:tc>
          <w:tcPr>
            <w:tcW w:type="dxa" w:w="1940"/>
            <w:shd w:val="clear" w:color="auto" w:fill="1F4E79"/>
          </w:tcPr>
          <w:p>
            <w:pPr>
              <w:spacing w:after="0" w:line="276" w:lineRule="auto"/>
              <w:jc w:val="center"/>
            </w:pPr>
            <w:r/>
            <w:r>
              <w:rPr>
                <w:rFonts w:ascii="宋体" w:hAnsi="宋体" w:eastAsia="宋体" w:cs="宋体"/>
                <w:b/>
                <w:i w:val="0"/>
                <w:color w:val="FFFFFF"/>
                <w:sz w:val="19"/>
              </w:rPr>
              <w:t>年市场规模估算</w:t>
            </w:r>
          </w:p>
        </w:tc>
        <w:tc>
          <w:tcPr>
            <w:tcW w:type="dxa" w:w="1940"/>
            <w:shd w:val="clear" w:color="auto" w:fill="1F4E79"/>
          </w:tcPr>
          <w:p>
            <w:pPr>
              <w:spacing w:after="0" w:line="276" w:lineRule="auto"/>
              <w:jc w:val="center"/>
            </w:pPr>
            <w:r/>
            <w:r>
              <w:rPr>
                <w:rFonts w:ascii="宋体" w:hAnsi="宋体" w:eastAsia="宋体" w:cs="宋体"/>
                <w:b/>
                <w:i w:val="0"/>
                <w:color w:val="FFFFFF"/>
                <w:sz w:val="19"/>
              </w:rPr>
              <w:t>测算依据</w:t>
            </w:r>
          </w:p>
        </w:tc>
      </w:tr>
      <w:tr>
        <w:tc>
          <w:tcPr>
            <w:tcW w:type="dxa" w:w="1826"/>
          </w:tcPr>
          <w:p>
            <w:pPr>
              <w:spacing w:after="0" w:line="276" w:lineRule="auto"/>
            </w:pPr>
            <w:r/>
            <w:r>
              <w:rPr>
                <w:rFonts w:ascii="宋体" w:hAnsi="宋体" w:eastAsia="宋体" w:cs="宋体"/>
                <w:b w:val="0"/>
                <w:i w:val="0"/>
                <w:color w:val="000000"/>
                <w:sz w:val="19"/>
              </w:rPr>
              <w:t>二三级医院呼吸科</w:t>
            </w:r>
          </w:p>
        </w:tc>
        <w:tc>
          <w:tcPr>
            <w:tcW w:type="dxa" w:w="1711"/>
          </w:tcPr>
          <w:p>
            <w:pPr>
              <w:spacing w:after="0" w:line="276" w:lineRule="auto"/>
            </w:pPr>
            <w:r/>
            <w:r>
              <w:rPr>
                <w:rFonts w:ascii="宋体" w:hAnsi="宋体" w:eastAsia="宋体" w:cs="宋体"/>
                <w:b w:val="0"/>
                <w:i w:val="0"/>
                <w:color w:val="000000"/>
                <w:sz w:val="19"/>
              </w:rPr>
              <w:t>约 2,000 个科室（按 2 万家医院中 10% 早期渗透）</w:t>
            </w:r>
          </w:p>
        </w:tc>
        <w:tc>
          <w:tcPr>
            <w:tcW w:type="dxa" w:w="1711"/>
          </w:tcPr>
          <w:p>
            <w:pPr>
              <w:spacing w:after="0" w:line="276" w:lineRule="auto"/>
            </w:pPr>
            <w:r/>
            <w:r>
              <w:rPr>
                <w:rFonts w:ascii="宋体" w:hAnsi="宋体" w:eastAsia="宋体" w:cs="宋体"/>
                <w:b w:val="0"/>
                <w:i w:val="0"/>
                <w:color w:val="000000"/>
                <w:sz w:val="19"/>
              </w:rPr>
              <w:t>5–20 万元/年（设备 + 服务）</w:t>
            </w:r>
          </w:p>
        </w:tc>
        <w:tc>
          <w:tcPr>
            <w:tcW w:type="dxa" w:w="1940"/>
          </w:tcPr>
          <w:p>
            <w:pPr>
              <w:spacing w:after="0" w:line="276" w:lineRule="auto"/>
            </w:pPr>
            <w:r/>
            <w:r>
              <w:rPr>
                <w:rFonts w:ascii="宋体" w:hAnsi="宋体" w:eastAsia="宋体" w:cs="宋体"/>
                <w:b w:val="0"/>
                <w:i w:val="0"/>
                <w:color w:val="000000"/>
                <w:sz w:val="19"/>
              </w:rPr>
              <w:t>约 1–4 亿元</w:t>
            </w:r>
          </w:p>
        </w:tc>
        <w:tc>
          <w:tcPr>
            <w:tcW w:type="dxa" w:w="1940"/>
          </w:tcPr>
          <w:p>
            <w:pPr>
              <w:spacing w:after="0" w:line="276" w:lineRule="auto"/>
            </w:pPr>
            <w:r/>
            <w:r>
              <w:rPr>
                <w:rFonts w:ascii="宋体" w:hAnsi="宋体" w:eastAsia="宋体" w:cs="宋体"/>
                <w:b w:val="0"/>
                <w:i w:val="0"/>
                <w:color w:val="000000"/>
                <w:sz w:val="19"/>
              </w:rPr>
              <w:t>需以医疗器械注册证为前提；国内肺音 AI 已跑通第二类“临床参考”路径（肺音数据处理软件，鲁械注准 20222210799）。医院实际采购客单价【待核实，建议以政府采购网招标公告核算】</w:t>
            </w:r>
          </w:p>
        </w:tc>
      </w:tr>
      <w:tr>
        <w:tc>
          <w:tcPr>
            <w:tcW w:type="dxa" w:w="1826"/>
            <w:shd w:val="clear" w:color="auto" w:fill="EDF3F9"/>
          </w:tcPr>
          <w:p>
            <w:pPr>
              <w:spacing w:after="0" w:line="276" w:lineRule="auto"/>
            </w:pPr>
            <w:r/>
            <w:r>
              <w:rPr>
                <w:rFonts w:ascii="宋体" w:hAnsi="宋体" w:eastAsia="宋体" w:cs="宋体"/>
                <w:b w:val="0"/>
                <w:i w:val="0"/>
                <w:color w:val="000000"/>
                <w:sz w:val="19"/>
              </w:rPr>
              <w:t>基层医疗机构 / 家庭医生</w:t>
            </w:r>
          </w:p>
        </w:tc>
        <w:tc>
          <w:tcPr>
            <w:tcW w:type="dxa" w:w="1711"/>
            <w:shd w:val="clear" w:color="auto" w:fill="EDF3F9"/>
          </w:tcPr>
          <w:p>
            <w:pPr>
              <w:spacing w:after="0" w:line="276" w:lineRule="auto"/>
            </w:pPr>
            <w:r/>
            <w:r>
              <w:rPr>
                <w:rFonts w:ascii="宋体" w:hAnsi="宋体" w:eastAsia="宋体" w:cs="宋体"/>
                <w:b w:val="0"/>
                <w:i w:val="0"/>
                <w:color w:val="000000"/>
                <w:sz w:val="19"/>
              </w:rPr>
              <w:t>约 3,000 家（社区卫生服务中心 / 乡镇卫生院）</w:t>
            </w:r>
          </w:p>
        </w:tc>
        <w:tc>
          <w:tcPr>
            <w:tcW w:type="dxa" w:w="1711"/>
            <w:shd w:val="clear" w:color="auto" w:fill="EDF3F9"/>
          </w:tcPr>
          <w:p>
            <w:pPr>
              <w:spacing w:after="0" w:line="276" w:lineRule="auto"/>
            </w:pPr>
            <w:r/>
            <w:r>
              <w:rPr>
                <w:rFonts w:ascii="宋体" w:hAnsi="宋体" w:eastAsia="宋体" w:cs="宋体"/>
                <w:b w:val="0"/>
                <w:i w:val="0"/>
                <w:color w:val="000000"/>
                <w:sz w:val="19"/>
              </w:rPr>
              <w:t>2–5 万元/年</w:t>
            </w:r>
          </w:p>
        </w:tc>
        <w:tc>
          <w:tcPr>
            <w:tcW w:type="dxa" w:w="1940"/>
            <w:shd w:val="clear" w:color="auto" w:fill="EDF3F9"/>
          </w:tcPr>
          <w:p>
            <w:pPr>
              <w:spacing w:after="0" w:line="276" w:lineRule="auto"/>
            </w:pPr>
            <w:r/>
            <w:r>
              <w:rPr>
                <w:rFonts w:ascii="宋体" w:hAnsi="宋体" w:eastAsia="宋体" w:cs="宋体"/>
                <w:b w:val="0"/>
                <w:i w:val="0"/>
                <w:color w:val="000000"/>
                <w:sz w:val="19"/>
              </w:rPr>
              <w:t>约 0.6–1.5 亿元</w:t>
            </w:r>
          </w:p>
        </w:tc>
        <w:tc>
          <w:tcPr>
            <w:tcW w:type="dxa" w:w="1940"/>
            <w:shd w:val="clear" w:color="auto" w:fill="EDF3F9"/>
          </w:tcPr>
          <w:p>
            <w:pPr>
              <w:spacing w:after="0" w:line="276" w:lineRule="auto"/>
            </w:pPr>
            <w:r/>
            <w:r>
              <w:rPr>
                <w:rFonts w:ascii="宋体" w:hAnsi="宋体" w:eastAsia="宋体" w:cs="宋体"/>
                <w:b w:val="0"/>
                <w:i w:val="0"/>
                <w:color w:val="000000"/>
                <w:sz w:val="19"/>
              </w:rPr>
              <w:t>《健康中国行动——慢性呼吸系统疾病防治行动实施方案（2024—2030 年）》（国家卫生健康委，2024 年 7 月）明确推进分级诊疗、加强早期筛查与早诊早治、提升基层防治服务能力，家庭医生签约服务提供落地载体</w:t>
            </w:r>
          </w:p>
        </w:tc>
      </w:tr>
      <w:tr>
        <w:tc>
          <w:tcPr>
            <w:tcW w:type="dxa" w:w="1826"/>
          </w:tcPr>
          <w:p>
            <w:pPr>
              <w:spacing w:after="0" w:line="276" w:lineRule="auto"/>
            </w:pPr>
            <w:r/>
            <w:r>
              <w:rPr>
                <w:rFonts w:ascii="宋体" w:hAnsi="宋体" w:eastAsia="宋体" w:cs="宋体"/>
                <w:b w:val="0"/>
                <w:i w:val="0"/>
                <w:color w:val="000000"/>
                <w:sz w:val="19"/>
              </w:rPr>
              <w:t>C 端患者与家庭</w:t>
            </w:r>
          </w:p>
        </w:tc>
        <w:tc>
          <w:tcPr>
            <w:tcW w:type="dxa" w:w="1711"/>
          </w:tcPr>
          <w:p>
            <w:pPr>
              <w:spacing w:after="0" w:line="276" w:lineRule="auto"/>
            </w:pPr>
            <w:r/>
            <w:r>
              <w:rPr>
                <w:rFonts w:ascii="宋体" w:hAnsi="宋体" w:eastAsia="宋体" w:cs="宋体"/>
                <w:b w:val="0"/>
                <w:i w:val="0"/>
                <w:color w:val="000000"/>
                <w:sz w:val="19"/>
              </w:rPr>
              <w:t>约 2 万付费用户（早期目标）</w:t>
            </w:r>
          </w:p>
        </w:tc>
        <w:tc>
          <w:tcPr>
            <w:tcW w:type="dxa" w:w="1711"/>
          </w:tcPr>
          <w:p>
            <w:pPr>
              <w:spacing w:after="0" w:line="276" w:lineRule="auto"/>
            </w:pPr>
            <w:r/>
            <w:r>
              <w:rPr>
                <w:rFonts w:ascii="宋体" w:hAnsi="宋体" w:eastAsia="宋体" w:cs="宋体"/>
                <w:b w:val="0"/>
                <w:i w:val="0"/>
                <w:color w:val="000000"/>
                <w:sz w:val="19"/>
              </w:rPr>
              <w:t>399–899 元/年（基础订阅）；另计硬件一次性收入</w:t>
            </w:r>
          </w:p>
        </w:tc>
        <w:tc>
          <w:tcPr>
            <w:tcW w:type="dxa" w:w="1940"/>
          </w:tcPr>
          <w:p>
            <w:pPr>
              <w:spacing w:after="0" w:line="276" w:lineRule="auto"/>
            </w:pPr>
            <w:r/>
            <w:r>
              <w:rPr>
                <w:rFonts w:ascii="宋体" w:hAnsi="宋体" w:eastAsia="宋体" w:cs="宋体"/>
                <w:b w:val="0"/>
                <w:i w:val="0"/>
                <w:color w:val="000000"/>
                <w:sz w:val="19"/>
              </w:rPr>
              <w:t>约 800–1,800 万元</w:t>
            </w:r>
          </w:p>
        </w:tc>
        <w:tc>
          <w:tcPr>
            <w:tcW w:type="dxa" w:w="1940"/>
          </w:tcPr>
          <w:p>
            <w:pPr>
              <w:spacing w:after="0" w:line="276" w:lineRule="auto"/>
            </w:pPr>
            <w:r/>
            <w:r>
              <w:rPr>
                <w:rFonts w:ascii="宋体" w:hAnsi="宋体" w:eastAsia="宋体" w:cs="宋体"/>
                <w:b w:val="0"/>
                <w:i w:val="0"/>
                <w:color w:val="000000"/>
                <w:sz w:val="19"/>
              </w:rPr>
              <w:t>中国慢病管理市场 2015 年 20,535 亿元 → 2024 年约 59,986 亿元（CAGR 12.6%），其中线上 466 亿 → 5,540 亿元；家用医疗器械 2019 年 1,224 亿元 → 2024 年 1,982 亿元，线上占比由 25% 升至 44.3%。支付方结构为个人自付 49%、基本医保 44%、商业健康险 7.7%，故 C 端定价必须落在家庭可自主决策的区间</w:t>
            </w:r>
          </w:p>
        </w:tc>
      </w:tr>
      <w:tr>
        <w:tc>
          <w:tcPr>
            <w:tcW w:type="dxa" w:w="1826"/>
            <w:shd w:val="clear" w:color="auto" w:fill="EDF3F9"/>
          </w:tcPr>
          <w:p>
            <w:pPr>
              <w:spacing w:after="0" w:line="276" w:lineRule="auto"/>
            </w:pPr>
            <w:r/>
            <w:r>
              <w:rPr>
                <w:rFonts w:ascii="宋体" w:hAnsi="宋体" w:eastAsia="宋体" w:cs="宋体"/>
                <w:b w:val="0"/>
                <w:i w:val="0"/>
                <w:color w:val="000000"/>
                <w:sz w:val="19"/>
              </w:rPr>
              <w:t>药企 / 临床研究机构</w:t>
            </w:r>
          </w:p>
        </w:tc>
        <w:tc>
          <w:tcPr>
            <w:tcW w:type="dxa" w:w="1711"/>
            <w:shd w:val="clear" w:color="auto" w:fill="EDF3F9"/>
          </w:tcPr>
          <w:p>
            <w:pPr>
              <w:spacing w:after="0" w:line="276" w:lineRule="auto"/>
            </w:pPr>
            <w:r/>
            <w:r>
              <w:rPr>
                <w:rFonts w:ascii="宋体" w:hAnsi="宋体" w:eastAsia="宋体" w:cs="宋体"/>
                <w:b w:val="0"/>
                <w:i w:val="0"/>
                <w:color w:val="000000"/>
                <w:sz w:val="19"/>
              </w:rPr>
              <w:t>约 20 个项目/年（早期目标）</w:t>
            </w:r>
          </w:p>
        </w:tc>
        <w:tc>
          <w:tcPr>
            <w:tcW w:type="dxa" w:w="1711"/>
            <w:shd w:val="clear" w:color="auto" w:fill="EDF3F9"/>
          </w:tcPr>
          <w:p>
            <w:pPr>
              <w:spacing w:after="0" w:line="276" w:lineRule="auto"/>
            </w:pPr>
            <w:r/>
            <w:r>
              <w:rPr>
                <w:rFonts w:ascii="宋体" w:hAnsi="宋体" w:eastAsia="宋体" w:cs="宋体"/>
                <w:b w:val="0"/>
                <w:i w:val="0"/>
                <w:color w:val="000000"/>
                <w:sz w:val="19"/>
              </w:rPr>
              <w:t>50–200 万元/项目</w:t>
            </w:r>
          </w:p>
        </w:tc>
        <w:tc>
          <w:tcPr>
            <w:tcW w:type="dxa" w:w="1940"/>
            <w:shd w:val="clear" w:color="auto" w:fill="EDF3F9"/>
          </w:tcPr>
          <w:p>
            <w:pPr>
              <w:spacing w:after="0" w:line="276" w:lineRule="auto"/>
            </w:pPr>
            <w:r/>
            <w:r>
              <w:rPr>
                <w:rFonts w:ascii="宋体" w:hAnsi="宋体" w:eastAsia="宋体" w:cs="宋体"/>
                <w:b w:val="0"/>
                <w:i w:val="0"/>
                <w:color w:val="000000"/>
                <w:sz w:val="19"/>
              </w:rPr>
              <w:t>约 1,000–4,000 万元</w:t>
            </w:r>
          </w:p>
        </w:tc>
        <w:tc>
          <w:tcPr>
            <w:tcW w:type="dxa" w:w="1940"/>
            <w:shd w:val="clear" w:color="auto" w:fill="EDF3F9"/>
          </w:tcPr>
          <w:p>
            <w:pPr>
              <w:spacing w:after="0" w:line="276" w:lineRule="auto"/>
            </w:pPr>
            <w:r/>
            <w:r>
              <w:rPr>
                <w:rFonts w:ascii="宋体" w:hAnsi="宋体" w:eastAsia="宋体" w:cs="宋体"/>
                <w:b w:val="0"/>
                <w:i w:val="0"/>
                <w:color w:val="000000"/>
                <w:sz w:val="19"/>
              </w:rPr>
              <w:t>勃林格殷格翰特发性肺纤维化（IPF，Idiopathic Pulmonary Fibrosis）咳嗽监测研究（荷兰 NL-OMON51409，2023 年起）以咳嗽频次（次/小时）为主要终点、12 周内 4 次 24 小时记录，并专门评估远程咳嗽数据采集的可行性；同类案例还包括 BI 1839100、Trevi Therapeutics 的纳布啡缓释片与 Hyfe 同 KYORIN 的合作。实际项目报价【待核实，行业普遍不公开报价】</w:t>
            </w:r>
          </w:p>
        </w:tc>
      </w:tr>
      <w:tr>
        <w:tc>
          <w:tcPr>
            <w:tcW w:type="dxa" w:w="1826"/>
          </w:tcPr>
          <w:p>
            <w:pPr>
              <w:spacing w:after="0" w:line="276" w:lineRule="auto"/>
            </w:pPr>
            <w:r/>
            <w:r>
              <w:rPr>
                <w:rFonts w:ascii="宋体" w:hAnsi="宋体" w:eastAsia="宋体" w:cs="宋体"/>
                <w:b w:val="0"/>
                <w:i w:val="0"/>
                <w:color w:val="000000"/>
                <w:sz w:val="19"/>
              </w:rPr>
              <w:t>支付方（惠民保 / 门诊慢特病 / 医保）</w:t>
            </w:r>
          </w:p>
        </w:tc>
        <w:tc>
          <w:tcPr>
            <w:tcW w:type="dxa" w:w="1711"/>
          </w:tcPr>
          <w:p>
            <w:pPr>
              <w:spacing w:after="0" w:line="276" w:lineRule="auto"/>
            </w:pPr>
            <w:r/>
            <w:r>
              <w:rPr>
                <w:rFonts w:ascii="宋体" w:hAnsi="宋体" w:eastAsia="宋体" w:cs="宋体"/>
                <w:b w:val="0"/>
                <w:i w:val="0"/>
                <w:color w:val="000000"/>
                <w:sz w:val="19"/>
              </w:rPr>
              <w:t>惠民保覆盖 333 个地市、参保超 7,000 万人</w:t>
            </w:r>
          </w:p>
        </w:tc>
        <w:tc>
          <w:tcPr>
            <w:tcW w:type="dxa" w:w="1711"/>
          </w:tcPr>
          <w:p>
            <w:pPr>
              <w:spacing w:after="0" w:line="276" w:lineRule="auto"/>
            </w:pPr>
            <w:r/>
            <w:r>
              <w:rPr>
                <w:rFonts w:ascii="宋体" w:hAnsi="宋体" w:eastAsia="宋体" w:cs="宋体"/>
                <w:b w:val="0"/>
                <w:i w:val="0"/>
                <w:color w:val="000000"/>
                <w:sz w:val="19"/>
              </w:rPr>
              <w:t>早期不单独定价，按服务包或项目结算</w:t>
            </w:r>
          </w:p>
        </w:tc>
        <w:tc>
          <w:tcPr>
            <w:tcW w:type="dxa" w:w="1940"/>
          </w:tcPr>
          <w:p>
            <w:pPr>
              <w:spacing w:after="0" w:line="276" w:lineRule="auto"/>
            </w:pPr>
            <w:r/>
            <w:r>
              <w:rPr>
                <w:rFonts w:ascii="宋体" w:hAnsi="宋体" w:eastAsia="宋体" w:cs="宋体"/>
                <w:b w:val="0"/>
                <w:i w:val="0"/>
                <w:color w:val="000000"/>
                <w:sz w:val="19"/>
              </w:rPr>
              <w:t>短期不构成主要收入</w:t>
            </w:r>
          </w:p>
        </w:tc>
        <w:tc>
          <w:tcPr>
            <w:tcW w:type="dxa" w:w="1940"/>
          </w:tcPr>
          <w:p>
            <w:pPr>
              <w:spacing w:after="0" w:line="276" w:lineRule="auto"/>
            </w:pPr>
            <w:r/>
            <w:r>
              <w:rPr>
                <w:rFonts w:ascii="宋体" w:hAnsi="宋体" w:eastAsia="宋体" w:cs="宋体"/>
                <w:b w:val="0"/>
                <w:i w:val="0"/>
                <w:color w:val="000000"/>
                <w:sz w:val="19"/>
              </w:rPr>
              <w:t>支付路径：C 端自费起量 → 惠民保 / 门诊慢特病 → 争取医保。惠民保在创新药械支付中占比仅约 1%，短期内不应作为主要支付方预期。另一项关键约束：中国数字疗法市场 2023 年仅 8.2 亿元，说明纯软件订阅尚未跑通，本项目必须以硬件为载体收费、软件作增值</w:t>
            </w:r>
          </w:p>
        </w:tc>
      </w:tr>
    </w:tbl>
    <w:p>
      <w:pPr>
        <w:spacing w:after="40"/>
      </w:pPr>
    </w:p>
    <w:p>
      <w:pPr>
        <w:pStyle w:val="Heading3"/>
      </w:pPr>
      <w:r>
        <w:rPr>
          <w:rFonts w:ascii="宋体" w:hAnsi="宋体" w:eastAsia="宋体" w:cs="宋体"/>
          <w:b/>
          <w:i w:val="0"/>
          <w:color w:val="2E74B5"/>
          <w:sz w:val="22"/>
        </w:rPr>
        <w:t>8.1.3 政策与产业环境</w:t>
      </w:r>
    </w:p>
    <w:p>
      <w:pPr>
        <w:spacing w:after="40" w:line="324" w:lineRule="auto"/>
        <w:ind w:left="425" w:hanging="283"/>
      </w:pPr>
      <w:r>
        <w:rPr>
          <w:rFonts w:ascii="宋体" w:hAnsi="宋体" w:eastAsia="宋体" w:cs="宋体"/>
          <w:b w:val="0"/>
          <w:i w:val="0"/>
          <w:color w:val="2E74B5"/>
          <w:sz w:val="18"/>
        </w:rPr>
        <w:t xml:space="preserve">● </w:t>
      </w:r>
      <w:r>
        <w:rPr>
          <w:rFonts w:ascii="宋体" w:hAnsi="宋体" w:eastAsia="宋体" w:cs="宋体"/>
          <w:b w:val="0"/>
          <w:i w:val="0"/>
          <w:color w:val="000000"/>
          <w:sz w:val="21"/>
        </w:rPr>
        <w:t>《健康中国行动——慢性呼吸系统疾病防治行动实施方案（2024—2030 年）》（国家卫生健康委，2024 年 7 月）：提出推进慢性呼吸系统疾病分级诊疗、加强早期筛查与早诊早治、提升基层慢性呼吸系统疾病防治服务能力、指导患者进行呼吸康复锻炼并加强监测与评估，为本项目的居家监测场景提供直接政策依据。</w:t>
      </w:r>
    </w:p>
    <w:p>
      <w:pPr>
        <w:spacing w:after="40" w:line="324" w:lineRule="auto"/>
        <w:ind w:left="425" w:hanging="283"/>
      </w:pPr>
      <w:r>
        <w:rPr>
          <w:rFonts w:ascii="宋体" w:hAnsi="宋体" w:eastAsia="宋体" w:cs="宋体"/>
          <w:b w:val="0"/>
          <w:i w:val="0"/>
          <w:color w:val="2E74B5"/>
          <w:sz w:val="18"/>
        </w:rPr>
        <w:t xml:space="preserve">● </w:t>
      </w:r>
      <w:r>
        <w:rPr>
          <w:rFonts w:ascii="宋体" w:hAnsi="宋体" w:eastAsia="宋体" w:cs="宋体"/>
          <w:b w:val="0"/>
          <w:i w:val="0"/>
          <w:color w:val="000000"/>
          <w:sz w:val="21"/>
        </w:rPr>
        <w:t>《“十四五”医疗装备产业发展规划》（工业和信息化部等十部门，2021 年 12 月）：明确「推进 5G+ 医疗健康，居家社区、医养康养一体化等新模式，促进医疗服务从院中诊疗向院前家庭健康管理、院间资源共享、院后康复的连续性服务方向拓展」，与本项目的产品形态逐字对应。</w:t>
      </w:r>
    </w:p>
    <w:p>
      <w:pPr>
        <w:spacing w:after="40" w:line="324" w:lineRule="auto"/>
        <w:ind w:left="425" w:hanging="283"/>
      </w:pPr>
      <w:r>
        <w:rPr>
          <w:rFonts w:ascii="宋体" w:hAnsi="宋体" w:eastAsia="宋体" w:cs="宋体"/>
          <w:b w:val="0"/>
          <w:i w:val="0"/>
          <w:color w:val="2E74B5"/>
          <w:sz w:val="18"/>
        </w:rPr>
        <w:t xml:space="preserve">● </w:t>
      </w:r>
      <w:r>
        <w:rPr>
          <w:rFonts w:ascii="宋体" w:hAnsi="宋体" w:eastAsia="宋体" w:cs="宋体"/>
          <w:b w:val="0"/>
          <w:i w:val="0"/>
          <w:color w:val="000000"/>
          <w:sz w:val="21"/>
        </w:rPr>
        <w:t>医保发〔2020〕45 号《关于积极推进“互联网+”医疗服务医保支付工作的指导意见》（国家医保局，2020 年 10 月）：提出优先保障门诊慢特病等复诊续方需求、线上线下一致，为院外采集的数据回流到复诊与随访提供支付接口。</w:t>
      </w:r>
    </w:p>
    <w:p>
      <w:pPr>
        <w:spacing w:after="40" w:line="324" w:lineRule="auto"/>
        <w:ind w:left="425" w:hanging="283"/>
      </w:pPr>
      <w:r>
        <w:rPr>
          <w:rFonts w:ascii="宋体" w:hAnsi="宋体" w:eastAsia="宋体" w:cs="宋体"/>
          <w:b w:val="0"/>
          <w:i w:val="0"/>
          <w:color w:val="2E74B5"/>
          <w:sz w:val="18"/>
        </w:rPr>
        <w:t xml:space="preserve">● </w:t>
      </w:r>
      <w:r>
        <w:rPr>
          <w:rFonts w:ascii="宋体" w:hAnsi="宋体" w:eastAsia="宋体" w:cs="宋体"/>
          <w:b w:val="0"/>
          <w:i w:val="0"/>
          <w:color w:val="000000"/>
          <w:sz w:val="21"/>
        </w:rPr>
        <w:t>《人工智能医用软件产品分类界定指导原则》（国家药监局 2021 年第 47 号通告）：以预期用途而非技术本身作为分类判定依据——仅用于数据处理或测量、只提供临床参考信息、不涉及治疗相关决策的软件倾向按第二类管理；提供病灶识别、病变性质判定、用药指导等支持治疗相关决策建议且算法成熟度低的，倾向按第三类管理。本项目仅输出客观测量指标，故倾向第二类，对应《医疗器械分类目录》“21 医用软件”下的 21-03 数据处理软件。</w:t>
      </w:r>
    </w:p>
    <w:p>
      <w:pPr>
        <w:spacing w:after="40" w:line="324" w:lineRule="auto"/>
        <w:ind w:left="425" w:hanging="283"/>
      </w:pPr>
      <w:r>
        <w:rPr>
          <w:rFonts w:ascii="宋体" w:hAnsi="宋体" w:eastAsia="宋体" w:cs="宋体"/>
          <w:b w:val="0"/>
          <w:i w:val="0"/>
          <w:color w:val="2E74B5"/>
          <w:sz w:val="18"/>
        </w:rPr>
        <w:t xml:space="preserve">● </w:t>
      </w:r>
      <w:r>
        <w:rPr>
          <w:rFonts w:ascii="宋体" w:hAnsi="宋体" w:eastAsia="宋体" w:cs="宋体"/>
          <w:b w:val="0"/>
          <w:i w:val="0"/>
          <w:color w:val="000000"/>
          <w:sz w:val="21"/>
        </w:rPr>
        <w:t>《人工智能医疗器械注册审查指导原则》（国家药监局器审中心 2022 年第 8 号）：对算法驱动型更新（需申请变更注册）、训练集与调优集与测试集两两无交集、公开数据库不得用作测评数据库、回滚机制与上市后泛化能力研究提出明确要求；同时规定“全新的功能、算法和用途原则上均需开展临床评价”。</w:t>
      </w:r>
    </w:p>
    <w:p>
      <w:pPr>
        <w:spacing w:after="40" w:line="324" w:lineRule="auto"/>
        <w:ind w:left="425" w:hanging="283"/>
      </w:pPr>
      <w:r>
        <w:rPr>
          <w:rFonts w:ascii="宋体" w:hAnsi="宋体" w:eastAsia="宋体" w:cs="宋体"/>
          <w:b w:val="0"/>
          <w:i w:val="0"/>
          <w:color w:val="2E74B5"/>
          <w:sz w:val="18"/>
        </w:rPr>
        <w:t xml:space="preserve">● </w:t>
      </w:r>
      <w:r>
        <w:rPr>
          <w:rFonts w:ascii="宋体" w:hAnsi="宋体" w:eastAsia="宋体" w:cs="宋体"/>
          <w:b/>
          <w:i w:val="0"/>
          <w:color w:val="000000"/>
          <w:sz w:val="21"/>
        </w:rPr>
        <w:t>医疗器械软件与网络安全配套文件：</w:t>
      </w:r>
      <w:r>
        <w:rPr>
          <w:rFonts w:ascii="宋体" w:hAnsi="宋体" w:eastAsia="宋体" w:cs="宋体"/>
          <w:b w:val="0"/>
          <w:i w:val="0"/>
          <w:color w:val="000000"/>
          <w:sz w:val="21"/>
        </w:rPr>
        <w:t>《医疗器械软件注册审查指导原则（2022 年修订版）》（2022 年第 9 号）、《医疗器械网络安全注册审查指导原则（2022 年修订版）》（2022 年第 7 号，适用于具备电子数据交换、远程访问与控制、用户访问功能的第二、三类独立软件）、《移动医疗器械注册技术审查指导原则》（2017 年第 222 号）与《医疗器械生产质量管理规范附录独立软件》。</w:t>
      </w:r>
    </w:p>
    <w:p>
      <w:pPr>
        <w:spacing w:after="40" w:line="324" w:lineRule="auto"/>
        <w:ind w:left="425" w:hanging="283"/>
      </w:pPr>
      <w:r>
        <w:rPr>
          <w:rFonts w:ascii="宋体" w:hAnsi="宋体" w:eastAsia="宋体" w:cs="宋体"/>
          <w:b w:val="0"/>
          <w:i w:val="0"/>
          <w:color w:val="2E74B5"/>
          <w:sz w:val="18"/>
        </w:rPr>
        <w:t xml:space="preserve">● </w:t>
      </w:r>
      <w:r>
        <w:rPr>
          <w:rFonts w:ascii="宋体" w:hAnsi="宋体" w:eastAsia="宋体" w:cs="宋体"/>
          <w:b/>
          <w:i w:val="0"/>
          <w:color w:val="000000"/>
          <w:sz w:val="21"/>
        </w:rPr>
        <w:t>审评路径成熟度：</w:t>
      </w:r>
      <w:r>
        <w:rPr>
          <w:rFonts w:ascii="宋体" w:hAnsi="宋体" w:eastAsia="宋体" w:cs="宋体"/>
          <w:b w:val="0"/>
          <w:i w:val="0"/>
          <w:color w:val="000000"/>
          <w:sz w:val="21"/>
        </w:rPr>
        <w:t>截至 2024 年 6 月已有 92 款人工智能医学影像辅助诊断软件获 NMPA 三类注册证，配套审评要点持续出台，说明“AI+医疗器械”的注册路径已相对成熟、可预期；但呼吸音 / 咳嗽音方向的分类界定先例与已获批注册证编号【待核实】。</w:t>
      </w:r>
    </w:p>
    <w:p>
      <w:pPr>
        <w:spacing w:after="40" w:line="324" w:lineRule="auto"/>
        <w:ind w:left="425" w:hanging="283"/>
      </w:pPr>
      <w:r>
        <w:rPr>
          <w:rFonts w:ascii="宋体" w:hAnsi="宋体" w:eastAsia="宋体" w:cs="宋体"/>
          <w:b w:val="0"/>
          <w:i w:val="0"/>
          <w:color w:val="2E74B5"/>
          <w:sz w:val="18"/>
        </w:rPr>
        <w:t xml:space="preserve">● </w:t>
      </w:r>
      <w:r>
        <w:rPr>
          <w:rFonts w:ascii="宋体" w:hAnsi="宋体" w:eastAsia="宋体" w:cs="宋体"/>
          <w:b/>
          <w:i w:val="0"/>
          <w:color w:val="000000"/>
          <w:sz w:val="21"/>
        </w:rPr>
        <w:t>国产替代与信创：</w:t>
      </w:r>
      <w:r>
        <w:rPr>
          <w:rFonts w:ascii="宋体" w:hAnsi="宋体" w:eastAsia="宋体" w:cs="宋体"/>
          <w:b w:val="0"/>
          <w:i w:val="0"/>
          <w:color w:val="000000"/>
          <w:sz w:val="21"/>
        </w:rPr>
        <w:t>医疗设备国产化与核心器件自主可控导向，使基于国产 RK3576 的方案在采购与合规叙事上具备优势。</w:t>
      </w:r>
    </w:p>
    <w:p>
      <w:pPr>
        <w:pStyle w:val="Heading2"/>
      </w:pPr>
      <w:r>
        <w:rPr>
          <w:rFonts w:ascii="宋体" w:hAnsi="宋体" w:eastAsia="宋体" w:cs="宋体"/>
          <w:b/>
          <w:i w:val="0"/>
          <w:color w:val="2E74B5"/>
          <w:sz w:val="25"/>
        </w:rPr>
        <w:t>8.2 竞争格局与竞品对比</w:t>
      </w:r>
    </w:p>
    <w:tbl>
      <w:tblPr>
        <w:tblStyle w:val="TableGrid"/>
        <w:jc w:val="center"/>
        <w:tblLook w:firstColumn="1" w:firstRow="1" w:lastColumn="0" w:lastRow="0" w:noHBand="0" w:noVBand="1" w:val="04A0"/>
        <w:tblCellMar>
          <w:top w:w="60" w:type="dxa"/>
          <w:left w:w="90" w:type="dxa"/>
          <w:bottom w:w="60" w:type="dxa"/>
          <w:right w:w="90" w:type="dxa"/>
        </w:tblCellMar>
        <w:tblW w:w="9129" w:type="dxa"/>
        <w:tblLayout w:type="fixed"/>
      </w:tblPr>
      <w:tblGrid>
        <w:gridCol w:w="1369"/>
        <w:gridCol w:w="742"/>
        <w:gridCol w:w="1369"/>
        <w:gridCol w:w="1712"/>
        <w:gridCol w:w="1255"/>
        <w:gridCol w:w="1141"/>
        <w:gridCol w:w="1540"/>
      </w:tblGrid>
      <w:tr>
        <w:trPr>
          <w:tblHeader w:val="true"/>
        </w:trPr>
        <w:tc>
          <w:tcPr>
            <w:tcW w:type="dxa" w:w="1369"/>
            <w:shd w:val="clear" w:color="auto" w:fill="1F4E79"/>
          </w:tcPr>
          <w:p>
            <w:pPr>
              <w:spacing w:after="0" w:line="276" w:lineRule="auto"/>
              <w:jc w:val="center"/>
            </w:pPr>
            <w:r/>
            <w:r>
              <w:rPr>
                <w:rFonts w:ascii="宋体" w:hAnsi="宋体" w:eastAsia="宋体" w:cs="宋体"/>
                <w:b/>
                <w:i w:val="0"/>
                <w:color w:val="FFFFFF"/>
                <w:sz w:val="19"/>
              </w:rPr>
              <w:t>产品 / 公司</w:t>
            </w:r>
          </w:p>
        </w:tc>
        <w:tc>
          <w:tcPr>
            <w:tcW w:type="dxa" w:w="742"/>
            <w:shd w:val="clear" w:color="auto" w:fill="1F4E79"/>
          </w:tcPr>
          <w:p>
            <w:pPr>
              <w:spacing w:after="0" w:line="276" w:lineRule="auto"/>
              <w:jc w:val="center"/>
            </w:pPr>
            <w:r/>
            <w:r>
              <w:rPr>
                <w:rFonts w:ascii="宋体" w:hAnsi="宋体" w:eastAsia="宋体" w:cs="宋体"/>
                <w:b/>
                <w:i w:val="0"/>
                <w:color w:val="FFFFFF"/>
                <w:sz w:val="19"/>
              </w:rPr>
              <w:t>国家</w:t>
            </w:r>
          </w:p>
        </w:tc>
        <w:tc>
          <w:tcPr>
            <w:tcW w:type="dxa" w:w="1369"/>
            <w:shd w:val="clear" w:color="auto" w:fill="1F4E79"/>
          </w:tcPr>
          <w:p>
            <w:pPr>
              <w:spacing w:after="0" w:line="276" w:lineRule="auto"/>
              <w:jc w:val="center"/>
            </w:pPr>
            <w:r/>
            <w:r>
              <w:rPr>
                <w:rFonts w:ascii="宋体" w:hAnsi="宋体" w:eastAsia="宋体" w:cs="宋体"/>
                <w:b/>
                <w:i w:val="0"/>
                <w:color w:val="FFFFFF"/>
                <w:sz w:val="19"/>
              </w:rPr>
              <w:t>采集方式</w:t>
            </w:r>
          </w:p>
        </w:tc>
        <w:tc>
          <w:tcPr>
            <w:tcW w:type="dxa" w:w="1711"/>
            <w:shd w:val="clear" w:color="auto" w:fill="1F4E79"/>
          </w:tcPr>
          <w:p>
            <w:pPr>
              <w:spacing w:after="0" w:line="276" w:lineRule="auto"/>
              <w:jc w:val="center"/>
            </w:pPr>
            <w:r/>
            <w:r>
              <w:rPr>
                <w:rFonts w:ascii="宋体" w:hAnsi="宋体" w:eastAsia="宋体" w:cs="宋体"/>
                <w:b/>
                <w:i w:val="0"/>
                <w:color w:val="FFFFFF"/>
                <w:sz w:val="19"/>
              </w:rPr>
              <w:t>核心功能</w:t>
            </w:r>
          </w:p>
        </w:tc>
        <w:tc>
          <w:tcPr>
            <w:tcW w:type="dxa" w:w="1255"/>
            <w:shd w:val="clear" w:color="auto" w:fill="1F4E79"/>
          </w:tcPr>
          <w:p>
            <w:pPr>
              <w:spacing w:after="0" w:line="276" w:lineRule="auto"/>
              <w:jc w:val="center"/>
            </w:pPr>
            <w:r/>
            <w:r>
              <w:rPr>
                <w:rFonts w:ascii="宋体" w:hAnsi="宋体" w:eastAsia="宋体" w:cs="宋体"/>
                <w:b/>
                <w:i w:val="0"/>
                <w:color w:val="FFFFFF"/>
                <w:sz w:val="19"/>
              </w:rPr>
              <w:t>器械认证</w:t>
            </w:r>
          </w:p>
        </w:tc>
        <w:tc>
          <w:tcPr>
            <w:tcW w:type="dxa" w:w="1141"/>
            <w:shd w:val="clear" w:color="auto" w:fill="1F4E79"/>
          </w:tcPr>
          <w:p>
            <w:pPr>
              <w:spacing w:after="0" w:line="276" w:lineRule="auto"/>
              <w:jc w:val="center"/>
            </w:pPr>
            <w:r/>
            <w:r>
              <w:rPr>
                <w:rFonts w:ascii="宋体" w:hAnsi="宋体" w:eastAsia="宋体" w:cs="宋体"/>
                <w:b/>
                <w:i w:val="0"/>
                <w:color w:val="FFFFFF"/>
                <w:sz w:val="19"/>
              </w:rPr>
              <w:t>定价</w:t>
            </w:r>
          </w:p>
        </w:tc>
        <w:tc>
          <w:tcPr>
            <w:tcW w:type="dxa" w:w="1540"/>
            <w:shd w:val="clear" w:color="auto" w:fill="1F4E79"/>
          </w:tcPr>
          <w:p>
            <w:pPr>
              <w:spacing w:after="0" w:line="276" w:lineRule="auto"/>
              <w:jc w:val="center"/>
            </w:pPr>
            <w:r/>
            <w:r>
              <w:rPr>
                <w:rFonts w:ascii="宋体" w:hAnsi="宋体" w:eastAsia="宋体" w:cs="宋体"/>
                <w:b/>
                <w:i w:val="0"/>
                <w:color w:val="FFFFFF"/>
                <w:sz w:val="19"/>
              </w:rPr>
              <w:t>与本项目差异</w:t>
            </w:r>
          </w:p>
        </w:tc>
      </w:tr>
      <w:tr>
        <w:tc>
          <w:tcPr>
            <w:tcW w:type="dxa" w:w="1369"/>
          </w:tcPr>
          <w:p>
            <w:pPr>
              <w:spacing w:after="0" w:line="276" w:lineRule="auto"/>
            </w:pPr>
            <w:r/>
            <w:r>
              <w:rPr>
                <w:rFonts w:ascii="宋体" w:hAnsi="宋体" w:eastAsia="宋体" w:cs="宋体"/>
                <w:b w:val="0"/>
                <w:i w:val="0"/>
                <w:color w:val="000000"/>
                <w:sz w:val="19"/>
              </w:rPr>
              <w:t>Hyfe AI（CoughMonitor / CoughPro）</w:t>
            </w:r>
          </w:p>
        </w:tc>
        <w:tc>
          <w:tcPr>
            <w:tcW w:type="dxa" w:w="742"/>
          </w:tcPr>
          <w:p>
            <w:pPr>
              <w:spacing w:after="0" w:line="276" w:lineRule="auto"/>
            </w:pPr>
            <w:r/>
            <w:r>
              <w:rPr>
                <w:rFonts w:ascii="宋体" w:hAnsi="宋体" w:eastAsia="宋体" w:cs="宋体"/>
                <w:b w:val="0"/>
                <w:i w:val="0"/>
                <w:color w:val="000000"/>
                <w:sz w:val="19"/>
              </w:rPr>
              <w:t>美国</w:t>
            </w:r>
          </w:p>
        </w:tc>
        <w:tc>
          <w:tcPr>
            <w:tcW w:type="dxa" w:w="1369"/>
          </w:tcPr>
          <w:p>
            <w:pPr>
              <w:spacing w:after="0" w:line="276" w:lineRule="auto"/>
            </w:pPr>
            <w:r/>
            <w:r>
              <w:rPr>
                <w:rFonts w:ascii="宋体" w:hAnsi="宋体" w:eastAsia="宋体" w:cs="宋体"/>
                <w:b w:val="0"/>
                <w:i w:val="0"/>
                <w:color w:val="000000"/>
                <w:sz w:val="19"/>
              </w:rPr>
              <w:t>手机 App / 可穿戴设备，纯被动环境声、端侧推理、不存原始音频</w:t>
            </w:r>
          </w:p>
        </w:tc>
        <w:tc>
          <w:tcPr>
            <w:tcW w:type="dxa" w:w="1711"/>
          </w:tcPr>
          <w:p>
            <w:pPr>
              <w:spacing w:after="0" w:line="276" w:lineRule="auto"/>
            </w:pPr>
            <w:r/>
            <w:r>
              <w:rPr>
                <w:rFonts w:ascii="宋体" w:hAnsi="宋体" w:eastAsia="宋体" w:cs="宋体"/>
                <w:b w:val="0"/>
                <w:i w:val="0"/>
                <w:color w:val="000000"/>
                <w:sz w:val="19"/>
              </w:rPr>
              <w:t>咳嗽频次、咳嗽成串（bout）、无咳时间等咳嗽监测指标；行为性止咳数字疗法；多中心验证：敏感度 90.4%、假阳性 1.03 次/小时、逐小时计数 Pearson r = 0.99</w:t>
            </w:r>
          </w:p>
        </w:tc>
        <w:tc>
          <w:tcPr>
            <w:tcW w:type="dxa" w:w="1255"/>
          </w:tcPr>
          <w:p>
            <w:pPr>
              <w:spacing w:after="0" w:line="276" w:lineRule="auto"/>
            </w:pPr>
            <w:r/>
            <w:r>
              <w:rPr>
                <w:rFonts w:ascii="宋体" w:hAnsi="宋体" w:eastAsia="宋体" w:cs="宋体"/>
                <w:b w:val="0"/>
                <w:i w:val="0"/>
                <w:color w:val="000000"/>
                <w:sz w:val="19"/>
              </w:rPr>
              <w:t>未见 NMPA / FDA 器械证；已被用作慢性咳嗽数字疗法关键性试验的主要终点</w:t>
            </w:r>
          </w:p>
        </w:tc>
        <w:tc>
          <w:tcPr>
            <w:tcW w:type="dxa" w:w="1141"/>
          </w:tcPr>
          <w:p>
            <w:pPr>
              <w:spacing w:after="0" w:line="276" w:lineRule="auto"/>
            </w:pPr>
            <w:r/>
            <w:r>
              <w:rPr>
                <w:rFonts w:ascii="宋体" w:hAnsi="宋体" w:eastAsia="宋体" w:cs="宋体"/>
                <w:b w:val="0"/>
                <w:i w:val="0"/>
                <w:color w:val="000000"/>
                <w:sz w:val="19"/>
              </w:rPr>
              <w:t>未公开报价（B2B 定制）</w:t>
            </w:r>
          </w:p>
        </w:tc>
        <w:tc>
          <w:tcPr>
            <w:tcW w:type="dxa" w:w="1540"/>
          </w:tcPr>
          <w:p>
            <w:pPr>
              <w:spacing w:after="0" w:line="276" w:lineRule="auto"/>
            </w:pPr>
            <w:r/>
            <w:r>
              <w:rPr>
                <w:rFonts w:ascii="宋体" w:hAnsi="宋体" w:eastAsia="宋体" w:cs="宋体"/>
                <w:b w:val="0"/>
                <w:i w:val="0"/>
                <w:color w:val="000000"/>
                <w:sz w:val="19"/>
              </w:rPr>
              <w:t>其白皮书已公开主张“边缘计算 + 不传输原始音频”的隐私架构，因此本项目不能把“端侧隐私”当作独有卖点；Hyfe 已在《Scientific Data》发布 733,756 次咳嗽、2,143 名患者、7 国的数据集，正面比拼数据量不现实。差异应落在国产硬件化边缘端（RK3576 独立算力盒）、中文人群适配与多指标融合（咳嗽 + 喘息 + 呼吸率）及成本结构</w:t>
            </w:r>
          </w:p>
        </w:tc>
      </w:tr>
      <w:tr>
        <w:tc>
          <w:tcPr>
            <w:tcW w:type="dxa" w:w="1369"/>
            <w:shd w:val="clear" w:color="auto" w:fill="EDF3F9"/>
          </w:tcPr>
          <w:p>
            <w:pPr>
              <w:spacing w:after="0" w:line="276" w:lineRule="auto"/>
            </w:pPr>
            <w:r/>
            <w:r>
              <w:rPr>
                <w:rFonts w:ascii="宋体" w:hAnsi="宋体" w:eastAsia="宋体" w:cs="宋体"/>
                <w:b w:val="0"/>
                <w:i w:val="0"/>
                <w:color w:val="000000"/>
                <w:sz w:val="19"/>
              </w:rPr>
              <w:t>Strados Labs RESP（已被 Clario 收购）</w:t>
            </w:r>
          </w:p>
        </w:tc>
        <w:tc>
          <w:tcPr>
            <w:tcW w:type="dxa" w:w="742"/>
            <w:shd w:val="clear" w:color="auto" w:fill="EDF3F9"/>
          </w:tcPr>
          <w:p>
            <w:pPr>
              <w:spacing w:after="0" w:line="276" w:lineRule="auto"/>
            </w:pPr>
            <w:r/>
            <w:r>
              <w:rPr>
                <w:rFonts w:ascii="宋体" w:hAnsi="宋体" w:eastAsia="宋体" w:cs="宋体"/>
                <w:b w:val="0"/>
                <w:i w:val="0"/>
                <w:color w:val="000000"/>
                <w:sz w:val="19"/>
              </w:rPr>
              <w:t>美国</w:t>
            </w:r>
          </w:p>
        </w:tc>
        <w:tc>
          <w:tcPr>
            <w:tcW w:type="dxa" w:w="1369"/>
            <w:shd w:val="clear" w:color="auto" w:fill="EDF3F9"/>
          </w:tcPr>
          <w:p>
            <w:pPr>
              <w:spacing w:after="0" w:line="276" w:lineRule="auto"/>
            </w:pPr>
            <w:r/>
            <w:r>
              <w:rPr>
                <w:rFonts w:ascii="宋体" w:hAnsi="宋体" w:eastAsia="宋体" w:cs="宋体"/>
                <w:b w:val="0"/>
                <w:i w:val="0"/>
                <w:color w:val="000000"/>
                <w:sz w:val="19"/>
              </w:rPr>
              <w:t>胸部贴片式声学传感器；不含开放气室麦克风、不采集语音、端侧加密、录音片段切分小于 60 秒并施加语音滤波</w:t>
            </w:r>
          </w:p>
        </w:tc>
        <w:tc>
          <w:tcPr>
            <w:tcW w:type="dxa" w:w="1711"/>
            <w:shd w:val="clear" w:color="auto" w:fill="EDF3F9"/>
          </w:tcPr>
          <w:p>
            <w:pPr>
              <w:spacing w:after="0" w:line="276" w:lineRule="auto"/>
            </w:pPr>
            <w:r/>
            <w:r>
              <w:rPr>
                <w:rFonts w:ascii="宋体" w:hAnsi="宋体" w:eastAsia="宋体" w:cs="宋体"/>
                <w:b w:val="0"/>
                <w:i w:val="0"/>
                <w:color w:val="000000"/>
                <w:sz w:val="19"/>
              </w:rPr>
              <w:t>24 小时咳嗽频次（次/小时）、喘息与呼吸音；临床试验终点服务</w:t>
            </w:r>
          </w:p>
        </w:tc>
        <w:tc>
          <w:tcPr>
            <w:tcW w:type="dxa" w:w="1255"/>
            <w:shd w:val="clear" w:color="auto" w:fill="EDF3F9"/>
          </w:tcPr>
          <w:p>
            <w:pPr>
              <w:spacing w:after="0" w:line="276" w:lineRule="auto"/>
            </w:pPr>
            <w:r/>
            <w:r>
              <w:rPr>
                <w:rFonts w:ascii="宋体" w:hAnsi="宋体" w:eastAsia="宋体" w:cs="宋体"/>
                <w:b w:val="0"/>
                <w:i w:val="0"/>
                <w:color w:val="000000"/>
                <w:sz w:val="19"/>
              </w:rPr>
              <w:t>面向临床研究，加密端侧存储</w:t>
            </w:r>
          </w:p>
        </w:tc>
        <w:tc>
          <w:tcPr>
            <w:tcW w:type="dxa" w:w="1141"/>
            <w:shd w:val="clear" w:color="auto" w:fill="EDF3F9"/>
          </w:tcPr>
          <w:p>
            <w:pPr>
              <w:spacing w:after="0" w:line="276" w:lineRule="auto"/>
            </w:pPr>
            <w:r/>
            <w:r>
              <w:rPr>
                <w:rFonts w:ascii="宋体" w:hAnsi="宋体" w:eastAsia="宋体" w:cs="宋体"/>
                <w:b w:val="0"/>
                <w:i w:val="0"/>
                <w:color w:val="000000"/>
                <w:sz w:val="19"/>
              </w:rPr>
              <w:t>未公开（按项目定制）</w:t>
            </w:r>
          </w:p>
        </w:tc>
        <w:tc>
          <w:tcPr>
            <w:tcW w:type="dxa" w:w="1540"/>
            <w:shd w:val="clear" w:color="auto" w:fill="EDF3F9"/>
          </w:tcPr>
          <w:p>
            <w:pPr>
              <w:spacing w:after="0" w:line="276" w:lineRule="auto"/>
            </w:pPr>
            <w:r/>
            <w:r>
              <w:rPr>
                <w:rFonts w:ascii="宋体" w:hAnsi="宋体" w:eastAsia="宋体" w:cs="宋体"/>
                <w:b w:val="0"/>
                <w:i w:val="0"/>
                <w:color w:val="000000"/>
                <w:sz w:val="19"/>
              </w:rPr>
              <w:t>其架构与本项目同构，且被用于勃林格殷格翰 IPF 咳嗽监测研究（主要终点即咳嗽频次、12 周内 4 次 24 小时记录），可作为技术对标与商业谈判参照；但其为贴片式需佩戴耗材，本项目为非接触的“手机 + 边缘盒”形态，在成本与长期依从性上占优</w:t>
            </w:r>
          </w:p>
        </w:tc>
      </w:tr>
      <w:tr>
        <w:tc>
          <w:tcPr>
            <w:tcW w:type="dxa" w:w="1369"/>
          </w:tcPr>
          <w:p>
            <w:pPr>
              <w:spacing w:after="0" w:line="276" w:lineRule="auto"/>
            </w:pPr>
            <w:r/>
            <w:r>
              <w:rPr>
                <w:rFonts w:ascii="宋体" w:hAnsi="宋体" w:eastAsia="宋体" w:cs="宋体"/>
                <w:b w:val="0"/>
                <w:i w:val="0"/>
                <w:color w:val="000000"/>
                <w:sz w:val="19"/>
              </w:rPr>
              <w:t>ResApp Health</w:t>
            </w:r>
          </w:p>
        </w:tc>
        <w:tc>
          <w:tcPr>
            <w:tcW w:type="dxa" w:w="742"/>
          </w:tcPr>
          <w:p>
            <w:pPr>
              <w:spacing w:after="0" w:line="276" w:lineRule="auto"/>
            </w:pPr>
            <w:r/>
            <w:r>
              <w:rPr>
                <w:rFonts w:ascii="宋体" w:hAnsi="宋体" w:eastAsia="宋体" w:cs="宋体"/>
                <w:b w:val="0"/>
                <w:i w:val="0"/>
                <w:color w:val="000000"/>
                <w:sz w:val="19"/>
              </w:rPr>
              <w:t>澳大利亚</w:t>
            </w:r>
          </w:p>
        </w:tc>
        <w:tc>
          <w:tcPr>
            <w:tcW w:type="dxa" w:w="1369"/>
          </w:tcPr>
          <w:p>
            <w:pPr>
              <w:spacing w:after="0" w:line="276" w:lineRule="auto"/>
            </w:pPr>
            <w:r/>
            <w:r>
              <w:rPr>
                <w:rFonts w:ascii="宋体" w:hAnsi="宋体" w:eastAsia="宋体" w:cs="宋体"/>
                <w:b w:val="0"/>
                <w:i w:val="0"/>
                <w:color w:val="000000"/>
                <w:sz w:val="19"/>
              </w:rPr>
              <w:t>手机麦克风</w:t>
            </w:r>
          </w:p>
        </w:tc>
        <w:tc>
          <w:tcPr>
            <w:tcW w:type="dxa" w:w="1711"/>
          </w:tcPr>
          <w:p>
            <w:pPr>
              <w:spacing w:after="0" w:line="276" w:lineRule="auto"/>
            </w:pPr>
            <w:r/>
            <w:r>
              <w:rPr>
                <w:rFonts w:ascii="宋体" w:hAnsi="宋体" w:eastAsia="宋体" w:cs="宋体"/>
                <w:b w:val="0"/>
                <w:i w:val="0"/>
                <w:color w:val="000000"/>
                <w:sz w:val="19"/>
              </w:rPr>
              <w:t>咳嗽音辅助诊断呼吸系统疾病（ResAppDx）</w:t>
            </w:r>
          </w:p>
        </w:tc>
        <w:tc>
          <w:tcPr>
            <w:tcW w:type="dxa" w:w="1255"/>
          </w:tcPr>
          <w:p>
            <w:pPr>
              <w:spacing w:after="0" w:line="276" w:lineRule="auto"/>
            </w:pPr>
            <w:r/>
            <w:r>
              <w:rPr>
                <w:rFonts w:ascii="宋体" w:hAnsi="宋体" w:eastAsia="宋体" w:cs="宋体"/>
                <w:b w:val="0"/>
                <w:i w:val="0"/>
                <w:color w:val="000000"/>
                <w:sz w:val="19"/>
              </w:rPr>
              <w:t>获 TGA 注册；2022 年 9 月被辉瑞以 1.79 亿美元收购</w:t>
            </w:r>
          </w:p>
        </w:tc>
        <w:tc>
          <w:tcPr>
            <w:tcW w:type="dxa" w:w="1141"/>
          </w:tcPr>
          <w:p>
            <w:pPr>
              <w:spacing w:after="0" w:line="276" w:lineRule="auto"/>
            </w:pPr>
            <w:r/>
            <w:r>
              <w:rPr>
                <w:rFonts w:ascii="宋体" w:hAnsi="宋体" w:eastAsia="宋体" w:cs="宋体"/>
                <w:b w:val="0"/>
                <w:i w:val="0"/>
                <w:color w:val="000000"/>
                <w:sz w:val="19"/>
              </w:rPr>
              <w:t>不适用（已被收购）</w:t>
            </w:r>
          </w:p>
        </w:tc>
        <w:tc>
          <w:tcPr>
            <w:tcW w:type="dxa" w:w="1540"/>
          </w:tcPr>
          <w:p>
            <w:pPr>
              <w:spacing w:after="0" w:line="276" w:lineRule="auto"/>
            </w:pPr>
            <w:r/>
            <w:r>
              <w:rPr>
                <w:rFonts w:ascii="宋体" w:hAnsi="宋体" w:eastAsia="宋体" w:cs="宋体"/>
                <w:b w:val="0"/>
                <w:i w:val="0"/>
                <w:color w:val="000000"/>
                <w:sz w:val="19"/>
              </w:rPr>
              <w:t>“手机咳嗽音 AI 战略价值”最有力的估值锚点；其走诊断路线，验证与注册成本高且未做边缘硬件；本项目从客观测量与随访切入，路径更轻</w:t>
            </w:r>
          </w:p>
        </w:tc>
      </w:tr>
      <w:tr>
        <w:tc>
          <w:tcPr>
            <w:tcW w:type="dxa" w:w="1369"/>
            <w:shd w:val="clear" w:color="auto" w:fill="EDF3F9"/>
          </w:tcPr>
          <w:p>
            <w:pPr>
              <w:spacing w:after="0" w:line="276" w:lineRule="auto"/>
            </w:pPr>
            <w:r/>
            <w:r>
              <w:rPr>
                <w:rFonts w:ascii="宋体" w:hAnsi="宋体" w:eastAsia="宋体" w:cs="宋体"/>
                <w:b w:val="0"/>
                <w:i w:val="0"/>
                <w:color w:val="000000"/>
                <w:sz w:val="19"/>
              </w:rPr>
              <w:t>山东朗朗智能科技“肺音数据处理软件”</w:t>
            </w:r>
          </w:p>
        </w:tc>
        <w:tc>
          <w:tcPr>
            <w:tcW w:type="dxa" w:w="742"/>
            <w:shd w:val="clear" w:color="auto" w:fill="EDF3F9"/>
          </w:tcPr>
          <w:p>
            <w:pPr>
              <w:spacing w:after="0" w:line="276" w:lineRule="auto"/>
            </w:pPr>
            <w:r/>
            <w:r>
              <w:rPr>
                <w:rFonts w:ascii="宋体" w:hAnsi="宋体" w:eastAsia="宋体" w:cs="宋体"/>
                <w:b w:val="0"/>
                <w:i w:val="0"/>
                <w:color w:val="000000"/>
                <w:sz w:val="19"/>
              </w:rPr>
              <w:t>中国</w:t>
            </w:r>
          </w:p>
        </w:tc>
        <w:tc>
          <w:tcPr>
            <w:tcW w:type="dxa" w:w="1369"/>
            <w:shd w:val="clear" w:color="auto" w:fill="EDF3F9"/>
          </w:tcPr>
          <w:p>
            <w:pPr>
              <w:spacing w:after="0" w:line="276" w:lineRule="auto"/>
            </w:pPr>
            <w:r/>
            <w:r>
              <w:rPr>
                <w:rFonts w:ascii="宋体" w:hAnsi="宋体" w:eastAsia="宋体" w:cs="宋体"/>
                <w:b w:val="0"/>
                <w:i w:val="0"/>
                <w:color w:val="000000"/>
                <w:sz w:val="19"/>
              </w:rPr>
              <w:t>电子听诊器 / 专用设备，B/S 架构软件</w:t>
            </w:r>
          </w:p>
        </w:tc>
        <w:tc>
          <w:tcPr>
            <w:tcW w:type="dxa" w:w="1711"/>
            <w:shd w:val="clear" w:color="auto" w:fill="EDF3F9"/>
          </w:tcPr>
          <w:p>
            <w:pPr>
              <w:spacing w:after="0" w:line="276" w:lineRule="auto"/>
            </w:pPr>
            <w:r/>
            <w:r>
              <w:rPr>
                <w:rFonts w:ascii="宋体" w:hAnsi="宋体" w:eastAsia="宋体" w:cs="宋体"/>
                <w:b w:val="0"/>
                <w:i w:val="0"/>
                <w:color w:val="000000"/>
                <w:sz w:val="19"/>
              </w:rPr>
              <w:t>肺音采集与 AI 辅助分析，输出湿罗音、干罗音、呼吸音粗糙或增强信息</w:t>
            </w:r>
          </w:p>
        </w:tc>
        <w:tc>
          <w:tcPr>
            <w:tcW w:type="dxa" w:w="1255"/>
            <w:shd w:val="clear" w:color="auto" w:fill="EDF3F9"/>
          </w:tcPr>
          <w:p>
            <w:pPr>
              <w:spacing w:after="0" w:line="276" w:lineRule="auto"/>
            </w:pPr>
            <w:r/>
            <w:r>
              <w:rPr>
                <w:rFonts w:ascii="宋体" w:hAnsi="宋体" w:eastAsia="宋体" w:cs="宋体"/>
                <w:b w:val="0"/>
                <w:i w:val="0"/>
                <w:color w:val="000000"/>
                <w:sz w:val="19"/>
              </w:rPr>
              <w:t>已获第二类医疗器械注册证（鲁械注准 20222210799），适用范围明确为“以供临床参考”</w:t>
            </w:r>
          </w:p>
        </w:tc>
        <w:tc>
          <w:tcPr>
            <w:tcW w:type="dxa" w:w="1141"/>
            <w:shd w:val="clear" w:color="auto" w:fill="EDF3F9"/>
          </w:tcPr>
          <w:p>
            <w:pPr>
              <w:spacing w:after="0" w:line="276" w:lineRule="auto"/>
            </w:pPr>
            <w:r/>
            <w:r>
              <w:rPr>
                <w:rFonts w:ascii="宋体" w:hAnsi="宋体" w:eastAsia="宋体" w:cs="宋体"/>
                <w:b w:val="0"/>
                <w:i w:val="0"/>
                <w:color w:val="000000"/>
                <w:sz w:val="19"/>
              </w:rPr>
              <w:t>设备销售 + 服务</w:t>
            </w:r>
          </w:p>
        </w:tc>
        <w:tc>
          <w:tcPr>
            <w:tcW w:type="dxa" w:w="1540"/>
            <w:shd w:val="clear" w:color="auto" w:fill="EDF3F9"/>
          </w:tcPr>
          <w:p>
            <w:pPr>
              <w:spacing w:after="0" w:line="276" w:lineRule="auto"/>
            </w:pPr>
            <w:r/>
            <w:r>
              <w:rPr>
                <w:rFonts w:ascii="宋体" w:hAnsi="宋体" w:eastAsia="宋体" w:cs="宋体"/>
                <w:b w:val="0"/>
                <w:i w:val="0"/>
                <w:color w:val="000000"/>
                <w:sz w:val="19"/>
              </w:rPr>
              <w:t>国内肺音 AI 目前走的是第二类“临床参考”路径，且为院内单次检查形态、无居家长期监测产品 —— 这既是本项目应对标的注册路径范本，也是本项目居家连续监测定位的差异化空间</w:t>
            </w:r>
          </w:p>
        </w:tc>
      </w:tr>
      <w:tr>
        <w:tc>
          <w:tcPr>
            <w:tcW w:type="dxa" w:w="1369"/>
          </w:tcPr>
          <w:p>
            <w:pPr>
              <w:spacing w:after="0" w:line="276" w:lineRule="auto"/>
            </w:pPr>
            <w:r/>
            <w:r>
              <w:rPr>
                <w:rFonts w:ascii="宋体" w:hAnsi="宋体" w:eastAsia="宋体" w:cs="宋体"/>
                <w:b w:val="0"/>
                <w:i w:val="0"/>
                <w:color w:val="000000"/>
                <w:sz w:val="19"/>
              </w:rPr>
              <w:t>TytoCare（TytoHome）</w:t>
            </w:r>
          </w:p>
        </w:tc>
        <w:tc>
          <w:tcPr>
            <w:tcW w:type="dxa" w:w="742"/>
          </w:tcPr>
          <w:p>
            <w:pPr>
              <w:spacing w:after="0" w:line="276" w:lineRule="auto"/>
            </w:pPr>
            <w:r/>
            <w:r>
              <w:rPr>
                <w:rFonts w:ascii="宋体" w:hAnsi="宋体" w:eastAsia="宋体" w:cs="宋体"/>
                <w:b w:val="0"/>
                <w:i w:val="0"/>
                <w:color w:val="000000"/>
                <w:sz w:val="19"/>
              </w:rPr>
              <w:t>以色列</w:t>
            </w:r>
          </w:p>
        </w:tc>
        <w:tc>
          <w:tcPr>
            <w:tcW w:type="dxa" w:w="1369"/>
          </w:tcPr>
          <w:p>
            <w:pPr>
              <w:spacing w:after="0" w:line="276" w:lineRule="auto"/>
            </w:pPr>
            <w:r/>
            <w:r>
              <w:rPr>
                <w:rFonts w:ascii="宋体" w:hAnsi="宋体" w:eastAsia="宋体" w:cs="宋体"/>
                <w:b w:val="0"/>
                <w:i w:val="0"/>
                <w:color w:val="000000"/>
                <w:sz w:val="19"/>
              </w:rPr>
              <w:t>手持式远程体检套件（含数字听诊器、耳镜、喉镜）</w:t>
            </w:r>
          </w:p>
        </w:tc>
        <w:tc>
          <w:tcPr>
            <w:tcW w:type="dxa" w:w="1711"/>
          </w:tcPr>
          <w:p>
            <w:pPr>
              <w:spacing w:after="0" w:line="276" w:lineRule="auto"/>
            </w:pPr>
            <w:r/>
            <w:r>
              <w:rPr>
                <w:rFonts w:ascii="宋体" w:hAnsi="宋体" w:eastAsia="宋体" w:cs="宋体"/>
                <w:b w:val="0"/>
                <w:i w:val="0"/>
                <w:color w:val="000000"/>
                <w:sz w:val="19"/>
              </w:rPr>
              <w:t>远程查体与肺音采集</w:t>
            </w:r>
          </w:p>
        </w:tc>
        <w:tc>
          <w:tcPr>
            <w:tcW w:type="dxa" w:w="1255"/>
          </w:tcPr>
          <w:p>
            <w:pPr>
              <w:spacing w:after="0" w:line="276" w:lineRule="auto"/>
            </w:pPr>
            <w:r/>
            <w:r>
              <w:rPr>
                <w:rFonts w:ascii="宋体" w:hAnsi="宋体" w:eastAsia="宋体" w:cs="宋体"/>
                <w:b w:val="0"/>
                <w:i w:val="0"/>
                <w:color w:val="000000"/>
                <w:sz w:val="19"/>
              </w:rPr>
              <w:t>FDA 510(k) 已获</w:t>
            </w:r>
          </w:p>
        </w:tc>
        <w:tc>
          <w:tcPr>
            <w:tcW w:type="dxa" w:w="1141"/>
          </w:tcPr>
          <w:p>
            <w:pPr>
              <w:spacing w:after="0" w:line="276" w:lineRule="auto"/>
            </w:pPr>
            <w:r/>
            <w:r>
              <w:rPr>
                <w:rFonts w:ascii="宋体" w:hAnsi="宋体" w:eastAsia="宋体" w:cs="宋体"/>
                <w:b w:val="0"/>
                <w:i w:val="0"/>
                <w:color w:val="000000"/>
                <w:sz w:val="19"/>
              </w:rPr>
              <w:t>设备约 299 美元 + 订阅【官方定价待核实】</w:t>
            </w:r>
          </w:p>
        </w:tc>
        <w:tc>
          <w:tcPr>
            <w:tcW w:type="dxa" w:w="1540"/>
          </w:tcPr>
          <w:p>
            <w:pPr>
              <w:spacing w:after="0" w:line="276" w:lineRule="auto"/>
            </w:pPr>
            <w:r/>
            <w:r>
              <w:rPr>
                <w:rFonts w:ascii="宋体" w:hAnsi="宋体" w:eastAsia="宋体" w:cs="宋体"/>
                <w:b w:val="0"/>
                <w:i w:val="0"/>
                <w:color w:val="000000"/>
                <w:sz w:val="19"/>
              </w:rPr>
              <w:t>需患者自行操作、单价高，对县乡市场过重；本项目为边缘端自动推理、无需人工操作，成本结构面向家庭与基层市场</w:t>
            </w:r>
          </w:p>
        </w:tc>
      </w:tr>
      <w:tr>
        <w:tc>
          <w:tcPr>
            <w:tcW w:type="dxa" w:w="1369"/>
            <w:shd w:val="clear" w:color="auto" w:fill="EDF3F9"/>
          </w:tcPr>
          <w:p>
            <w:pPr>
              <w:spacing w:after="0" w:line="276" w:lineRule="auto"/>
            </w:pPr>
            <w:r/>
            <w:r>
              <w:rPr>
                <w:rFonts w:ascii="宋体" w:hAnsi="宋体" w:eastAsia="宋体" w:cs="宋体"/>
                <w:b w:val="0"/>
                <w:i w:val="0"/>
                <w:color w:val="000000"/>
                <w:sz w:val="19"/>
              </w:rPr>
              <w:t>家用睡眠呼吸监测与呼吸机厂商（瑞思迈、怡和嘉业等）</w:t>
            </w:r>
          </w:p>
        </w:tc>
        <w:tc>
          <w:tcPr>
            <w:tcW w:type="dxa" w:w="742"/>
            <w:shd w:val="clear" w:color="auto" w:fill="EDF3F9"/>
          </w:tcPr>
          <w:p>
            <w:pPr>
              <w:spacing w:after="0" w:line="276" w:lineRule="auto"/>
            </w:pPr>
            <w:r/>
            <w:r>
              <w:rPr>
                <w:rFonts w:ascii="宋体" w:hAnsi="宋体" w:eastAsia="宋体" w:cs="宋体"/>
                <w:b w:val="0"/>
                <w:i w:val="0"/>
                <w:color w:val="000000"/>
                <w:sz w:val="19"/>
              </w:rPr>
              <w:t>中国 / 美国等</w:t>
            </w:r>
          </w:p>
        </w:tc>
        <w:tc>
          <w:tcPr>
            <w:tcW w:type="dxa" w:w="1369"/>
            <w:shd w:val="clear" w:color="auto" w:fill="EDF3F9"/>
          </w:tcPr>
          <w:p>
            <w:pPr>
              <w:spacing w:after="0" w:line="276" w:lineRule="auto"/>
            </w:pPr>
            <w:r/>
            <w:r>
              <w:rPr>
                <w:rFonts w:ascii="宋体" w:hAnsi="宋体" w:eastAsia="宋体" w:cs="宋体"/>
                <w:b w:val="0"/>
                <w:i w:val="0"/>
                <w:color w:val="000000"/>
                <w:sz w:val="19"/>
              </w:rPr>
              <w:t>呼吸机、腕表、床垫、指夹</w:t>
            </w:r>
          </w:p>
        </w:tc>
        <w:tc>
          <w:tcPr>
            <w:tcW w:type="dxa" w:w="1711"/>
            <w:shd w:val="clear" w:color="auto" w:fill="EDF3F9"/>
          </w:tcPr>
          <w:p>
            <w:pPr>
              <w:spacing w:after="0" w:line="276" w:lineRule="auto"/>
            </w:pPr>
            <w:r/>
            <w:r>
              <w:rPr>
                <w:rFonts w:ascii="宋体" w:hAnsi="宋体" w:eastAsia="宋体" w:cs="宋体"/>
                <w:b w:val="0"/>
                <w:i w:val="0"/>
                <w:color w:val="000000"/>
                <w:sz w:val="19"/>
              </w:rPr>
              <w:t>睡眠呼吸暂停治疗与筛查、治疗依从性管理</w:t>
            </w:r>
          </w:p>
        </w:tc>
        <w:tc>
          <w:tcPr>
            <w:tcW w:type="dxa" w:w="1255"/>
            <w:shd w:val="clear" w:color="auto" w:fill="EDF3F9"/>
          </w:tcPr>
          <w:p>
            <w:pPr>
              <w:spacing w:after="0" w:line="276" w:lineRule="auto"/>
            </w:pPr>
            <w:r/>
            <w:r>
              <w:rPr>
                <w:rFonts w:ascii="宋体" w:hAnsi="宋体" w:eastAsia="宋体" w:cs="宋体"/>
                <w:b w:val="0"/>
                <w:i w:val="0"/>
                <w:color w:val="000000"/>
                <w:sz w:val="19"/>
              </w:rPr>
              <w:t>多款已取得器械注册</w:t>
            </w:r>
          </w:p>
        </w:tc>
        <w:tc>
          <w:tcPr>
            <w:tcW w:type="dxa" w:w="1141"/>
            <w:shd w:val="clear" w:color="auto" w:fill="EDF3F9"/>
          </w:tcPr>
          <w:p>
            <w:pPr>
              <w:spacing w:after="0" w:line="276" w:lineRule="auto"/>
            </w:pPr>
            <w:r/>
            <w:r>
              <w:rPr>
                <w:rFonts w:ascii="宋体" w:hAnsi="宋体" w:eastAsia="宋体" w:cs="宋体"/>
                <w:b w:val="0"/>
                <w:i w:val="0"/>
                <w:color w:val="000000"/>
                <w:sz w:val="19"/>
              </w:rPr>
              <w:t>数百至数千元</w:t>
            </w:r>
          </w:p>
        </w:tc>
        <w:tc>
          <w:tcPr>
            <w:tcW w:type="dxa" w:w="1540"/>
            <w:shd w:val="clear" w:color="auto" w:fill="EDF3F9"/>
          </w:tcPr>
          <w:p>
            <w:pPr>
              <w:spacing w:after="0" w:line="276" w:lineRule="auto"/>
            </w:pPr>
            <w:r/>
            <w:r>
              <w:rPr>
                <w:rFonts w:ascii="宋体" w:hAnsi="宋体" w:eastAsia="宋体" w:cs="宋体"/>
                <w:b w:val="0"/>
                <w:i w:val="0"/>
                <w:color w:val="000000"/>
                <w:sz w:val="19"/>
              </w:rPr>
              <w:t>面向睡眠呼吸暂停，声学维度弱或不采集声学信号；本项目面向哮喘 / 慢阻肺 / 儿童喘息的咳嗽与喘息，二者场景互补而非替代</w:t>
            </w:r>
          </w:p>
        </w:tc>
      </w:tr>
      <w:tr>
        <w:tc>
          <w:tcPr>
            <w:tcW w:type="dxa" w:w="1369"/>
          </w:tcPr>
          <w:p>
            <w:pPr>
              <w:spacing w:after="0" w:line="276" w:lineRule="auto"/>
            </w:pPr>
            <w:r/>
            <w:r>
              <w:rPr>
                <w:rFonts w:ascii="宋体" w:hAnsi="宋体" w:eastAsia="宋体" w:cs="宋体"/>
                <w:b w:val="0"/>
                <w:i w:val="0"/>
                <w:color w:val="000000"/>
                <w:sz w:val="19"/>
              </w:rPr>
              <w:t>消费电子健康监测（Apple、华为）</w:t>
            </w:r>
          </w:p>
        </w:tc>
        <w:tc>
          <w:tcPr>
            <w:tcW w:type="dxa" w:w="742"/>
          </w:tcPr>
          <w:p>
            <w:pPr>
              <w:spacing w:after="0" w:line="276" w:lineRule="auto"/>
            </w:pPr>
            <w:r/>
            <w:r>
              <w:rPr>
                <w:rFonts w:ascii="宋体" w:hAnsi="宋体" w:eastAsia="宋体" w:cs="宋体"/>
                <w:b w:val="0"/>
                <w:i w:val="0"/>
                <w:color w:val="000000"/>
                <w:sz w:val="19"/>
              </w:rPr>
              <w:t>中外</w:t>
            </w:r>
          </w:p>
        </w:tc>
        <w:tc>
          <w:tcPr>
            <w:tcW w:type="dxa" w:w="1369"/>
          </w:tcPr>
          <w:p>
            <w:pPr>
              <w:spacing w:after="0" w:line="276" w:lineRule="auto"/>
            </w:pPr>
            <w:r/>
            <w:r>
              <w:rPr>
                <w:rFonts w:ascii="宋体" w:hAnsi="宋体" w:eastAsia="宋体" w:cs="宋体"/>
                <w:b w:val="0"/>
                <w:i w:val="0"/>
                <w:color w:val="000000"/>
                <w:sz w:val="19"/>
              </w:rPr>
              <w:t>手机、手表内置传感器（加速度计、麦克风、光学）</w:t>
            </w:r>
          </w:p>
        </w:tc>
        <w:tc>
          <w:tcPr>
            <w:tcW w:type="dxa" w:w="1711"/>
          </w:tcPr>
          <w:p>
            <w:pPr>
              <w:spacing w:after="0" w:line="276" w:lineRule="auto"/>
            </w:pPr>
            <w:r/>
            <w:r>
              <w:rPr>
                <w:rFonts w:ascii="宋体" w:hAnsi="宋体" w:eastAsia="宋体" w:cs="宋体"/>
                <w:b w:val="0"/>
                <w:i w:val="0"/>
                <w:color w:val="000000"/>
                <w:sz w:val="19"/>
              </w:rPr>
              <w:t>睡眠呼吸暂停检测（Apple watchOS 11，2024 年 9 月获 FDA 510(k)）、呼吸率、肺功能评估（华为）</w:t>
            </w:r>
          </w:p>
        </w:tc>
        <w:tc>
          <w:tcPr>
            <w:tcW w:type="dxa" w:w="1255"/>
          </w:tcPr>
          <w:p>
            <w:pPr>
              <w:spacing w:after="0" w:line="276" w:lineRule="auto"/>
            </w:pPr>
            <w:r/>
            <w:r>
              <w:rPr>
                <w:rFonts w:ascii="宋体" w:hAnsi="宋体" w:eastAsia="宋体" w:cs="宋体"/>
                <w:b w:val="0"/>
                <w:i w:val="0"/>
                <w:color w:val="000000"/>
                <w:sz w:val="19"/>
              </w:rPr>
              <w:t>睡眠呼吸暂停功能已获 FDA 510(k)；其余健康功能不按医疗器械管理</w:t>
            </w:r>
          </w:p>
        </w:tc>
        <w:tc>
          <w:tcPr>
            <w:tcW w:type="dxa" w:w="1141"/>
          </w:tcPr>
          <w:p>
            <w:pPr>
              <w:spacing w:after="0" w:line="276" w:lineRule="auto"/>
            </w:pPr>
            <w:r/>
            <w:r>
              <w:rPr>
                <w:rFonts w:ascii="宋体" w:hAnsi="宋体" w:eastAsia="宋体" w:cs="宋体"/>
                <w:b w:val="0"/>
                <w:i w:val="0"/>
                <w:color w:val="000000"/>
                <w:sz w:val="19"/>
              </w:rPr>
              <w:t>随设备免费</w:t>
            </w:r>
          </w:p>
        </w:tc>
        <w:tc>
          <w:tcPr>
            <w:tcW w:type="dxa" w:w="1540"/>
          </w:tcPr>
          <w:p>
            <w:pPr>
              <w:spacing w:after="0" w:line="276" w:lineRule="auto"/>
            </w:pPr>
            <w:r/>
            <w:r>
              <w:rPr>
                <w:rFonts w:ascii="宋体" w:hAnsi="宋体" w:eastAsia="宋体" w:cs="宋体"/>
                <w:b w:val="0"/>
                <w:i w:val="0"/>
                <w:color w:val="000000"/>
                <w:sz w:val="19"/>
              </w:rPr>
              <w:t>Apple 已获睡眠呼吸暂停检测的 FDA 510(k) 但尚未推出咳嗽检测；华为手表的肺功能评估在其官方支持页中被承认可能不准确 —— 医疗级咳嗽监测的时间窗口真实存在；本项目指标可溯源、算法版本可审计，面向临床与随访而非泛健康趋势</w:t>
            </w:r>
          </w:p>
        </w:tc>
      </w:tr>
      <w:tr>
        <w:tc>
          <w:tcPr>
            <w:tcW w:type="dxa" w:w="1369"/>
            <w:shd w:val="clear" w:color="auto" w:fill="EDF3F9"/>
          </w:tcPr>
          <w:p>
            <w:pPr>
              <w:spacing w:after="0" w:line="276" w:lineRule="auto"/>
            </w:pPr>
            <w:r/>
            <w:r>
              <w:rPr>
                <w:rFonts w:ascii="宋体" w:hAnsi="宋体" w:eastAsia="宋体" w:cs="宋体"/>
                <w:b w:val="0"/>
                <w:i w:val="0"/>
                <w:color w:val="000000"/>
                <w:sz w:val="19"/>
              </w:rPr>
              <w:t>便携肺功能仪厂商</w:t>
            </w:r>
          </w:p>
        </w:tc>
        <w:tc>
          <w:tcPr>
            <w:tcW w:type="dxa" w:w="742"/>
            <w:shd w:val="clear" w:color="auto" w:fill="EDF3F9"/>
          </w:tcPr>
          <w:p>
            <w:pPr>
              <w:spacing w:after="0" w:line="276" w:lineRule="auto"/>
            </w:pPr>
            <w:r/>
            <w:r>
              <w:rPr>
                <w:rFonts w:ascii="宋体" w:hAnsi="宋体" w:eastAsia="宋体" w:cs="宋体"/>
                <w:b w:val="0"/>
                <w:i w:val="0"/>
                <w:color w:val="000000"/>
                <w:sz w:val="19"/>
              </w:rPr>
              <w:t>中外</w:t>
            </w:r>
          </w:p>
        </w:tc>
        <w:tc>
          <w:tcPr>
            <w:tcW w:type="dxa" w:w="1369"/>
            <w:shd w:val="clear" w:color="auto" w:fill="EDF3F9"/>
          </w:tcPr>
          <w:p>
            <w:pPr>
              <w:spacing w:after="0" w:line="276" w:lineRule="auto"/>
            </w:pPr>
            <w:r/>
            <w:r>
              <w:rPr>
                <w:rFonts w:ascii="宋体" w:hAnsi="宋体" w:eastAsia="宋体" w:cs="宋体"/>
                <w:b w:val="0"/>
                <w:i w:val="0"/>
                <w:color w:val="000000"/>
                <w:sz w:val="19"/>
              </w:rPr>
              <w:t>口含式流量传感器</w:t>
            </w:r>
          </w:p>
        </w:tc>
        <w:tc>
          <w:tcPr>
            <w:tcW w:type="dxa" w:w="1711"/>
            <w:shd w:val="clear" w:color="auto" w:fill="EDF3F9"/>
          </w:tcPr>
          <w:p>
            <w:pPr>
              <w:spacing w:after="0" w:line="276" w:lineRule="auto"/>
            </w:pPr>
            <w:r/>
            <w:r>
              <w:rPr>
                <w:rFonts w:ascii="宋体" w:hAnsi="宋体" w:eastAsia="宋体" w:cs="宋体"/>
                <w:b w:val="0"/>
                <w:i w:val="0"/>
                <w:color w:val="000000"/>
                <w:sz w:val="19"/>
              </w:rPr>
              <w:t>FEV1 / PEF 等肺功能指标</w:t>
            </w:r>
          </w:p>
        </w:tc>
        <w:tc>
          <w:tcPr>
            <w:tcW w:type="dxa" w:w="1255"/>
            <w:shd w:val="clear" w:color="auto" w:fill="EDF3F9"/>
          </w:tcPr>
          <w:p>
            <w:pPr>
              <w:spacing w:after="0" w:line="276" w:lineRule="auto"/>
            </w:pPr>
            <w:r/>
            <w:r>
              <w:rPr>
                <w:rFonts w:ascii="宋体" w:hAnsi="宋体" w:eastAsia="宋体" w:cs="宋体"/>
                <w:b w:val="0"/>
                <w:i w:val="0"/>
                <w:color w:val="000000"/>
                <w:sz w:val="19"/>
              </w:rPr>
              <w:t>多款已取得器械注册</w:t>
            </w:r>
          </w:p>
        </w:tc>
        <w:tc>
          <w:tcPr>
            <w:tcW w:type="dxa" w:w="1141"/>
            <w:shd w:val="clear" w:color="auto" w:fill="EDF3F9"/>
          </w:tcPr>
          <w:p>
            <w:pPr>
              <w:spacing w:after="0" w:line="276" w:lineRule="auto"/>
            </w:pPr>
            <w:r/>
            <w:r>
              <w:rPr>
                <w:rFonts w:ascii="宋体" w:hAnsi="宋体" w:eastAsia="宋体" w:cs="宋体"/>
                <w:b w:val="0"/>
                <w:i w:val="0"/>
                <w:color w:val="000000"/>
                <w:sz w:val="19"/>
              </w:rPr>
              <w:t>数百至数千元</w:t>
            </w:r>
          </w:p>
        </w:tc>
        <w:tc>
          <w:tcPr>
            <w:tcW w:type="dxa" w:w="1540"/>
            <w:shd w:val="clear" w:color="auto" w:fill="EDF3F9"/>
          </w:tcPr>
          <w:p>
            <w:pPr>
              <w:spacing w:after="0" w:line="276" w:lineRule="auto"/>
            </w:pPr>
            <w:r/>
            <w:r>
              <w:rPr>
                <w:rFonts w:ascii="宋体" w:hAnsi="宋体" w:eastAsia="宋体" w:cs="宋体"/>
                <w:b w:val="0"/>
                <w:i w:val="0"/>
                <w:color w:val="000000"/>
                <w:sz w:val="19"/>
              </w:rPr>
              <w:t>需主动用力吹气，儿童与老年患者执行困难，且无法连续监测；本项目提供被动、连续、无需配合的声学监测，二者互补</w:t>
            </w:r>
          </w:p>
        </w:tc>
      </w:tr>
      <w:tr>
        <w:tc>
          <w:tcPr>
            <w:tcW w:type="dxa" w:w="1369"/>
          </w:tcPr>
          <w:p>
            <w:pPr>
              <w:spacing w:after="0" w:line="276" w:lineRule="auto"/>
            </w:pPr>
            <w:r/>
            <w:r>
              <w:rPr>
                <w:rFonts w:ascii="宋体" w:hAnsi="宋体" w:eastAsia="宋体" w:cs="宋体"/>
                <w:b w:val="0"/>
                <w:i w:val="0"/>
                <w:color w:val="000000"/>
                <w:sz w:val="19"/>
              </w:rPr>
              <w:t>家用呼吸设备渠道商（鱼跃医疗、怡和嘉业）</w:t>
            </w:r>
          </w:p>
        </w:tc>
        <w:tc>
          <w:tcPr>
            <w:tcW w:type="dxa" w:w="742"/>
          </w:tcPr>
          <w:p>
            <w:pPr>
              <w:spacing w:after="0" w:line="276" w:lineRule="auto"/>
            </w:pPr>
            <w:r/>
            <w:r>
              <w:rPr>
                <w:rFonts w:ascii="宋体" w:hAnsi="宋体" w:eastAsia="宋体" w:cs="宋体"/>
                <w:b w:val="0"/>
                <w:i w:val="0"/>
                <w:color w:val="000000"/>
                <w:sz w:val="19"/>
              </w:rPr>
              <w:t>中国</w:t>
            </w:r>
          </w:p>
        </w:tc>
        <w:tc>
          <w:tcPr>
            <w:tcW w:type="dxa" w:w="1369"/>
          </w:tcPr>
          <w:p>
            <w:pPr>
              <w:spacing w:after="0" w:line="276" w:lineRule="auto"/>
            </w:pPr>
            <w:r/>
            <w:r>
              <w:rPr>
                <w:rFonts w:ascii="宋体" w:hAnsi="宋体" w:eastAsia="宋体" w:cs="宋体"/>
                <w:b w:val="0"/>
                <w:i w:val="0"/>
                <w:color w:val="000000"/>
                <w:sz w:val="19"/>
              </w:rPr>
              <w:t>家用呼吸机、制氧机、耗材，以及电商与线下渠道</w:t>
            </w:r>
          </w:p>
        </w:tc>
        <w:tc>
          <w:tcPr>
            <w:tcW w:type="dxa" w:w="1711"/>
          </w:tcPr>
          <w:p>
            <w:pPr>
              <w:spacing w:after="0" w:line="276" w:lineRule="auto"/>
            </w:pPr>
            <w:r/>
            <w:r>
              <w:rPr>
                <w:rFonts w:ascii="宋体" w:hAnsi="宋体" w:eastAsia="宋体" w:cs="宋体"/>
                <w:b w:val="0"/>
                <w:i w:val="0"/>
                <w:color w:val="000000"/>
                <w:sz w:val="19"/>
              </w:rPr>
              <w:t>家用呼吸治疗与监测全品类</w:t>
            </w:r>
          </w:p>
        </w:tc>
        <w:tc>
          <w:tcPr>
            <w:tcW w:type="dxa" w:w="1255"/>
          </w:tcPr>
          <w:p>
            <w:pPr>
              <w:spacing w:after="0" w:line="276" w:lineRule="auto"/>
            </w:pPr>
            <w:r/>
            <w:r>
              <w:rPr>
                <w:rFonts w:ascii="宋体" w:hAnsi="宋体" w:eastAsia="宋体" w:cs="宋体"/>
                <w:b w:val="0"/>
                <w:i w:val="0"/>
                <w:color w:val="000000"/>
                <w:sz w:val="19"/>
              </w:rPr>
              <w:t>NMPA 二 / 三类证齐全</w:t>
            </w:r>
          </w:p>
        </w:tc>
        <w:tc>
          <w:tcPr>
            <w:tcW w:type="dxa" w:w="1141"/>
          </w:tcPr>
          <w:p>
            <w:pPr>
              <w:spacing w:after="0" w:line="276" w:lineRule="auto"/>
            </w:pPr>
            <w:r/>
            <w:r>
              <w:rPr>
                <w:rFonts w:ascii="宋体" w:hAnsi="宋体" w:eastAsia="宋体" w:cs="宋体"/>
                <w:b w:val="0"/>
                <w:i w:val="0"/>
                <w:color w:val="000000"/>
                <w:sz w:val="19"/>
              </w:rPr>
              <w:t>呼吸机主流价位数千元</w:t>
            </w:r>
          </w:p>
        </w:tc>
        <w:tc>
          <w:tcPr>
            <w:tcW w:type="dxa" w:w="1540"/>
          </w:tcPr>
          <w:p>
            <w:pPr>
              <w:spacing w:after="0" w:line="276" w:lineRule="auto"/>
            </w:pPr>
            <w:r/>
            <w:r>
              <w:rPr>
                <w:rFonts w:ascii="宋体" w:hAnsi="宋体" w:eastAsia="宋体" w:cs="宋体"/>
                <w:b w:val="0"/>
                <w:i w:val="0"/>
                <w:color w:val="000000"/>
                <w:sz w:val="19"/>
              </w:rPr>
              <w:t>鱼跃医疗 2024 年营收 75.66 亿元（其中呼吸治疗解决方案 25.97 亿元），渠道与品牌护城河极深但缺乏 AI 声学能力 —— 独立建渠道不现实，本项目应定位为算法与方案供应商，与其合作或被集成</w:t>
            </w:r>
          </w:p>
        </w:tc>
      </w:tr>
    </w:tbl>
    <w:p>
      <w:pPr>
        <w:spacing w:after="40"/>
      </w:pPr>
    </w:p>
    <w:p>
      <w:pPr>
        <w:spacing w:after="80"/>
        <w:jc w:val="left"/>
      </w:pPr>
      <w:r>
        <w:rPr>
          <w:rFonts w:ascii="宋体" w:hAnsi="宋体" w:eastAsia="宋体" w:cs="宋体"/>
          <w:b w:val="0"/>
          <w:i w:val="0"/>
          <w:color w:val="595959"/>
          <w:sz w:val="18"/>
        </w:rPr>
        <w:t>注：竞品信息来自公开资料整理，价格与认证状态可能随时间变化，正式使用前请重新核实。</w:t>
      </w:r>
    </w:p>
    <w:p>
      <w:pPr>
        <w:pStyle w:val="Heading2"/>
      </w:pPr>
      <w:r>
        <w:rPr>
          <w:rFonts w:ascii="宋体" w:hAnsi="宋体" w:eastAsia="宋体" w:cs="宋体"/>
          <w:b/>
          <w:i w:val="0"/>
          <w:color w:val="2E74B5"/>
          <w:sz w:val="25"/>
        </w:rPr>
        <w:t>8.3 差异化定位与竞争壁垒</w:t>
      </w:r>
    </w:p>
    <w:p>
      <w:pPr>
        <w:spacing w:before="120" w:after="40"/>
        <w:keepNext/>
      </w:pPr>
      <w:r>
        <w:rPr>
          <w:rFonts w:ascii="宋体" w:hAnsi="宋体" w:eastAsia="宋体" w:cs="宋体"/>
          <w:b/>
          <w:i w:val="0"/>
          <w:color w:val="2E74B5"/>
          <w:sz w:val="22"/>
        </w:rPr>
        <w:t>壁垒 1  特定人群与特定场景的数据独占性</w:t>
      </w:r>
    </w:p>
    <w:p>
      <w:pPr>
        <w:spacing w:after="80"/>
        <w:ind w:firstLine="420"/>
      </w:pPr>
      <w:r>
        <w:rPr>
          <w:rFonts w:ascii="宋体" w:hAnsi="宋体" w:eastAsia="宋体" w:cs="宋体"/>
          <w:b w:val="0"/>
          <w:i w:val="0"/>
          <w:color w:val="000000"/>
          <w:sz w:val="21"/>
        </w:rPr>
        <w:t>中文人群、居家环境、长期纵向的咳嗽与喘息声学数据确实稀缺，但必须承认正面比拼数据量并不现实——Hyfe 已发布 733,756 次咳嗽、2,143 名患者、7 个国家的数据集。本项目的可行路径是做「特定人群 + 特定场景」的差异化数据：中国儿童哮喘的夜间咳嗽、慢阻肺急性加重前的声学变化、以及药物或方案干预前后的纵向对比。这些数据依赖本地临床场景，境外厂商难以复制，且医生端的误报标注可持续提升标签质量。</w:t>
      </w:r>
    </w:p>
    <w:p>
      <w:pPr>
        <w:spacing w:before="120" w:after="40"/>
        <w:keepNext/>
      </w:pPr>
      <w:r>
        <w:rPr>
          <w:rFonts w:ascii="宋体" w:hAnsi="宋体" w:eastAsia="宋体" w:cs="宋体"/>
          <w:b/>
          <w:i w:val="0"/>
          <w:color w:val="2E74B5"/>
          <w:sz w:val="22"/>
        </w:rPr>
        <w:t>壁垒 2  边缘端工程能力</w:t>
      </w:r>
    </w:p>
    <w:p>
      <w:pPr>
        <w:spacing w:after="80"/>
        <w:ind w:firstLine="420"/>
      </w:pPr>
      <w:r>
        <w:rPr>
          <w:rFonts w:ascii="宋体" w:hAnsi="宋体" w:eastAsia="宋体" w:cs="宋体"/>
          <w:b w:val="0"/>
          <w:i w:val="0"/>
          <w:color w:val="000000"/>
          <w:sz w:val="21"/>
        </w:rPr>
        <w:t>把医疗级声学模型稳定跑在 6 TOPS 级别的国产 NPU 上，涉及量化、算子兼容、内存与功耗调度的系统性工程能力。这类 know-how 难以从论文中获得，构成对纯算法团队与纯硬件厂商的双向门槛。</w:t>
      </w:r>
    </w:p>
    <w:p>
      <w:pPr>
        <w:spacing w:before="120" w:after="40"/>
        <w:keepNext/>
      </w:pPr>
      <w:r>
        <w:rPr>
          <w:rFonts w:ascii="宋体" w:hAnsi="宋体" w:eastAsia="宋体" w:cs="宋体"/>
          <w:b/>
          <w:i w:val="0"/>
          <w:color w:val="2E74B5"/>
          <w:sz w:val="22"/>
        </w:rPr>
        <w:t>壁垒 3  合规与临床证据的先发优势</w:t>
      </w:r>
    </w:p>
    <w:p>
      <w:pPr>
        <w:spacing w:after="80"/>
        <w:ind w:firstLine="420"/>
      </w:pPr>
      <w:r>
        <w:rPr>
          <w:rFonts w:ascii="宋体" w:hAnsi="宋体" w:eastAsia="宋体" w:cs="宋体"/>
          <w:b w:val="0"/>
          <w:i w:val="0"/>
          <w:color w:val="000000"/>
          <w:sz w:val="21"/>
        </w:rPr>
        <w:t>医疗方向的真正壁垒是注册证与临床证据，而行业现状对本项目有利：咳嗽声学标志物系统综述（89 项研究、34 个国家）显示，敏感度与特异度常 ≥ 90%，但仅约 11% 的研究开展了外部验证、71%–88% 的研究存在高偏倚风险。本项目分步推进：先以健康管理形态积累数据与用户，同步按 TRIPOD+AI / STARD-AI / PROBAST-AI 规范开展带独立外部验证的低偏倚一致性研究，在竞品仍以单中心、高偏倚风险的结果做演示时完成可被审评的证据积累，形成准入资格上的时间差。</w:t>
      </w:r>
    </w:p>
    <w:p>
      <w:pPr>
        <w:spacing w:before="120" w:after="40"/>
        <w:keepNext/>
      </w:pPr>
      <w:r>
        <w:rPr>
          <w:rFonts w:ascii="宋体" w:hAnsi="宋体" w:eastAsia="宋体" w:cs="宋体"/>
          <w:b/>
          <w:i w:val="0"/>
          <w:color w:val="2E74B5"/>
          <w:sz w:val="22"/>
        </w:rPr>
        <w:t>壁垒 4  国产化与成本结构</w:t>
      </w:r>
    </w:p>
    <w:p>
      <w:pPr>
        <w:spacing w:after="80"/>
        <w:ind w:firstLine="420"/>
      </w:pPr>
      <w:r>
        <w:rPr>
          <w:rFonts w:ascii="宋体" w:hAnsi="宋体" w:eastAsia="宋体" w:cs="宋体"/>
          <w:b w:val="0"/>
          <w:i w:val="0"/>
          <w:color w:val="000000"/>
          <w:sz w:val="21"/>
        </w:rPr>
        <w:t>基于国产芯片与消费级器件的方案在成本与供应链稳定性上具备优势，既契合医疗设备国产化导向，也使其能够下沉到基层与家庭市场，而依赖进口器件的高成本方案难以进入这一价格带。</w:t>
      </w:r>
    </w:p>
    <w:p>
      <w:pPr>
        <w:pStyle w:val="Heading2"/>
      </w:pPr>
      <w:r>
        <w:rPr>
          <w:rFonts w:ascii="宋体" w:hAnsi="宋体" w:eastAsia="宋体" w:cs="宋体"/>
          <w:b/>
          <w:i w:val="0"/>
          <w:color w:val="2E74B5"/>
          <w:sz w:val="25"/>
        </w:rPr>
        <w:t>8.4 SWOT 分析</w:t>
      </w:r>
    </w:p>
    <w:tbl>
      <w:tblPr>
        <w:tblStyle w:val="TableGrid"/>
        <w:jc w:val="center"/>
        <w:tblLook w:firstColumn="1" w:firstRow="1" w:lastColumn="0" w:lastRow="0" w:noHBand="0" w:noVBand="1" w:val="04A0"/>
        <w:tblCellMar>
          <w:top w:w="60" w:type="dxa"/>
          <w:left w:w="90" w:type="dxa"/>
          <w:bottom w:w="60" w:type="dxa"/>
          <w:right w:w="90" w:type="dxa"/>
        </w:tblCellMar>
        <w:tblW w:w="9129" w:type="dxa"/>
        <w:tblLayout w:type="fixed"/>
      </w:tblPr>
      <w:tblGrid>
        <w:gridCol w:w="2282"/>
        <w:gridCol w:w="3423"/>
        <w:gridCol w:w="3423"/>
      </w:tblGrid>
      <w:tr>
        <w:trPr>
          <w:tblHeader w:val="true"/>
        </w:trPr>
        <w:tc>
          <w:tcPr>
            <w:tcW w:type="dxa" w:w="2282"/>
            <w:shd w:val="clear" w:color="auto" w:fill="1F4E79"/>
          </w:tcPr>
          <w:p>
            <w:pPr>
              <w:spacing w:after="0" w:line="276" w:lineRule="auto"/>
              <w:jc w:val="center"/>
            </w:pPr>
            <w:r/>
            <w:r>
              <w:rPr>
                <w:rFonts w:ascii="宋体" w:hAnsi="宋体" w:eastAsia="宋体" w:cs="宋体"/>
                <w:b/>
                <w:i w:val="0"/>
                <w:color w:val="FFFFFF"/>
                <w:sz w:val="19"/>
              </w:rPr>
              <w:t>维度</w:t>
            </w:r>
          </w:p>
        </w:tc>
        <w:tc>
          <w:tcPr>
            <w:tcW w:type="dxa" w:w="3423"/>
            <w:shd w:val="clear" w:color="auto" w:fill="1F4E79"/>
          </w:tcPr>
          <w:p>
            <w:pPr>
              <w:spacing w:after="0" w:line="276" w:lineRule="auto"/>
              <w:jc w:val="center"/>
            </w:pPr>
            <w:r/>
            <w:r>
              <w:rPr>
                <w:rFonts w:ascii="宋体" w:hAnsi="宋体" w:eastAsia="宋体" w:cs="宋体"/>
                <w:b/>
                <w:i w:val="0"/>
                <w:color w:val="FFFFFF"/>
                <w:sz w:val="19"/>
              </w:rPr>
              <w:t>要点</w:t>
            </w:r>
          </w:p>
        </w:tc>
        <w:tc>
          <w:tcPr>
            <w:tcW w:type="dxa" w:w="3423"/>
            <w:shd w:val="clear" w:color="auto" w:fill="1F4E79"/>
          </w:tcPr>
          <w:p>
            <w:pPr>
              <w:spacing w:after="0" w:line="276" w:lineRule="auto"/>
              <w:jc w:val="center"/>
            </w:pPr>
            <w:r/>
            <w:r>
              <w:rPr>
                <w:rFonts w:ascii="宋体" w:hAnsi="宋体" w:eastAsia="宋体" w:cs="宋体"/>
                <w:b/>
                <w:i w:val="0"/>
                <w:color w:val="FFFFFF"/>
                <w:sz w:val="19"/>
              </w:rPr>
              <w:t>应对策略</w:t>
            </w:r>
          </w:p>
        </w:tc>
      </w:tr>
      <w:tr>
        <w:tc>
          <w:tcPr>
            <w:tcW w:type="dxa" w:w="2282"/>
          </w:tcPr>
          <w:p>
            <w:pPr>
              <w:spacing w:after="0" w:line="276" w:lineRule="auto"/>
            </w:pPr>
            <w:r/>
            <w:r>
              <w:rPr>
                <w:rFonts w:ascii="宋体" w:hAnsi="宋体" w:eastAsia="宋体" w:cs="宋体"/>
                <w:b w:val="0"/>
                <w:i w:val="0"/>
                <w:color w:val="000000"/>
                <w:sz w:val="19"/>
              </w:rPr>
              <w:t>优势 S</w:t>
            </w:r>
          </w:p>
        </w:tc>
        <w:tc>
          <w:tcPr>
            <w:tcW w:type="dxa" w:w="3423"/>
          </w:tcPr>
          <w:p>
            <w:pPr>
              <w:spacing w:after="0" w:line="276" w:lineRule="auto"/>
            </w:pPr>
            <w:r/>
            <w:r>
              <w:rPr>
                <w:rFonts w:ascii="宋体" w:hAnsi="宋体" w:eastAsia="宋体" w:cs="宋体"/>
                <w:b w:val="0"/>
                <w:i w:val="0"/>
                <w:color w:val="000000"/>
                <w:sz w:val="19"/>
              </w:rPr>
              <w:t>边缘端隐私架构（须承认该论点并非本项目独有）；成本可控；指标可溯源；临床痛点真实且支付方明确；团队软硬件与算法能力齐备；以严格外部验证与低偏倚设计切入——行业系统综述显示仅约 11% 的研究做了外部验证、71%–88% 存在高偏倚风险</w:t>
            </w:r>
          </w:p>
        </w:tc>
        <w:tc>
          <w:tcPr>
            <w:tcW w:type="dxa" w:w="3423"/>
          </w:tcPr>
          <w:p>
            <w:pPr>
              <w:spacing w:after="0" w:line="276" w:lineRule="auto"/>
            </w:pPr>
            <w:r/>
            <w:r>
              <w:rPr>
                <w:rFonts w:ascii="宋体" w:hAnsi="宋体" w:eastAsia="宋体" w:cs="宋体"/>
                <w:b w:val="0"/>
                <w:i w:val="0"/>
                <w:color w:val="000000"/>
                <w:sz w:val="19"/>
              </w:rPr>
              <w:t>优先把技术指标做扎实，用实测数据而非概念支撑答辩与融资；把“外部验证 + 预注册分析方案 + 盲法标注”作为可核验的差异化，而不是口头卖点</w:t>
            </w:r>
          </w:p>
        </w:tc>
      </w:tr>
      <w:tr>
        <w:tc>
          <w:tcPr>
            <w:tcW w:type="dxa" w:w="2282"/>
            <w:shd w:val="clear" w:color="auto" w:fill="EDF3F9"/>
          </w:tcPr>
          <w:p>
            <w:pPr>
              <w:spacing w:after="0" w:line="276" w:lineRule="auto"/>
            </w:pPr>
            <w:r/>
            <w:r>
              <w:rPr>
                <w:rFonts w:ascii="宋体" w:hAnsi="宋体" w:eastAsia="宋体" w:cs="宋体"/>
                <w:b w:val="0"/>
                <w:i w:val="0"/>
                <w:color w:val="000000"/>
                <w:sz w:val="19"/>
              </w:rPr>
              <w:t>劣势 W</w:t>
            </w:r>
          </w:p>
        </w:tc>
        <w:tc>
          <w:tcPr>
            <w:tcW w:type="dxa" w:w="3423"/>
            <w:shd w:val="clear" w:color="auto" w:fill="EDF3F9"/>
          </w:tcPr>
          <w:p>
            <w:pPr>
              <w:spacing w:after="0" w:line="276" w:lineRule="auto"/>
            </w:pPr>
            <w:r/>
            <w:r>
              <w:rPr>
                <w:rFonts w:ascii="宋体" w:hAnsi="宋体" w:eastAsia="宋体" w:cs="宋体"/>
                <w:b w:val="0"/>
                <w:i w:val="0"/>
                <w:color w:val="000000"/>
                <w:sz w:val="19"/>
              </w:rPr>
              <w:t>团队 8 人规模有限；医疗数据积累刚起步——Hyfe 已发布 733,756 次咳嗽、2,143 名患者、7 国的数据集，正面数据量比拼不现实；缺乏医疗器械注册经验；品牌与渠道为空白</w:t>
            </w:r>
          </w:p>
        </w:tc>
        <w:tc>
          <w:tcPr>
            <w:tcW w:type="dxa" w:w="3423"/>
            <w:shd w:val="clear" w:color="auto" w:fill="EDF3F9"/>
          </w:tcPr>
          <w:p>
            <w:pPr>
              <w:spacing w:after="0" w:line="276" w:lineRule="auto"/>
            </w:pPr>
            <w:r/>
            <w:r>
              <w:rPr>
                <w:rFonts w:ascii="宋体" w:hAnsi="宋体" w:eastAsia="宋体" w:cs="宋体"/>
                <w:b w:val="0"/>
                <w:i w:val="0"/>
                <w:color w:val="000000"/>
                <w:sz w:val="19"/>
              </w:rPr>
              <w:t>采用分步合规路径降低注册风险；与医院、CRO 机构合作弥补临床与渠道短板；数据策略转为“特定人群 + 特定场景”的差异化数据集（中国儿童哮喘、慢阻肺急性加重预警），并尽早启动采集与标注规范</w:t>
            </w:r>
          </w:p>
        </w:tc>
      </w:tr>
      <w:tr>
        <w:tc>
          <w:tcPr>
            <w:tcW w:type="dxa" w:w="2282"/>
          </w:tcPr>
          <w:p>
            <w:pPr>
              <w:spacing w:after="0" w:line="276" w:lineRule="auto"/>
            </w:pPr>
            <w:r/>
            <w:r>
              <w:rPr>
                <w:rFonts w:ascii="宋体" w:hAnsi="宋体" w:eastAsia="宋体" w:cs="宋体"/>
                <w:b w:val="0"/>
                <w:i w:val="0"/>
                <w:color w:val="000000"/>
                <w:sz w:val="19"/>
              </w:rPr>
              <w:t>机会 O</w:t>
            </w:r>
          </w:p>
        </w:tc>
        <w:tc>
          <w:tcPr>
            <w:tcW w:type="dxa" w:w="3423"/>
          </w:tcPr>
          <w:p>
            <w:pPr>
              <w:spacing w:after="0" w:line="276" w:lineRule="auto"/>
            </w:pPr>
            <w:r/>
            <w:r>
              <w:rPr>
                <w:rFonts w:ascii="宋体" w:hAnsi="宋体" w:eastAsia="宋体" w:cs="宋体"/>
                <w:b w:val="0"/>
                <w:i w:val="0"/>
                <w:color w:val="000000"/>
                <w:sz w:val="19"/>
              </w:rPr>
              <w:t>呼吸慢病合计超 1.5 亿人群且院外监测近乎空白；药企对客观咳嗽终点有明确需求（勃林格殷格翰 IPF 研究以咳嗽频次为主要终点）；政策鼓励分级诊疗、早期筛查与国产替代；消费电子巨头已验证声学健康功能的用户接受度，但尚未进入医疗级咳嗽监测</w:t>
            </w:r>
          </w:p>
        </w:tc>
        <w:tc>
          <w:tcPr>
            <w:tcW w:type="dxa" w:w="3423"/>
          </w:tcPr>
          <w:p>
            <w:pPr>
              <w:spacing w:after="0" w:line="276" w:lineRule="auto"/>
            </w:pPr>
            <w:r/>
            <w:r>
              <w:rPr>
                <w:rFonts w:ascii="宋体" w:hAnsi="宋体" w:eastAsia="宋体" w:cs="宋体"/>
                <w:b w:val="0"/>
                <w:i w:val="0"/>
                <w:color w:val="000000"/>
                <w:sz w:val="19"/>
              </w:rPr>
              <w:t>以药企临床研究服务作为早期现金流，反哺 C 端产品与注册投入；把“症状学早筛 / 转诊触发”与“已确诊患者长期管理”并列作为价值主张</w:t>
            </w:r>
          </w:p>
        </w:tc>
      </w:tr>
      <w:tr>
        <w:tc>
          <w:tcPr>
            <w:tcW w:type="dxa" w:w="2282"/>
            <w:shd w:val="clear" w:color="auto" w:fill="EDF3F9"/>
          </w:tcPr>
          <w:p>
            <w:pPr>
              <w:spacing w:after="0" w:line="276" w:lineRule="auto"/>
            </w:pPr>
            <w:r/>
            <w:r>
              <w:rPr>
                <w:rFonts w:ascii="宋体" w:hAnsi="宋体" w:eastAsia="宋体" w:cs="宋体"/>
                <w:b w:val="0"/>
                <w:i w:val="0"/>
                <w:color w:val="000000"/>
                <w:sz w:val="19"/>
              </w:rPr>
              <w:t>威胁 T</w:t>
            </w:r>
          </w:p>
        </w:tc>
        <w:tc>
          <w:tcPr>
            <w:tcW w:type="dxa" w:w="3423"/>
            <w:shd w:val="clear" w:color="auto" w:fill="EDF3F9"/>
          </w:tcPr>
          <w:p>
            <w:pPr>
              <w:spacing w:after="0" w:line="276" w:lineRule="auto"/>
            </w:pPr>
            <w:r/>
            <w:r>
              <w:rPr>
                <w:rFonts w:ascii="宋体" w:hAnsi="宋体" w:eastAsia="宋体" w:cs="宋体"/>
                <w:b w:val="0"/>
                <w:i w:val="0"/>
                <w:color w:val="000000"/>
                <w:sz w:val="19"/>
              </w:rPr>
              <w:t>大型消费电子厂商可能快速进入；算法与硬件均存在被模仿风险；注册周期与政策存在不确定性；Hyfe 已公开占据“端侧隐私”话语权且数据规模领先；鱼跃医疗（2024 年营收 75.66 亿元、呼吸治疗 25.97 亿元）与怡和嘉业已占据家用呼吸渠道与品牌；24 小时咳嗽计数的监管地位仍在演进（FDA 顾问委员会 12:1 反对 gefapixant 获批）</w:t>
            </w:r>
          </w:p>
        </w:tc>
        <w:tc>
          <w:tcPr>
            <w:tcW w:type="dxa" w:w="3423"/>
            <w:shd w:val="clear" w:color="auto" w:fill="EDF3F9"/>
          </w:tcPr>
          <w:p>
            <w:pPr>
              <w:spacing w:after="0" w:line="276" w:lineRule="auto"/>
            </w:pPr>
            <w:r/>
            <w:r>
              <w:rPr>
                <w:rFonts w:ascii="宋体" w:hAnsi="宋体" w:eastAsia="宋体" w:cs="宋体"/>
                <w:b w:val="0"/>
                <w:i w:val="0"/>
                <w:color w:val="000000"/>
                <w:sz w:val="19"/>
              </w:rPr>
              <w:t>用注册资质与临床证据建立壁垒；以数据飞轮与医生端粘性提高替代成本；渠道上定位为算法与方案供应商，与鱼跃、怡和嘉业、可孚等合作或被集成；对监管质疑统一使用“监测指标而非疗效终点”的口径，并按 ICC 与 Bland-Altman 组织一致性验证</w:t>
            </w:r>
          </w:p>
        </w:tc>
      </w:tr>
    </w:tbl>
    <w:p>
      <w:pPr>
        <w:spacing w:after="40"/>
      </w:pPr>
    </w:p>
    <w:p>
      <w:r>
        <w:br w:type="page"/>
      </w:r>
    </w:p>
    <w:p>
      <w:pPr>
        <w:pStyle w:val="Heading1"/>
      </w:pPr>
      <w:r>
        <w:rPr>
          <w:rFonts w:ascii="宋体" w:hAnsi="宋体" w:eastAsia="宋体" w:cs="宋体"/>
          <w:b/>
          <w:i w:val="0"/>
          <w:color w:val="1F4E79"/>
          <w:sz w:val="30"/>
        </w:rPr>
        <w:t>第九章 商业模式与实施计划</w:t>
      </w:r>
    </w:p>
    <w:p>
      <w:pPr>
        <w:pStyle w:val="Heading2"/>
      </w:pPr>
      <w:r>
        <w:rPr>
          <w:rFonts w:ascii="宋体" w:hAnsi="宋体" w:eastAsia="宋体" w:cs="宋体"/>
          <w:b/>
          <w:i w:val="0"/>
          <w:color w:val="2E74B5"/>
          <w:sz w:val="25"/>
        </w:rPr>
        <w:t>9.1 商业模式总览</w:t>
      </w:r>
    </w:p>
    <w:p>
      <w:pPr>
        <w:spacing w:after="80"/>
        <w:ind w:firstLine="420"/>
      </w:pPr>
      <w:r>
        <w:rPr>
          <w:rFonts w:ascii="宋体" w:hAnsi="宋体" w:eastAsia="宋体" w:cs="宋体"/>
          <w:b w:val="0"/>
          <w:i w:val="0"/>
          <w:color w:val="000000"/>
          <w:sz w:val="21"/>
        </w:rPr>
        <w:t>项目采取“硬件建立入口、订阅产生复购、服务放大客单价”的三级商业结构，并用药企临床试验服务作为早期现金流来源，降低 C 端教育成本带来的资金压力。</w:t>
      </w:r>
    </w:p>
    <w:tbl>
      <w:tblPr>
        <w:tblStyle w:val="TableGrid"/>
        <w:jc w:val="center"/>
        <w:tblLook w:firstColumn="1" w:firstRow="1" w:lastColumn="0" w:lastRow="0" w:noHBand="0" w:noVBand="1" w:val="04A0"/>
        <w:tblCellMar>
          <w:top w:w="60" w:type="dxa"/>
          <w:left w:w="90" w:type="dxa"/>
          <w:bottom w:w="60" w:type="dxa"/>
          <w:right w:w="90" w:type="dxa"/>
        </w:tblCellMar>
        <w:tblW w:w="9129" w:type="dxa"/>
        <w:tblLayout w:type="fixed"/>
      </w:tblPr>
      <w:tblGrid>
        <w:gridCol w:w="1369"/>
        <w:gridCol w:w="1712"/>
        <w:gridCol w:w="2396"/>
        <w:gridCol w:w="1826"/>
        <w:gridCol w:w="1826"/>
      </w:tblGrid>
      <w:tr>
        <w:trPr>
          <w:tblHeader w:val="true"/>
        </w:trPr>
        <w:tc>
          <w:tcPr>
            <w:tcW w:type="dxa" w:w="1369"/>
            <w:shd w:val="clear" w:color="auto" w:fill="1F4E79"/>
          </w:tcPr>
          <w:p>
            <w:pPr>
              <w:spacing w:after="0" w:line="276" w:lineRule="auto"/>
              <w:jc w:val="center"/>
            </w:pPr>
            <w:r/>
            <w:r>
              <w:rPr>
                <w:rFonts w:ascii="宋体" w:hAnsi="宋体" w:eastAsia="宋体" w:cs="宋体"/>
                <w:b/>
                <w:i w:val="0"/>
                <w:color w:val="FFFFFF"/>
                <w:sz w:val="19"/>
              </w:rPr>
              <w:t>收入线</w:t>
            </w:r>
          </w:p>
        </w:tc>
        <w:tc>
          <w:tcPr>
            <w:tcW w:type="dxa" w:w="1711"/>
            <w:shd w:val="clear" w:color="auto" w:fill="1F4E79"/>
          </w:tcPr>
          <w:p>
            <w:pPr>
              <w:spacing w:after="0" w:line="276" w:lineRule="auto"/>
              <w:jc w:val="center"/>
            </w:pPr>
            <w:r/>
            <w:r>
              <w:rPr>
                <w:rFonts w:ascii="宋体" w:hAnsi="宋体" w:eastAsia="宋体" w:cs="宋体"/>
                <w:b/>
                <w:i w:val="0"/>
                <w:color w:val="FFFFFF"/>
                <w:sz w:val="19"/>
              </w:rPr>
              <w:t>目标客户</w:t>
            </w:r>
          </w:p>
        </w:tc>
        <w:tc>
          <w:tcPr>
            <w:tcW w:type="dxa" w:w="2396"/>
            <w:shd w:val="clear" w:color="auto" w:fill="1F4E79"/>
          </w:tcPr>
          <w:p>
            <w:pPr>
              <w:spacing w:after="0" w:line="276" w:lineRule="auto"/>
              <w:jc w:val="center"/>
            </w:pPr>
            <w:r/>
            <w:r>
              <w:rPr>
                <w:rFonts w:ascii="宋体" w:hAnsi="宋体" w:eastAsia="宋体" w:cs="宋体"/>
                <w:b/>
                <w:i w:val="0"/>
                <w:color w:val="FFFFFF"/>
                <w:sz w:val="19"/>
              </w:rPr>
              <w:t>产品内容</w:t>
            </w:r>
          </w:p>
        </w:tc>
        <w:tc>
          <w:tcPr>
            <w:tcW w:type="dxa" w:w="1826"/>
            <w:shd w:val="clear" w:color="auto" w:fill="1F4E79"/>
          </w:tcPr>
          <w:p>
            <w:pPr>
              <w:spacing w:after="0" w:line="276" w:lineRule="auto"/>
              <w:jc w:val="center"/>
            </w:pPr>
            <w:r/>
            <w:r>
              <w:rPr>
                <w:rFonts w:ascii="宋体" w:hAnsi="宋体" w:eastAsia="宋体" w:cs="宋体"/>
                <w:b/>
                <w:i w:val="0"/>
                <w:color w:val="FFFFFF"/>
                <w:sz w:val="19"/>
              </w:rPr>
              <w:t>定价方式</w:t>
            </w:r>
          </w:p>
        </w:tc>
        <w:tc>
          <w:tcPr>
            <w:tcW w:type="dxa" w:w="1826"/>
            <w:shd w:val="clear" w:color="auto" w:fill="1F4E79"/>
          </w:tcPr>
          <w:p>
            <w:pPr>
              <w:spacing w:after="0" w:line="276" w:lineRule="auto"/>
              <w:jc w:val="center"/>
            </w:pPr>
            <w:r/>
            <w:r>
              <w:rPr>
                <w:rFonts w:ascii="宋体" w:hAnsi="宋体" w:eastAsia="宋体" w:cs="宋体"/>
                <w:b/>
                <w:i w:val="0"/>
                <w:color w:val="FFFFFF"/>
                <w:sz w:val="19"/>
              </w:rPr>
              <w:t>启动时间</w:t>
            </w:r>
          </w:p>
        </w:tc>
      </w:tr>
      <w:tr>
        <w:tc>
          <w:tcPr>
            <w:tcW w:type="dxa" w:w="1369"/>
          </w:tcPr>
          <w:p>
            <w:pPr>
              <w:spacing w:after="0" w:line="276" w:lineRule="auto"/>
            </w:pPr>
            <w:r/>
            <w:r>
              <w:rPr>
                <w:rFonts w:ascii="宋体" w:hAnsi="宋体" w:eastAsia="宋体" w:cs="宋体"/>
                <w:b w:val="0"/>
                <w:i w:val="0"/>
                <w:color w:val="000000"/>
                <w:sz w:val="19"/>
              </w:rPr>
              <w:t>硬件销售</w:t>
            </w:r>
          </w:p>
        </w:tc>
        <w:tc>
          <w:tcPr>
            <w:tcW w:type="dxa" w:w="1711"/>
          </w:tcPr>
          <w:p>
            <w:pPr>
              <w:spacing w:after="0" w:line="276" w:lineRule="auto"/>
            </w:pPr>
            <w:r/>
            <w:r>
              <w:rPr>
                <w:rFonts w:ascii="宋体" w:hAnsi="宋体" w:eastAsia="宋体" w:cs="宋体"/>
                <w:b w:val="0"/>
                <w:i w:val="0"/>
                <w:color w:val="000000"/>
                <w:sz w:val="19"/>
              </w:rPr>
              <w:t>医院科室、基层机构、C 端家庭</w:t>
            </w:r>
          </w:p>
        </w:tc>
        <w:tc>
          <w:tcPr>
            <w:tcW w:type="dxa" w:w="2396"/>
          </w:tcPr>
          <w:p>
            <w:pPr>
              <w:spacing w:after="0" w:line="276" w:lineRule="auto"/>
            </w:pPr>
            <w:r/>
            <w:r>
              <w:rPr>
                <w:rFonts w:ascii="宋体" w:hAnsi="宋体" w:eastAsia="宋体" w:cs="宋体"/>
                <w:b w:val="0"/>
                <w:i w:val="0"/>
                <w:color w:val="000000"/>
                <w:sz w:val="19"/>
              </w:rPr>
              <w:t>RK3576 边缘监测节点 + 拾音配件（家用入门版与完整版、机构版）</w:t>
            </w:r>
          </w:p>
        </w:tc>
        <w:tc>
          <w:tcPr>
            <w:tcW w:type="dxa" w:w="1826"/>
          </w:tcPr>
          <w:p>
            <w:pPr>
              <w:spacing w:after="0" w:line="276" w:lineRule="auto"/>
            </w:pPr>
            <w:r/>
            <w:r>
              <w:rPr>
                <w:rFonts w:ascii="宋体" w:hAnsi="宋体" w:eastAsia="宋体" w:cs="宋体"/>
                <w:b w:val="0"/>
                <w:i w:val="0"/>
                <w:color w:val="000000"/>
                <w:sz w:val="19"/>
              </w:rPr>
              <w:t>一次性买断</w:t>
            </w:r>
          </w:p>
        </w:tc>
        <w:tc>
          <w:tcPr>
            <w:tcW w:type="dxa" w:w="1826"/>
          </w:tcPr>
          <w:p>
            <w:pPr>
              <w:spacing w:after="0" w:line="276" w:lineRule="auto"/>
            </w:pPr>
            <w:r/>
            <w:r>
              <w:rPr>
                <w:rFonts w:ascii="宋体" w:hAnsi="宋体" w:eastAsia="宋体" w:cs="宋体"/>
                <w:b w:val="0"/>
                <w:i w:val="0"/>
                <w:color w:val="000000"/>
                <w:sz w:val="19"/>
              </w:rPr>
              <w:t>第 2 年</w:t>
            </w:r>
          </w:p>
        </w:tc>
      </w:tr>
      <w:tr>
        <w:tc>
          <w:tcPr>
            <w:tcW w:type="dxa" w:w="1369"/>
            <w:shd w:val="clear" w:color="auto" w:fill="EDF3F9"/>
          </w:tcPr>
          <w:p>
            <w:pPr>
              <w:spacing w:after="0" w:line="276" w:lineRule="auto"/>
            </w:pPr>
            <w:r/>
            <w:r>
              <w:rPr>
                <w:rFonts w:ascii="宋体" w:hAnsi="宋体" w:eastAsia="宋体" w:cs="宋体"/>
                <w:b w:val="0"/>
                <w:i w:val="0"/>
                <w:color w:val="000000"/>
                <w:sz w:val="19"/>
              </w:rPr>
              <w:t>SaaS 订阅</w:t>
            </w:r>
          </w:p>
        </w:tc>
        <w:tc>
          <w:tcPr>
            <w:tcW w:type="dxa" w:w="1711"/>
            <w:shd w:val="clear" w:color="auto" w:fill="EDF3F9"/>
          </w:tcPr>
          <w:p>
            <w:pPr>
              <w:spacing w:after="0" w:line="276" w:lineRule="auto"/>
            </w:pPr>
            <w:r/>
            <w:r>
              <w:rPr>
                <w:rFonts w:ascii="宋体" w:hAnsi="宋体" w:eastAsia="宋体" w:cs="宋体"/>
                <w:b w:val="0"/>
                <w:i w:val="0"/>
                <w:color w:val="000000"/>
                <w:sz w:val="19"/>
              </w:rPr>
              <w:t>C 端患者、家庭</w:t>
            </w:r>
          </w:p>
        </w:tc>
        <w:tc>
          <w:tcPr>
            <w:tcW w:type="dxa" w:w="2396"/>
            <w:shd w:val="clear" w:color="auto" w:fill="EDF3F9"/>
          </w:tcPr>
          <w:p>
            <w:pPr>
              <w:spacing w:after="0" w:line="276" w:lineRule="auto"/>
            </w:pPr>
            <w:r/>
            <w:r>
              <w:rPr>
                <w:rFonts w:ascii="宋体" w:hAnsi="宋体" w:eastAsia="宋体" w:cs="宋体"/>
                <w:b w:val="0"/>
                <w:i w:val="0"/>
                <w:color w:val="000000"/>
                <w:sz w:val="19"/>
              </w:rPr>
              <w:t>趋势分析、异常提示、随访报告、家属共享</w:t>
            </w:r>
          </w:p>
        </w:tc>
        <w:tc>
          <w:tcPr>
            <w:tcW w:type="dxa" w:w="1826"/>
            <w:shd w:val="clear" w:color="auto" w:fill="EDF3F9"/>
          </w:tcPr>
          <w:p>
            <w:pPr>
              <w:spacing w:after="0" w:line="276" w:lineRule="auto"/>
            </w:pPr>
            <w:r/>
            <w:r>
              <w:rPr>
                <w:rFonts w:ascii="宋体" w:hAnsi="宋体" w:eastAsia="宋体" w:cs="宋体"/>
                <w:b w:val="0"/>
                <w:i w:val="0"/>
                <w:color w:val="000000"/>
                <w:sz w:val="19"/>
              </w:rPr>
              <w:t>年费订阅（必须绑定硬件销售；2023 年中国数字疗法市场仅 8.2 亿元，说明纯软件订阅在国内尚未跑通）</w:t>
            </w:r>
          </w:p>
        </w:tc>
        <w:tc>
          <w:tcPr>
            <w:tcW w:type="dxa" w:w="1826"/>
            <w:shd w:val="clear" w:color="auto" w:fill="EDF3F9"/>
          </w:tcPr>
          <w:p>
            <w:pPr>
              <w:spacing w:after="0" w:line="276" w:lineRule="auto"/>
            </w:pPr>
            <w:r/>
            <w:r>
              <w:rPr>
                <w:rFonts w:ascii="宋体" w:hAnsi="宋体" w:eastAsia="宋体" w:cs="宋体"/>
                <w:b w:val="0"/>
                <w:i w:val="0"/>
                <w:color w:val="000000"/>
                <w:sz w:val="19"/>
              </w:rPr>
              <w:t>第 2 年</w:t>
            </w:r>
          </w:p>
        </w:tc>
      </w:tr>
      <w:tr>
        <w:tc>
          <w:tcPr>
            <w:tcW w:type="dxa" w:w="1369"/>
          </w:tcPr>
          <w:p>
            <w:pPr>
              <w:spacing w:after="0" w:line="276" w:lineRule="auto"/>
            </w:pPr>
            <w:r/>
            <w:r>
              <w:rPr>
                <w:rFonts w:ascii="宋体" w:hAnsi="宋体" w:eastAsia="宋体" w:cs="宋体"/>
                <w:b w:val="0"/>
                <w:i w:val="0"/>
                <w:color w:val="000000"/>
                <w:sz w:val="19"/>
              </w:rPr>
              <w:t>临床研究服务</w:t>
            </w:r>
          </w:p>
        </w:tc>
        <w:tc>
          <w:tcPr>
            <w:tcW w:type="dxa" w:w="1711"/>
          </w:tcPr>
          <w:p>
            <w:pPr>
              <w:spacing w:after="0" w:line="276" w:lineRule="auto"/>
            </w:pPr>
            <w:r/>
            <w:r>
              <w:rPr>
                <w:rFonts w:ascii="宋体" w:hAnsi="宋体" w:eastAsia="宋体" w:cs="宋体"/>
                <w:b w:val="0"/>
                <w:i w:val="0"/>
                <w:color w:val="000000"/>
                <w:sz w:val="19"/>
              </w:rPr>
              <w:t>药企、CRO、科研机构</w:t>
            </w:r>
          </w:p>
        </w:tc>
        <w:tc>
          <w:tcPr>
            <w:tcW w:type="dxa" w:w="2396"/>
          </w:tcPr>
          <w:p>
            <w:pPr>
              <w:spacing w:after="0" w:line="276" w:lineRule="auto"/>
            </w:pPr>
            <w:r/>
            <w:r>
              <w:rPr>
                <w:rFonts w:ascii="宋体" w:hAnsi="宋体" w:eastAsia="宋体" w:cs="宋体"/>
                <w:b w:val="0"/>
                <w:i w:val="0"/>
                <w:color w:val="000000"/>
                <w:sz w:val="19"/>
              </w:rPr>
              <w:t>客观咳嗽终点数据采集与统计交付：24 小时咳嗽频次、逐事件指标（敏感度 / 阳性预测值）、逐时段指标（相关系数 / ICC(2,1)）、假阳性率（次/小时）、Bland-Altman 报告，含设备配置、数据管理与稽查留痕</w:t>
            </w:r>
          </w:p>
        </w:tc>
        <w:tc>
          <w:tcPr>
            <w:tcW w:type="dxa" w:w="1826"/>
          </w:tcPr>
          <w:p>
            <w:pPr>
              <w:spacing w:after="0" w:line="276" w:lineRule="auto"/>
            </w:pPr>
            <w:r/>
            <w:r>
              <w:rPr>
                <w:rFonts w:ascii="宋体" w:hAnsi="宋体" w:eastAsia="宋体" w:cs="宋体"/>
                <w:b w:val="0"/>
                <w:i w:val="0"/>
                <w:color w:val="000000"/>
                <w:sz w:val="19"/>
              </w:rPr>
              <w:t>项目制收费（按入组例数、监测周期与交付深度定价）；行业普遍不公开报价【实际客单价待核实】</w:t>
            </w:r>
          </w:p>
        </w:tc>
        <w:tc>
          <w:tcPr>
            <w:tcW w:type="dxa" w:w="1826"/>
          </w:tcPr>
          <w:p>
            <w:pPr>
              <w:spacing w:after="0" w:line="276" w:lineRule="auto"/>
            </w:pPr>
            <w:r/>
            <w:r>
              <w:rPr>
                <w:rFonts w:ascii="宋体" w:hAnsi="宋体" w:eastAsia="宋体" w:cs="宋体"/>
                <w:b w:val="0"/>
                <w:i w:val="0"/>
                <w:color w:val="000000"/>
                <w:sz w:val="19"/>
              </w:rPr>
              <w:t>第 1–2 年（不依赖注册证）</w:t>
            </w:r>
          </w:p>
        </w:tc>
      </w:tr>
      <w:tr>
        <w:tc>
          <w:tcPr>
            <w:tcW w:type="dxa" w:w="1369"/>
            <w:shd w:val="clear" w:color="auto" w:fill="EDF3F9"/>
          </w:tcPr>
          <w:p>
            <w:pPr>
              <w:spacing w:after="0" w:line="276" w:lineRule="auto"/>
            </w:pPr>
            <w:r/>
            <w:r>
              <w:rPr>
                <w:rFonts w:ascii="宋体" w:hAnsi="宋体" w:eastAsia="宋体" w:cs="宋体"/>
                <w:b w:val="0"/>
                <w:i w:val="0"/>
                <w:color w:val="000000"/>
                <w:sz w:val="19"/>
              </w:rPr>
              <w:t>院内系统与数据服务</w:t>
            </w:r>
          </w:p>
        </w:tc>
        <w:tc>
          <w:tcPr>
            <w:tcW w:type="dxa" w:w="1711"/>
            <w:shd w:val="clear" w:color="auto" w:fill="EDF3F9"/>
          </w:tcPr>
          <w:p>
            <w:pPr>
              <w:spacing w:after="0" w:line="276" w:lineRule="auto"/>
            </w:pPr>
            <w:r/>
            <w:r>
              <w:rPr>
                <w:rFonts w:ascii="宋体" w:hAnsi="宋体" w:eastAsia="宋体" w:cs="宋体"/>
                <w:b w:val="0"/>
                <w:i w:val="0"/>
                <w:color w:val="000000"/>
                <w:sz w:val="19"/>
              </w:rPr>
              <w:t>医院、区域慢病管理平台</w:t>
            </w:r>
          </w:p>
        </w:tc>
        <w:tc>
          <w:tcPr>
            <w:tcW w:type="dxa" w:w="2396"/>
            <w:shd w:val="clear" w:color="auto" w:fill="EDF3F9"/>
          </w:tcPr>
          <w:p>
            <w:pPr>
              <w:spacing w:after="0" w:line="276" w:lineRule="auto"/>
            </w:pPr>
            <w:r/>
            <w:r>
              <w:rPr>
                <w:rFonts w:ascii="宋体" w:hAnsi="宋体" w:eastAsia="宋体" w:cs="宋体"/>
                <w:b w:val="0"/>
                <w:i w:val="0"/>
                <w:color w:val="000000"/>
                <w:sz w:val="19"/>
              </w:rPr>
              <w:t>医生端工作站、HIS 对接、区域数据看板</w:t>
            </w:r>
          </w:p>
        </w:tc>
        <w:tc>
          <w:tcPr>
            <w:tcW w:type="dxa" w:w="1826"/>
            <w:shd w:val="clear" w:color="auto" w:fill="EDF3F9"/>
          </w:tcPr>
          <w:p>
            <w:pPr>
              <w:spacing w:after="0" w:line="276" w:lineRule="auto"/>
            </w:pPr>
            <w:r/>
            <w:r>
              <w:rPr>
                <w:rFonts w:ascii="宋体" w:hAnsi="宋体" w:eastAsia="宋体" w:cs="宋体"/>
                <w:b w:val="0"/>
                <w:i w:val="0"/>
                <w:color w:val="000000"/>
                <w:sz w:val="19"/>
              </w:rPr>
              <w:t>年度授权与服务费</w:t>
            </w:r>
          </w:p>
        </w:tc>
        <w:tc>
          <w:tcPr>
            <w:tcW w:type="dxa" w:w="1826"/>
            <w:shd w:val="clear" w:color="auto" w:fill="EDF3F9"/>
          </w:tcPr>
          <w:p>
            <w:pPr>
              <w:spacing w:after="0" w:line="276" w:lineRule="auto"/>
            </w:pPr>
            <w:r/>
            <w:r>
              <w:rPr>
                <w:rFonts w:ascii="宋体" w:hAnsi="宋体" w:eastAsia="宋体" w:cs="宋体"/>
                <w:b w:val="0"/>
                <w:i w:val="0"/>
                <w:color w:val="000000"/>
                <w:sz w:val="19"/>
              </w:rPr>
              <w:t>第 2–3 年</w:t>
            </w:r>
          </w:p>
        </w:tc>
      </w:tr>
      <w:tr>
        <w:tc>
          <w:tcPr>
            <w:tcW w:type="dxa" w:w="1369"/>
          </w:tcPr>
          <w:p>
            <w:pPr>
              <w:spacing w:after="0" w:line="276" w:lineRule="auto"/>
            </w:pPr>
            <w:r/>
            <w:r>
              <w:rPr>
                <w:rFonts w:ascii="宋体" w:hAnsi="宋体" w:eastAsia="宋体" w:cs="宋体"/>
                <w:b w:val="0"/>
                <w:i w:val="0"/>
                <w:color w:val="000000"/>
                <w:sz w:val="19"/>
              </w:rPr>
              <w:t>算法与方案授权（OEM）</w:t>
            </w:r>
          </w:p>
        </w:tc>
        <w:tc>
          <w:tcPr>
            <w:tcW w:type="dxa" w:w="1711"/>
          </w:tcPr>
          <w:p>
            <w:pPr>
              <w:spacing w:after="0" w:line="276" w:lineRule="auto"/>
            </w:pPr>
            <w:r/>
            <w:r>
              <w:rPr>
                <w:rFonts w:ascii="宋体" w:hAnsi="宋体" w:eastAsia="宋体" w:cs="宋体"/>
                <w:b w:val="0"/>
                <w:i w:val="0"/>
                <w:color w:val="000000"/>
                <w:sz w:val="19"/>
              </w:rPr>
              <w:t>家用呼吸设备与消费医疗渠道商</w:t>
            </w:r>
          </w:p>
        </w:tc>
        <w:tc>
          <w:tcPr>
            <w:tcW w:type="dxa" w:w="2396"/>
          </w:tcPr>
          <w:p>
            <w:pPr>
              <w:spacing w:after="0" w:line="276" w:lineRule="auto"/>
            </w:pPr>
            <w:r/>
            <w:r>
              <w:rPr>
                <w:rFonts w:ascii="宋体" w:hAnsi="宋体" w:eastAsia="宋体" w:cs="宋体"/>
                <w:b w:val="0"/>
                <w:i w:val="0"/>
                <w:color w:val="000000"/>
                <w:sz w:val="19"/>
              </w:rPr>
              <w:t>声学算法 SDK 或整机方案授权、联合品牌产品</w:t>
            </w:r>
          </w:p>
        </w:tc>
        <w:tc>
          <w:tcPr>
            <w:tcW w:type="dxa" w:w="1826"/>
          </w:tcPr>
          <w:p>
            <w:pPr>
              <w:spacing w:after="0" w:line="276" w:lineRule="auto"/>
            </w:pPr>
            <w:r/>
            <w:r>
              <w:rPr>
                <w:rFonts w:ascii="宋体" w:hAnsi="宋体" w:eastAsia="宋体" w:cs="宋体"/>
                <w:b w:val="0"/>
                <w:i w:val="0"/>
                <w:color w:val="000000"/>
                <w:sz w:val="19"/>
              </w:rPr>
              <w:t>授权费 + 按台分成</w:t>
            </w:r>
          </w:p>
        </w:tc>
        <w:tc>
          <w:tcPr>
            <w:tcW w:type="dxa" w:w="1826"/>
          </w:tcPr>
          <w:p>
            <w:pPr>
              <w:spacing w:after="0" w:line="276" w:lineRule="auto"/>
            </w:pPr>
            <w:r/>
            <w:r>
              <w:rPr>
                <w:rFonts w:ascii="宋体" w:hAnsi="宋体" w:eastAsia="宋体" w:cs="宋体"/>
                <w:b w:val="0"/>
                <w:i w:val="0"/>
                <w:color w:val="000000"/>
                <w:sz w:val="19"/>
              </w:rPr>
              <w:t>第 3 年</w:t>
            </w:r>
          </w:p>
        </w:tc>
      </w:tr>
    </w:tbl>
    <w:p>
      <w:pPr>
        <w:spacing w:after="40"/>
      </w:pPr>
    </w:p>
    <w:p>
      <w:pPr>
        <w:pStyle w:val="Heading2"/>
      </w:pPr>
      <w:r>
        <w:rPr>
          <w:rFonts w:ascii="宋体" w:hAnsi="宋体" w:eastAsia="宋体" w:cs="宋体"/>
          <w:b/>
          <w:i w:val="0"/>
          <w:color w:val="2E74B5"/>
          <w:sz w:val="25"/>
        </w:rPr>
        <w:t>9.2 定价策略</w:t>
      </w:r>
    </w:p>
    <w:tbl>
      <w:tblPr>
        <w:tblStyle w:val="TableGrid"/>
        <w:jc w:val="center"/>
        <w:tblLook w:firstColumn="1" w:firstRow="1" w:lastColumn="0" w:lastRow="0" w:noHBand="0" w:noVBand="1" w:val="04A0"/>
        <w:tblCellMar>
          <w:top w:w="60" w:type="dxa"/>
          <w:left w:w="90" w:type="dxa"/>
          <w:bottom w:w="60" w:type="dxa"/>
          <w:right w:w="90" w:type="dxa"/>
        </w:tblCellMar>
        <w:tblW w:w="9129" w:type="dxa"/>
        <w:tblLayout w:type="fixed"/>
      </w:tblPr>
      <w:tblGrid>
        <w:gridCol w:w="1940"/>
        <w:gridCol w:w="1940"/>
        <w:gridCol w:w="5249"/>
      </w:tblGrid>
      <w:tr>
        <w:trPr>
          <w:tblHeader w:val="true"/>
        </w:trPr>
        <w:tc>
          <w:tcPr>
            <w:tcW w:type="dxa" w:w="1940"/>
            <w:shd w:val="clear" w:color="auto" w:fill="1F4E79"/>
          </w:tcPr>
          <w:p>
            <w:pPr>
              <w:spacing w:after="0" w:line="276" w:lineRule="auto"/>
              <w:jc w:val="center"/>
            </w:pPr>
            <w:r/>
            <w:r>
              <w:rPr>
                <w:rFonts w:ascii="宋体" w:hAnsi="宋体" w:eastAsia="宋体" w:cs="宋体"/>
                <w:b/>
                <w:i w:val="0"/>
                <w:color w:val="FFFFFF"/>
                <w:sz w:val="19"/>
              </w:rPr>
              <w:t>产品 / 服务</w:t>
            </w:r>
          </w:p>
        </w:tc>
        <w:tc>
          <w:tcPr>
            <w:tcW w:type="dxa" w:w="1940"/>
            <w:shd w:val="clear" w:color="auto" w:fill="1F4E79"/>
          </w:tcPr>
          <w:p>
            <w:pPr>
              <w:spacing w:after="0" w:line="276" w:lineRule="auto"/>
              <w:jc w:val="center"/>
            </w:pPr>
            <w:r/>
            <w:r>
              <w:rPr>
                <w:rFonts w:ascii="宋体" w:hAnsi="宋体" w:eastAsia="宋体" w:cs="宋体"/>
                <w:b/>
                <w:i w:val="0"/>
                <w:color w:val="FFFFFF"/>
                <w:sz w:val="19"/>
              </w:rPr>
              <w:t>建议定价</w:t>
            </w:r>
          </w:p>
        </w:tc>
        <w:tc>
          <w:tcPr>
            <w:tcW w:type="dxa" w:w="5248"/>
            <w:shd w:val="clear" w:color="auto" w:fill="1F4E79"/>
          </w:tcPr>
          <w:p>
            <w:pPr>
              <w:spacing w:after="0" w:line="276" w:lineRule="auto"/>
              <w:jc w:val="center"/>
            </w:pPr>
            <w:r/>
            <w:r>
              <w:rPr>
                <w:rFonts w:ascii="宋体" w:hAnsi="宋体" w:eastAsia="宋体" w:cs="宋体"/>
                <w:b/>
                <w:i w:val="0"/>
                <w:color w:val="FFFFFF"/>
                <w:sz w:val="19"/>
              </w:rPr>
              <w:t>定价依据</w:t>
            </w:r>
          </w:p>
        </w:tc>
      </w:tr>
      <w:tr>
        <w:tc>
          <w:tcPr>
            <w:tcW w:type="dxa" w:w="1940"/>
          </w:tcPr>
          <w:p>
            <w:pPr>
              <w:spacing w:after="0" w:line="276" w:lineRule="auto"/>
            </w:pPr>
            <w:r/>
            <w:r>
              <w:rPr>
                <w:rFonts w:ascii="宋体" w:hAnsi="宋体" w:eastAsia="宋体" w:cs="宋体"/>
                <w:b w:val="0"/>
                <w:i w:val="0"/>
                <w:color w:val="000000"/>
                <w:sz w:val="19"/>
              </w:rPr>
              <w:t>边缘监测节点（家用入门版，单麦克风、Wi-Fi）</w:t>
            </w:r>
          </w:p>
        </w:tc>
        <w:tc>
          <w:tcPr>
            <w:tcW w:type="dxa" w:w="1940"/>
          </w:tcPr>
          <w:p>
            <w:pPr>
              <w:spacing w:after="0" w:line="276" w:lineRule="auto"/>
            </w:pPr>
            <w:r/>
            <w:r>
              <w:rPr>
                <w:rFonts w:ascii="宋体" w:hAnsi="宋体" w:eastAsia="宋体" w:cs="宋体"/>
                <w:b w:val="0"/>
                <w:i w:val="0"/>
                <w:color w:val="000000"/>
                <w:sz w:val="19"/>
              </w:rPr>
              <w:t>699–899 元/台</w:t>
            </w:r>
          </w:p>
        </w:tc>
        <w:tc>
          <w:tcPr>
            <w:tcW w:type="dxa" w:w="5248"/>
          </w:tcPr>
          <w:p>
            <w:pPr>
              <w:spacing w:after="0" w:line="276" w:lineRule="auto"/>
            </w:pPr>
            <w:r/>
            <w:r>
              <w:rPr>
                <w:rFonts w:ascii="宋体" w:hAnsi="宋体" w:eastAsia="宋体" w:cs="宋体"/>
                <w:b w:val="0"/>
                <w:i w:val="0"/>
                <w:color w:val="000000"/>
                <w:sz w:val="19"/>
              </w:rPr>
              <w:t>支付方结构为个人自付 49%、基本医保 44%、商业健康险 7.7%，C 端定价必须落在家庭可自主决策的区间；对标国产家用血压计 / CGM 的决策门槛，并考虑家用医疗器械线上占比已达 44.3% 的价格敏感度。该价位为基于支付结构的推断值，需通过用户调研验证支付意愿</w:t>
            </w:r>
          </w:p>
        </w:tc>
      </w:tr>
      <w:tr>
        <w:tc>
          <w:tcPr>
            <w:tcW w:type="dxa" w:w="1940"/>
            <w:shd w:val="clear" w:color="auto" w:fill="EDF3F9"/>
          </w:tcPr>
          <w:p>
            <w:pPr>
              <w:spacing w:after="0" w:line="276" w:lineRule="auto"/>
            </w:pPr>
            <w:r/>
            <w:r>
              <w:rPr>
                <w:rFonts w:ascii="宋体" w:hAnsi="宋体" w:eastAsia="宋体" w:cs="宋体"/>
                <w:b w:val="0"/>
                <w:i w:val="0"/>
                <w:color w:val="000000"/>
                <w:sz w:val="19"/>
              </w:rPr>
              <w:t>边缘监测节点（家用完整版，双麦克风 + 4G + 完整算法）</w:t>
            </w:r>
          </w:p>
        </w:tc>
        <w:tc>
          <w:tcPr>
            <w:tcW w:type="dxa" w:w="1940"/>
            <w:shd w:val="clear" w:color="auto" w:fill="EDF3F9"/>
          </w:tcPr>
          <w:p>
            <w:pPr>
              <w:spacing w:after="0" w:line="276" w:lineRule="auto"/>
            </w:pPr>
            <w:r/>
            <w:r>
              <w:rPr>
                <w:rFonts w:ascii="宋体" w:hAnsi="宋体" w:eastAsia="宋体" w:cs="宋体"/>
                <w:b w:val="0"/>
                <w:i w:val="0"/>
                <w:color w:val="000000"/>
                <w:sz w:val="19"/>
              </w:rPr>
              <w:t>1,299 元/台</w:t>
            </w:r>
          </w:p>
        </w:tc>
        <w:tc>
          <w:tcPr>
            <w:tcW w:type="dxa" w:w="5248"/>
            <w:shd w:val="clear" w:color="auto" w:fill="EDF3F9"/>
          </w:tcPr>
          <w:p>
            <w:pPr>
              <w:spacing w:after="0" w:line="276" w:lineRule="auto"/>
            </w:pPr>
            <w:r/>
            <w:r>
              <w:rPr>
                <w:rFonts w:ascii="宋体" w:hAnsi="宋体" w:eastAsia="宋体" w:cs="宋体"/>
                <w:b w:val="0"/>
                <w:i w:val="0"/>
                <w:color w:val="000000"/>
                <w:sz w:val="19"/>
              </w:rPr>
              <w:t>硬件成本数百元量级，参考家用医疗监测设备价格带，兼顾毛利与家庭可接受度；本表财务预测按此价位测算</w:t>
            </w:r>
          </w:p>
        </w:tc>
      </w:tr>
      <w:tr>
        <w:tc>
          <w:tcPr>
            <w:tcW w:type="dxa" w:w="1940"/>
          </w:tcPr>
          <w:p>
            <w:pPr>
              <w:spacing w:after="0" w:line="276" w:lineRule="auto"/>
            </w:pPr>
            <w:r/>
            <w:r>
              <w:rPr>
                <w:rFonts w:ascii="宋体" w:hAnsi="宋体" w:eastAsia="宋体" w:cs="宋体"/>
                <w:b w:val="0"/>
                <w:i w:val="0"/>
                <w:color w:val="000000"/>
                <w:sz w:val="19"/>
              </w:rPr>
              <w:t>边缘监测节点（机构版）</w:t>
            </w:r>
          </w:p>
        </w:tc>
        <w:tc>
          <w:tcPr>
            <w:tcW w:type="dxa" w:w="1940"/>
          </w:tcPr>
          <w:p>
            <w:pPr>
              <w:spacing w:after="0" w:line="276" w:lineRule="auto"/>
            </w:pPr>
            <w:r/>
            <w:r>
              <w:rPr>
                <w:rFonts w:ascii="宋体" w:hAnsi="宋体" w:eastAsia="宋体" w:cs="宋体"/>
                <w:b w:val="0"/>
                <w:i w:val="0"/>
                <w:color w:val="000000"/>
                <w:sz w:val="19"/>
              </w:rPr>
              <w:t>1,999–2,999 元/台</w:t>
            </w:r>
          </w:p>
        </w:tc>
        <w:tc>
          <w:tcPr>
            <w:tcW w:type="dxa" w:w="5248"/>
          </w:tcPr>
          <w:p>
            <w:pPr>
              <w:spacing w:after="0" w:line="276" w:lineRule="auto"/>
            </w:pPr>
            <w:r/>
            <w:r>
              <w:rPr>
                <w:rFonts w:ascii="宋体" w:hAnsi="宋体" w:eastAsia="宋体" w:cs="宋体"/>
                <w:b w:val="0"/>
                <w:i w:val="0"/>
                <w:color w:val="000000"/>
                <w:sz w:val="19"/>
              </w:rPr>
              <w:t>含更长质保、设备管理接口、批量部署支持与稽查留痕能力</w:t>
            </w:r>
          </w:p>
        </w:tc>
      </w:tr>
      <w:tr>
        <w:tc>
          <w:tcPr>
            <w:tcW w:type="dxa" w:w="1940"/>
            <w:shd w:val="clear" w:color="auto" w:fill="EDF3F9"/>
          </w:tcPr>
          <w:p>
            <w:pPr>
              <w:spacing w:after="0" w:line="276" w:lineRule="auto"/>
            </w:pPr>
            <w:r/>
            <w:r>
              <w:rPr>
                <w:rFonts w:ascii="宋体" w:hAnsi="宋体" w:eastAsia="宋体" w:cs="宋体"/>
                <w:b w:val="0"/>
                <w:i w:val="0"/>
                <w:color w:val="000000"/>
                <w:sz w:val="19"/>
              </w:rPr>
              <w:t>个人订阅服务</w:t>
            </w:r>
          </w:p>
        </w:tc>
        <w:tc>
          <w:tcPr>
            <w:tcW w:type="dxa" w:w="1940"/>
            <w:shd w:val="clear" w:color="auto" w:fill="EDF3F9"/>
          </w:tcPr>
          <w:p>
            <w:pPr>
              <w:spacing w:after="0" w:line="276" w:lineRule="auto"/>
            </w:pPr>
            <w:r/>
            <w:r>
              <w:rPr>
                <w:rFonts w:ascii="宋体" w:hAnsi="宋体" w:eastAsia="宋体" w:cs="宋体"/>
                <w:b w:val="0"/>
                <w:i w:val="0"/>
                <w:color w:val="000000"/>
                <w:sz w:val="19"/>
              </w:rPr>
              <w:t>299 元/年（基础）/ 599 元/年（含报告与医生解读）</w:t>
            </w:r>
          </w:p>
        </w:tc>
        <w:tc>
          <w:tcPr>
            <w:tcW w:type="dxa" w:w="5248"/>
            <w:shd w:val="clear" w:color="auto" w:fill="EDF3F9"/>
          </w:tcPr>
          <w:p>
            <w:pPr>
              <w:spacing w:after="0" w:line="276" w:lineRule="auto"/>
            </w:pPr>
            <w:r/>
            <w:r>
              <w:rPr>
                <w:rFonts w:ascii="宋体" w:hAnsi="宋体" w:eastAsia="宋体" w:cs="宋体"/>
                <w:b w:val="0"/>
                <w:i w:val="0"/>
                <w:color w:val="000000"/>
                <w:sz w:val="19"/>
              </w:rPr>
              <w:t>中国数字疗法市场 2023 年仅 8.2 亿元，说明纯软件订阅在国内尚未跑通，故订阅必须绑定硬件销售、以增值报告与人工解读支撑溢价</w:t>
            </w:r>
          </w:p>
        </w:tc>
      </w:tr>
      <w:tr>
        <w:tc>
          <w:tcPr>
            <w:tcW w:type="dxa" w:w="1940"/>
          </w:tcPr>
          <w:p>
            <w:pPr>
              <w:spacing w:after="0" w:line="276" w:lineRule="auto"/>
            </w:pPr>
            <w:r/>
            <w:r>
              <w:rPr>
                <w:rFonts w:ascii="宋体" w:hAnsi="宋体" w:eastAsia="宋体" w:cs="宋体"/>
                <w:b w:val="0"/>
                <w:i w:val="0"/>
                <w:color w:val="000000"/>
                <w:sz w:val="19"/>
              </w:rPr>
              <w:t>科室年度服务包</w:t>
            </w:r>
          </w:p>
        </w:tc>
        <w:tc>
          <w:tcPr>
            <w:tcW w:type="dxa" w:w="1940"/>
          </w:tcPr>
          <w:p>
            <w:pPr>
              <w:spacing w:after="0" w:line="276" w:lineRule="auto"/>
            </w:pPr>
            <w:r/>
            <w:r>
              <w:rPr>
                <w:rFonts w:ascii="宋体" w:hAnsi="宋体" w:eastAsia="宋体" w:cs="宋体"/>
                <w:b w:val="0"/>
                <w:i w:val="0"/>
                <w:color w:val="000000"/>
                <w:sz w:val="19"/>
              </w:rPr>
              <w:t>5–20 万元/年</w:t>
            </w:r>
          </w:p>
        </w:tc>
        <w:tc>
          <w:tcPr>
            <w:tcW w:type="dxa" w:w="5248"/>
          </w:tcPr>
          <w:p>
            <w:pPr>
              <w:spacing w:after="0" w:line="276" w:lineRule="auto"/>
            </w:pPr>
            <w:r/>
            <w:r>
              <w:rPr>
                <w:rFonts w:ascii="宋体" w:hAnsi="宋体" w:eastAsia="宋体" w:cs="宋体"/>
                <w:b w:val="0"/>
                <w:i w:val="0"/>
                <w:color w:val="000000"/>
                <w:sz w:val="19"/>
              </w:rPr>
              <w:t>按科室配置设备数量、医生端账号数与数据服务范围分档；医院实际采购客单价【待核实，建议以政府采购网招标公告核算】</w:t>
            </w:r>
          </w:p>
        </w:tc>
      </w:tr>
      <w:tr>
        <w:tc>
          <w:tcPr>
            <w:tcW w:type="dxa" w:w="1940"/>
            <w:shd w:val="clear" w:color="auto" w:fill="EDF3F9"/>
          </w:tcPr>
          <w:p>
            <w:pPr>
              <w:spacing w:after="0" w:line="276" w:lineRule="auto"/>
            </w:pPr>
            <w:r/>
            <w:r>
              <w:rPr>
                <w:rFonts w:ascii="宋体" w:hAnsi="宋体" w:eastAsia="宋体" w:cs="宋体"/>
                <w:b w:val="0"/>
                <w:i w:val="0"/>
                <w:color w:val="000000"/>
                <w:sz w:val="19"/>
              </w:rPr>
              <w:t>临床研究服务</w:t>
            </w:r>
          </w:p>
        </w:tc>
        <w:tc>
          <w:tcPr>
            <w:tcW w:type="dxa" w:w="1940"/>
            <w:shd w:val="clear" w:color="auto" w:fill="EDF3F9"/>
          </w:tcPr>
          <w:p>
            <w:pPr>
              <w:spacing w:after="0" w:line="276" w:lineRule="auto"/>
            </w:pPr>
            <w:r/>
            <w:r>
              <w:rPr>
                <w:rFonts w:ascii="宋体" w:hAnsi="宋体" w:eastAsia="宋体" w:cs="宋体"/>
                <w:b w:val="0"/>
                <w:i w:val="0"/>
                <w:color w:val="000000"/>
                <w:sz w:val="19"/>
              </w:rPr>
              <w:t>50–200 万元/项目</w:t>
            </w:r>
          </w:p>
        </w:tc>
        <w:tc>
          <w:tcPr>
            <w:tcW w:type="dxa" w:w="5248"/>
            <w:shd w:val="clear" w:color="auto" w:fill="EDF3F9"/>
          </w:tcPr>
          <w:p>
            <w:pPr>
              <w:spacing w:after="0" w:line="276" w:lineRule="auto"/>
            </w:pPr>
            <w:r/>
            <w:r>
              <w:rPr>
                <w:rFonts w:ascii="宋体" w:hAnsi="宋体" w:eastAsia="宋体" w:cs="宋体"/>
                <w:b w:val="0"/>
                <w:i w:val="0"/>
                <w:color w:val="000000"/>
                <w:sz w:val="19"/>
              </w:rPr>
              <w:t>按入组例数、监测周期、数据交付深度与统计分析工作量定价。可对标案例：勃林格殷格翰 IPF 咳嗽监测研究以咳嗽频次为主要终点、12 周内 4 次 24 小时记录，并评估远程采集可行性；Hyfe、Vitalograph、Strados 等同类服务的官方定价均不公开【实际客单价待核实】</w:t>
            </w:r>
          </w:p>
        </w:tc>
      </w:tr>
    </w:tbl>
    <w:p>
      <w:pPr>
        <w:spacing w:after="40"/>
      </w:pPr>
    </w:p>
    <w:p>
      <w:pPr>
        <w:pStyle w:val="Heading2"/>
      </w:pPr>
      <w:r>
        <w:rPr>
          <w:rFonts w:ascii="宋体" w:hAnsi="宋体" w:eastAsia="宋体" w:cs="宋体"/>
          <w:b/>
          <w:i w:val="0"/>
          <w:color w:val="2E74B5"/>
          <w:sz w:val="25"/>
        </w:rPr>
        <w:t>9.3 单台成本与毛利结构</w:t>
      </w:r>
    </w:p>
    <w:tbl>
      <w:tblPr>
        <w:tblStyle w:val="TableGrid"/>
        <w:jc w:val="center"/>
        <w:tblLook w:firstColumn="1" w:firstRow="1" w:lastColumn="0" w:lastRow="0" w:noHBand="0" w:noVBand="1" w:val="04A0"/>
        <w:tblCellMar>
          <w:top w:w="60" w:type="dxa"/>
          <w:left w:w="90" w:type="dxa"/>
          <w:bottom w:w="60" w:type="dxa"/>
          <w:right w:w="90" w:type="dxa"/>
        </w:tblCellMar>
        <w:tblW w:w="9129" w:type="dxa"/>
        <w:tblLayout w:type="fixed"/>
      </w:tblPr>
      <w:tblGrid>
        <w:gridCol w:w="2396"/>
        <w:gridCol w:w="1826"/>
        <w:gridCol w:w="1826"/>
        <w:gridCol w:w="3081"/>
      </w:tblGrid>
      <w:tr>
        <w:trPr>
          <w:tblHeader w:val="true"/>
        </w:trPr>
        <w:tc>
          <w:tcPr>
            <w:tcW w:type="dxa" w:w="2396"/>
            <w:shd w:val="clear" w:color="auto" w:fill="1F4E79"/>
          </w:tcPr>
          <w:p>
            <w:pPr>
              <w:spacing w:after="0" w:line="276" w:lineRule="auto"/>
              <w:jc w:val="center"/>
            </w:pPr>
            <w:r/>
            <w:r>
              <w:rPr>
                <w:rFonts w:ascii="宋体" w:hAnsi="宋体" w:eastAsia="宋体" w:cs="宋体"/>
                <w:b/>
                <w:i w:val="0"/>
                <w:color w:val="FFFFFF"/>
                <w:sz w:val="19"/>
              </w:rPr>
              <w:t>项目</w:t>
            </w:r>
          </w:p>
        </w:tc>
        <w:tc>
          <w:tcPr>
            <w:tcW w:type="dxa" w:w="1826"/>
            <w:shd w:val="clear" w:color="auto" w:fill="1F4E79"/>
          </w:tcPr>
          <w:p>
            <w:pPr>
              <w:spacing w:after="0" w:line="276" w:lineRule="auto"/>
              <w:jc w:val="center"/>
            </w:pPr>
            <w:r/>
            <w:r>
              <w:rPr>
                <w:rFonts w:ascii="宋体" w:hAnsi="宋体" w:eastAsia="宋体" w:cs="宋体"/>
                <w:b/>
                <w:i w:val="0"/>
                <w:color w:val="FFFFFF"/>
                <w:sz w:val="19"/>
              </w:rPr>
              <w:t>金额（元）</w:t>
            </w:r>
          </w:p>
        </w:tc>
        <w:tc>
          <w:tcPr>
            <w:tcW w:type="dxa" w:w="1826"/>
            <w:shd w:val="clear" w:color="auto" w:fill="1F4E79"/>
          </w:tcPr>
          <w:p>
            <w:pPr>
              <w:spacing w:after="0" w:line="276" w:lineRule="auto"/>
              <w:jc w:val="center"/>
            </w:pPr>
            <w:r/>
            <w:r>
              <w:rPr>
                <w:rFonts w:ascii="宋体" w:hAnsi="宋体" w:eastAsia="宋体" w:cs="宋体"/>
                <w:b/>
                <w:i w:val="0"/>
                <w:color w:val="FFFFFF"/>
                <w:sz w:val="19"/>
              </w:rPr>
              <w:t>占比</w:t>
            </w:r>
          </w:p>
        </w:tc>
        <w:tc>
          <w:tcPr>
            <w:tcW w:type="dxa" w:w="3081"/>
            <w:shd w:val="clear" w:color="auto" w:fill="1F4E79"/>
          </w:tcPr>
          <w:p>
            <w:pPr>
              <w:spacing w:after="0" w:line="276" w:lineRule="auto"/>
              <w:jc w:val="center"/>
            </w:pPr>
            <w:r/>
            <w:r>
              <w:rPr>
                <w:rFonts w:ascii="宋体" w:hAnsi="宋体" w:eastAsia="宋体" w:cs="宋体"/>
                <w:b/>
                <w:i w:val="0"/>
                <w:color w:val="FFFFFF"/>
                <w:sz w:val="19"/>
              </w:rPr>
              <w:t>说明</w:t>
            </w:r>
          </w:p>
        </w:tc>
      </w:tr>
      <w:tr>
        <w:tc>
          <w:tcPr>
            <w:tcW w:type="dxa" w:w="2396"/>
          </w:tcPr>
          <w:p>
            <w:pPr>
              <w:spacing w:after="0" w:line="276" w:lineRule="auto"/>
            </w:pPr>
            <w:r/>
            <w:r>
              <w:rPr>
                <w:rFonts w:ascii="宋体" w:hAnsi="宋体" w:eastAsia="宋体" w:cs="宋体"/>
                <w:b w:val="0"/>
                <w:i w:val="0"/>
                <w:color w:val="000000"/>
                <w:sz w:val="19"/>
              </w:rPr>
              <w:t>硬件成本（BOM + 代工）</w:t>
            </w:r>
          </w:p>
        </w:tc>
        <w:tc>
          <w:tcPr>
            <w:tcW w:type="dxa" w:w="1826"/>
          </w:tcPr>
          <w:p>
            <w:pPr>
              <w:spacing w:after="0" w:line="276" w:lineRule="auto"/>
            </w:pPr>
            <w:r/>
            <w:r>
              <w:rPr>
                <w:rFonts w:ascii="宋体" w:hAnsi="宋体" w:eastAsia="宋体" w:cs="宋体"/>
                <w:b w:val="0"/>
                <w:i w:val="0"/>
                <w:color w:val="000000"/>
                <w:sz w:val="19"/>
              </w:rPr>
              <w:t>约 400</w:t>
            </w:r>
          </w:p>
        </w:tc>
        <w:tc>
          <w:tcPr>
            <w:tcW w:type="dxa" w:w="1826"/>
          </w:tcPr>
          <w:p>
            <w:pPr>
              <w:spacing w:after="0" w:line="276" w:lineRule="auto"/>
            </w:pPr>
            <w:r/>
            <w:r>
              <w:rPr>
                <w:rFonts w:ascii="宋体" w:hAnsi="宋体" w:eastAsia="宋体" w:cs="宋体"/>
                <w:b w:val="0"/>
                <w:i w:val="0"/>
                <w:color w:val="000000"/>
                <w:sz w:val="19"/>
              </w:rPr>
              <w:t>31%</w:t>
            </w:r>
          </w:p>
        </w:tc>
        <w:tc>
          <w:tcPr>
            <w:tcW w:type="dxa" w:w="3081"/>
          </w:tcPr>
          <w:p>
            <w:pPr>
              <w:spacing w:after="0" w:line="276" w:lineRule="auto"/>
            </w:pPr>
            <w:r/>
            <w:r>
              <w:rPr>
                <w:rFonts w:ascii="宋体" w:hAnsi="宋体" w:eastAsia="宋体" w:cs="宋体"/>
                <w:b w:val="0"/>
                <w:i w:val="0"/>
                <w:color w:val="000000"/>
                <w:sz w:val="19"/>
              </w:rPr>
              <w:t>小批量试产阶段估算，量产可降至 300 元以内</w:t>
            </w:r>
          </w:p>
        </w:tc>
      </w:tr>
      <w:tr>
        <w:tc>
          <w:tcPr>
            <w:tcW w:type="dxa" w:w="2396"/>
            <w:shd w:val="clear" w:color="auto" w:fill="EDF3F9"/>
          </w:tcPr>
          <w:p>
            <w:pPr>
              <w:spacing w:after="0" w:line="276" w:lineRule="auto"/>
            </w:pPr>
            <w:r/>
            <w:r>
              <w:rPr>
                <w:rFonts w:ascii="宋体" w:hAnsi="宋体" w:eastAsia="宋体" w:cs="宋体"/>
                <w:b w:val="0"/>
                <w:i w:val="0"/>
                <w:color w:val="000000"/>
                <w:sz w:val="19"/>
              </w:rPr>
              <w:t>包装、认证与质保分摊</w:t>
            </w:r>
          </w:p>
        </w:tc>
        <w:tc>
          <w:tcPr>
            <w:tcW w:type="dxa" w:w="1826"/>
            <w:shd w:val="clear" w:color="auto" w:fill="EDF3F9"/>
          </w:tcPr>
          <w:p>
            <w:pPr>
              <w:spacing w:after="0" w:line="276" w:lineRule="auto"/>
            </w:pPr>
            <w:r/>
            <w:r>
              <w:rPr>
                <w:rFonts w:ascii="宋体" w:hAnsi="宋体" w:eastAsia="宋体" w:cs="宋体"/>
                <w:b w:val="0"/>
                <w:i w:val="0"/>
                <w:color w:val="000000"/>
                <w:sz w:val="19"/>
              </w:rPr>
              <w:t>约 120</w:t>
            </w:r>
          </w:p>
        </w:tc>
        <w:tc>
          <w:tcPr>
            <w:tcW w:type="dxa" w:w="1826"/>
            <w:shd w:val="clear" w:color="auto" w:fill="EDF3F9"/>
          </w:tcPr>
          <w:p>
            <w:pPr>
              <w:spacing w:after="0" w:line="276" w:lineRule="auto"/>
            </w:pPr>
            <w:r/>
            <w:r>
              <w:rPr>
                <w:rFonts w:ascii="宋体" w:hAnsi="宋体" w:eastAsia="宋体" w:cs="宋体"/>
                <w:b w:val="0"/>
                <w:i w:val="0"/>
                <w:color w:val="000000"/>
                <w:sz w:val="19"/>
              </w:rPr>
              <w:t>9%</w:t>
            </w:r>
          </w:p>
        </w:tc>
        <w:tc>
          <w:tcPr>
            <w:tcW w:type="dxa" w:w="3081"/>
            <w:shd w:val="clear" w:color="auto" w:fill="EDF3F9"/>
          </w:tcPr>
          <w:p>
            <w:pPr>
              <w:spacing w:after="0" w:line="276" w:lineRule="auto"/>
            </w:pPr>
            <w:r/>
            <w:r>
              <w:rPr>
                <w:rFonts w:ascii="宋体" w:hAnsi="宋体" w:eastAsia="宋体" w:cs="宋体"/>
                <w:b w:val="0"/>
                <w:i w:val="0"/>
                <w:color w:val="000000"/>
                <w:sz w:val="19"/>
              </w:rPr>
              <w:t>含器械版本标签、注册费用分摊与售后准备</w:t>
            </w:r>
          </w:p>
        </w:tc>
      </w:tr>
      <w:tr>
        <w:tc>
          <w:tcPr>
            <w:tcW w:type="dxa" w:w="2396"/>
          </w:tcPr>
          <w:p>
            <w:pPr>
              <w:spacing w:after="0" w:line="276" w:lineRule="auto"/>
            </w:pPr>
            <w:r/>
            <w:r>
              <w:rPr>
                <w:rFonts w:ascii="宋体" w:hAnsi="宋体" w:eastAsia="宋体" w:cs="宋体"/>
                <w:b w:val="0"/>
                <w:i w:val="0"/>
                <w:color w:val="000000"/>
                <w:sz w:val="19"/>
              </w:rPr>
              <w:t>渠道与获客成本</w:t>
            </w:r>
          </w:p>
        </w:tc>
        <w:tc>
          <w:tcPr>
            <w:tcW w:type="dxa" w:w="1826"/>
          </w:tcPr>
          <w:p>
            <w:pPr>
              <w:spacing w:after="0" w:line="276" w:lineRule="auto"/>
            </w:pPr>
            <w:r/>
            <w:r>
              <w:rPr>
                <w:rFonts w:ascii="宋体" w:hAnsi="宋体" w:eastAsia="宋体" w:cs="宋体"/>
                <w:b w:val="0"/>
                <w:i w:val="0"/>
                <w:color w:val="000000"/>
                <w:sz w:val="19"/>
              </w:rPr>
              <w:t>约 260</w:t>
            </w:r>
          </w:p>
        </w:tc>
        <w:tc>
          <w:tcPr>
            <w:tcW w:type="dxa" w:w="1826"/>
          </w:tcPr>
          <w:p>
            <w:pPr>
              <w:spacing w:after="0" w:line="276" w:lineRule="auto"/>
            </w:pPr>
            <w:r/>
            <w:r>
              <w:rPr>
                <w:rFonts w:ascii="宋体" w:hAnsi="宋体" w:eastAsia="宋体" w:cs="宋体"/>
                <w:b w:val="0"/>
                <w:i w:val="0"/>
                <w:color w:val="000000"/>
                <w:sz w:val="19"/>
              </w:rPr>
              <w:t>20%</w:t>
            </w:r>
          </w:p>
        </w:tc>
        <w:tc>
          <w:tcPr>
            <w:tcW w:type="dxa" w:w="3081"/>
          </w:tcPr>
          <w:p>
            <w:pPr>
              <w:spacing w:after="0" w:line="276" w:lineRule="auto"/>
            </w:pPr>
            <w:r/>
            <w:r>
              <w:rPr>
                <w:rFonts w:ascii="宋体" w:hAnsi="宋体" w:eastAsia="宋体" w:cs="宋体"/>
                <w:b w:val="0"/>
                <w:i w:val="0"/>
                <w:color w:val="000000"/>
                <w:sz w:val="19"/>
              </w:rPr>
              <w:t>按线上线下综合获客成本估算；家用医疗器械线上占比已达 44.3%（预计 2030 年 67.1%），线上投放与内容获客为主要投入方向</w:t>
            </w:r>
          </w:p>
        </w:tc>
      </w:tr>
      <w:tr>
        <w:tc>
          <w:tcPr>
            <w:tcW w:type="dxa" w:w="2396"/>
            <w:shd w:val="clear" w:color="auto" w:fill="EDF3F9"/>
          </w:tcPr>
          <w:p>
            <w:pPr>
              <w:spacing w:after="0" w:line="276" w:lineRule="auto"/>
            </w:pPr>
            <w:r/>
            <w:r>
              <w:rPr>
                <w:rFonts w:ascii="宋体" w:hAnsi="宋体" w:eastAsia="宋体" w:cs="宋体"/>
                <w:b w:val="0"/>
                <w:i w:val="0"/>
                <w:color w:val="000000"/>
                <w:sz w:val="19"/>
              </w:rPr>
              <w:t>软件与云服务成本（三年摊销）</w:t>
            </w:r>
          </w:p>
        </w:tc>
        <w:tc>
          <w:tcPr>
            <w:tcW w:type="dxa" w:w="1826"/>
            <w:shd w:val="clear" w:color="auto" w:fill="EDF3F9"/>
          </w:tcPr>
          <w:p>
            <w:pPr>
              <w:spacing w:after="0" w:line="276" w:lineRule="auto"/>
            </w:pPr>
            <w:r/>
            <w:r>
              <w:rPr>
                <w:rFonts w:ascii="宋体" w:hAnsi="宋体" w:eastAsia="宋体" w:cs="宋体"/>
                <w:b w:val="0"/>
                <w:i w:val="0"/>
                <w:color w:val="000000"/>
                <w:sz w:val="19"/>
              </w:rPr>
              <w:t>约 80</w:t>
            </w:r>
          </w:p>
        </w:tc>
        <w:tc>
          <w:tcPr>
            <w:tcW w:type="dxa" w:w="1826"/>
            <w:shd w:val="clear" w:color="auto" w:fill="EDF3F9"/>
          </w:tcPr>
          <w:p>
            <w:pPr>
              <w:spacing w:after="0" w:line="276" w:lineRule="auto"/>
            </w:pPr>
            <w:r/>
            <w:r>
              <w:rPr>
                <w:rFonts w:ascii="宋体" w:hAnsi="宋体" w:eastAsia="宋体" w:cs="宋体"/>
                <w:b w:val="0"/>
                <w:i w:val="0"/>
                <w:color w:val="000000"/>
                <w:sz w:val="19"/>
              </w:rPr>
              <w:t>6%</w:t>
            </w:r>
          </w:p>
        </w:tc>
        <w:tc>
          <w:tcPr>
            <w:tcW w:type="dxa" w:w="3081"/>
            <w:shd w:val="clear" w:color="auto" w:fill="EDF3F9"/>
          </w:tcPr>
          <w:p>
            <w:pPr>
              <w:spacing w:after="0" w:line="276" w:lineRule="auto"/>
            </w:pPr>
            <w:r/>
            <w:r>
              <w:rPr>
                <w:rFonts w:ascii="宋体" w:hAnsi="宋体" w:eastAsia="宋体" w:cs="宋体"/>
                <w:b w:val="0"/>
                <w:i w:val="0"/>
                <w:color w:val="000000"/>
                <w:sz w:val="19"/>
              </w:rPr>
              <w:t>按用户规模分摊的云资源与研发摊销</w:t>
            </w:r>
          </w:p>
        </w:tc>
      </w:tr>
      <w:tr>
        <w:tc>
          <w:tcPr>
            <w:tcW w:type="dxa" w:w="2396"/>
          </w:tcPr>
          <w:p>
            <w:pPr>
              <w:spacing w:after="0" w:line="276" w:lineRule="auto"/>
            </w:pPr>
            <w:r/>
            <w:r>
              <w:rPr>
                <w:rFonts w:ascii="宋体" w:hAnsi="宋体" w:eastAsia="宋体" w:cs="宋体"/>
                <w:b w:val="0"/>
                <w:i w:val="0"/>
                <w:color w:val="000000"/>
                <w:sz w:val="19"/>
              </w:rPr>
              <w:t>单台硬件收入</w:t>
            </w:r>
          </w:p>
        </w:tc>
        <w:tc>
          <w:tcPr>
            <w:tcW w:type="dxa" w:w="1826"/>
          </w:tcPr>
          <w:p>
            <w:pPr>
              <w:spacing w:after="0" w:line="276" w:lineRule="auto"/>
            </w:pPr>
            <w:r/>
            <w:r>
              <w:rPr>
                <w:rFonts w:ascii="宋体" w:hAnsi="宋体" w:eastAsia="宋体" w:cs="宋体"/>
                <w:b w:val="0"/>
                <w:i w:val="0"/>
                <w:color w:val="000000"/>
                <w:sz w:val="19"/>
              </w:rPr>
              <w:t>1,299</w:t>
            </w:r>
          </w:p>
        </w:tc>
        <w:tc>
          <w:tcPr>
            <w:tcW w:type="dxa" w:w="1826"/>
          </w:tcPr>
          <w:p>
            <w:pPr>
              <w:spacing w:after="0" w:line="276" w:lineRule="auto"/>
            </w:pPr>
            <w:r/>
            <w:r>
              <w:rPr>
                <w:rFonts w:ascii="宋体" w:hAnsi="宋体" w:eastAsia="宋体" w:cs="宋体"/>
                <w:b w:val="0"/>
                <w:i w:val="0"/>
                <w:color w:val="000000"/>
                <w:sz w:val="19"/>
              </w:rPr>
              <w:t>100%</w:t>
            </w:r>
          </w:p>
        </w:tc>
        <w:tc>
          <w:tcPr>
            <w:tcW w:type="dxa" w:w="3081"/>
          </w:tcPr>
          <w:p>
            <w:pPr>
              <w:spacing w:after="0" w:line="276" w:lineRule="auto"/>
            </w:pPr>
            <w:r/>
            <w:r>
              <w:rPr>
                <w:rFonts w:ascii="宋体" w:hAnsi="宋体" w:eastAsia="宋体" w:cs="宋体"/>
                <w:b w:val="0"/>
                <w:i w:val="0"/>
                <w:color w:val="000000"/>
                <w:sz w:val="19"/>
              </w:rPr>
              <w:t>家用完整版建议零售价；另设 699–899 元入门版用于价格敏感市场，本表按完整版测算</w:t>
            </w:r>
          </w:p>
        </w:tc>
      </w:tr>
      <w:tr>
        <w:tc>
          <w:tcPr>
            <w:tcW w:type="dxa" w:w="2396"/>
            <w:shd w:val="clear" w:color="auto" w:fill="EDF3F9"/>
          </w:tcPr>
          <w:p>
            <w:pPr>
              <w:spacing w:after="0" w:line="276" w:lineRule="auto"/>
            </w:pPr>
            <w:r/>
            <w:r>
              <w:rPr>
                <w:rFonts w:ascii="宋体" w:hAnsi="宋体" w:eastAsia="宋体" w:cs="宋体"/>
                <w:b w:val="0"/>
                <w:i w:val="0"/>
                <w:color w:val="000000"/>
                <w:sz w:val="19"/>
              </w:rPr>
              <w:t>单台硬件毛利</w:t>
            </w:r>
          </w:p>
        </w:tc>
        <w:tc>
          <w:tcPr>
            <w:tcW w:type="dxa" w:w="1826"/>
            <w:shd w:val="clear" w:color="auto" w:fill="EDF3F9"/>
          </w:tcPr>
          <w:p>
            <w:pPr>
              <w:spacing w:after="0" w:line="276" w:lineRule="auto"/>
            </w:pPr>
            <w:r/>
            <w:r>
              <w:rPr>
                <w:rFonts w:ascii="宋体" w:hAnsi="宋体" w:eastAsia="宋体" w:cs="宋体"/>
                <w:b w:val="0"/>
                <w:i w:val="0"/>
                <w:color w:val="000000"/>
                <w:sz w:val="19"/>
              </w:rPr>
              <w:t>约 439</w:t>
            </w:r>
          </w:p>
        </w:tc>
        <w:tc>
          <w:tcPr>
            <w:tcW w:type="dxa" w:w="1826"/>
            <w:shd w:val="clear" w:color="auto" w:fill="EDF3F9"/>
          </w:tcPr>
          <w:p>
            <w:pPr>
              <w:spacing w:after="0" w:line="276" w:lineRule="auto"/>
            </w:pPr>
            <w:r/>
            <w:r>
              <w:rPr>
                <w:rFonts w:ascii="宋体" w:hAnsi="宋体" w:eastAsia="宋体" w:cs="宋体"/>
                <w:b w:val="0"/>
                <w:i w:val="0"/>
                <w:color w:val="000000"/>
                <w:sz w:val="19"/>
              </w:rPr>
              <w:t>34%</w:t>
            </w:r>
          </w:p>
        </w:tc>
        <w:tc>
          <w:tcPr>
            <w:tcW w:type="dxa" w:w="3081"/>
            <w:shd w:val="clear" w:color="auto" w:fill="EDF3F9"/>
          </w:tcPr>
          <w:p>
            <w:pPr>
              <w:spacing w:after="0" w:line="276" w:lineRule="auto"/>
            </w:pPr>
            <w:r/>
            <w:r>
              <w:rPr>
                <w:rFonts w:ascii="宋体" w:hAnsi="宋体" w:eastAsia="宋体" w:cs="宋体"/>
                <w:b w:val="0"/>
                <w:i w:val="0"/>
                <w:color w:val="000000"/>
                <w:sz w:val="19"/>
              </w:rPr>
              <w:t>未计入订阅收入；订阅毛利显著更高</w:t>
            </w:r>
          </w:p>
        </w:tc>
      </w:tr>
      <w:tr>
        <w:tc>
          <w:tcPr>
            <w:tcW w:type="dxa" w:w="2396"/>
          </w:tcPr>
          <w:p>
            <w:pPr>
              <w:spacing w:after="0" w:line="276" w:lineRule="auto"/>
            </w:pPr>
            <w:r/>
            <w:r>
              <w:rPr>
                <w:rFonts w:ascii="宋体" w:hAnsi="宋体" w:eastAsia="宋体" w:cs="宋体"/>
                <w:b w:val="0"/>
                <w:i w:val="0"/>
                <w:color w:val="000000"/>
                <w:sz w:val="19"/>
              </w:rPr>
              <w:t>首年单用户综合毛利</w:t>
            </w:r>
          </w:p>
        </w:tc>
        <w:tc>
          <w:tcPr>
            <w:tcW w:type="dxa" w:w="1826"/>
          </w:tcPr>
          <w:p>
            <w:pPr>
              <w:spacing w:after="0" w:line="276" w:lineRule="auto"/>
            </w:pPr>
            <w:r/>
            <w:r>
              <w:rPr>
                <w:rFonts w:ascii="宋体" w:hAnsi="宋体" w:eastAsia="宋体" w:cs="宋体"/>
                <w:b w:val="0"/>
                <w:i w:val="0"/>
                <w:color w:val="000000"/>
                <w:sz w:val="19"/>
              </w:rPr>
              <w:t>约 738</w:t>
            </w:r>
          </w:p>
        </w:tc>
        <w:tc>
          <w:tcPr>
            <w:tcW w:type="dxa" w:w="1826"/>
          </w:tcPr>
          <w:p>
            <w:pPr>
              <w:spacing w:after="0" w:line="276" w:lineRule="auto"/>
            </w:pPr>
            <w:r/>
            <w:r>
              <w:rPr>
                <w:rFonts w:ascii="宋体" w:hAnsi="宋体" w:eastAsia="宋体" w:cs="宋体"/>
                <w:b w:val="0"/>
                <w:i w:val="0"/>
                <w:color w:val="000000"/>
                <w:sz w:val="19"/>
              </w:rPr>
              <w:t>—</w:t>
            </w:r>
          </w:p>
        </w:tc>
        <w:tc>
          <w:tcPr>
            <w:tcW w:type="dxa" w:w="3081"/>
          </w:tcPr>
          <w:p>
            <w:pPr>
              <w:spacing w:after="0" w:line="276" w:lineRule="auto"/>
            </w:pPr>
            <w:r/>
            <w:r>
              <w:rPr>
                <w:rFonts w:ascii="宋体" w:hAnsi="宋体" w:eastAsia="宋体" w:cs="宋体"/>
                <w:b w:val="0"/>
                <w:i w:val="0"/>
                <w:color w:val="000000"/>
                <w:sz w:val="19"/>
              </w:rPr>
              <w:t>含硬件毛利与基础订阅收入，体现「硬件 + 订阅」的叠加效应；该模式的前提是订阅必须绑定硬件，纯软件订阅在国内尚未跑通</w:t>
            </w:r>
          </w:p>
        </w:tc>
      </w:tr>
      <w:tr>
        <w:tc>
          <w:tcPr>
            <w:tcW w:type="dxa" w:w="2396"/>
            <w:shd w:val="clear" w:color="auto" w:fill="EDF3F9"/>
          </w:tcPr>
          <w:p>
            <w:pPr>
              <w:spacing w:after="0" w:line="276" w:lineRule="auto"/>
            </w:pPr>
            <w:r/>
            <w:r>
              <w:rPr>
                <w:rFonts w:ascii="宋体" w:hAnsi="宋体" w:eastAsia="宋体" w:cs="宋体"/>
                <w:b w:val="0"/>
                <w:i w:val="0"/>
                <w:color w:val="000000"/>
                <w:sz w:val="19"/>
              </w:rPr>
              <w:t>入门版毛利参考</w:t>
            </w:r>
          </w:p>
        </w:tc>
        <w:tc>
          <w:tcPr>
            <w:tcW w:type="dxa" w:w="1826"/>
            <w:shd w:val="clear" w:color="auto" w:fill="EDF3F9"/>
          </w:tcPr>
          <w:p>
            <w:pPr>
              <w:spacing w:after="0" w:line="276" w:lineRule="auto"/>
            </w:pPr>
            <w:r/>
            <w:r>
              <w:rPr>
                <w:rFonts w:ascii="宋体" w:hAnsi="宋体" w:eastAsia="宋体" w:cs="宋体"/>
                <w:b w:val="0"/>
                <w:i w:val="0"/>
                <w:color w:val="000000"/>
                <w:sz w:val="19"/>
              </w:rPr>
              <w:t>约 299–399</w:t>
            </w:r>
          </w:p>
        </w:tc>
        <w:tc>
          <w:tcPr>
            <w:tcW w:type="dxa" w:w="1826"/>
            <w:shd w:val="clear" w:color="auto" w:fill="EDF3F9"/>
          </w:tcPr>
          <w:p>
            <w:pPr>
              <w:spacing w:after="0" w:line="276" w:lineRule="auto"/>
            </w:pPr>
            <w:r/>
            <w:r>
              <w:rPr>
                <w:rFonts w:ascii="宋体" w:hAnsi="宋体" w:eastAsia="宋体" w:cs="宋体"/>
                <w:b w:val="0"/>
                <w:i w:val="0"/>
                <w:color w:val="000000"/>
                <w:sz w:val="19"/>
              </w:rPr>
              <w:t>—</w:t>
            </w:r>
          </w:p>
        </w:tc>
        <w:tc>
          <w:tcPr>
            <w:tcW w:type="dxa" w:w="3081"/>
            <w:shd w:val="clear" w:color="auto" w:fill="EDF3F9"/>
          </w:tcPr>
          <w:p>
            <w:pPr>
              <w:spacing w:after="0" w:line="276" w:lineRule="auto"/>
            </w:pPr>
            <w:r/>
            <w:r>
              <w:rPr>
                <w:rFonts w:ascii="宋体" w:hAnsi="宋体" w:eastAsia="宋体" w:cs="宋体"/>
                <w:b w:val="0"/>
                <w:i w:val="0"/>
                <w:color w:val="000000"/>
                <w:sz w:val="19"/>
              </w:rPr>
              <w:t>入门版（699–899 元）扣除硬件与渠道成本后的毛利，用于评估下沉市场价格空间；该价位为基于支付方结构（个人自付 49%）的推断值，需用户调研验证支付意愿</w:t>
            </w:r>
          </w:p>
        </w:tc>
      </w:tr>
    </w:tbl>
    <w:p>
      <w:pPr>
        <w:spacing w:after="40"/>
      </w:pPr>
    </w:p>
    <w:p>
      <w:pPr>
        <w:spacing w:after="80"/>
        <w:jc w:val="left"/>
      </w:pPr>
      <w:r>
        <w:rPr>
          <w:rFonts w:ascii="宋体" w:hAnsi="宋体" w:eastAsia="宋体" w:cs="宋体"/>
          <w:b w:val="0"/>
          <w:i w:val="0"/>
          <w:color w:val="595959"/>
          <w:sz w:val="18"/>
        </w:rPr>
        <w:t>注：为试产阶段的估算模型，用于说明毛利结构；软件与云服务成本按三年摊销估算。</w:t>
      </w:r>
    </w:p>
    <w:p>
      <w:pPr>
        <w:pStyle w:val="Heading2"/>
      </w:pPr>
      <w:r>
        <w:rPr>
          <w:rFonts w:ascii="宋体" w:hAnsi="宋体" w:eastAsia="宋体" w:cs="宋体"/>
          <w:b/>
          <w:i w:val="0"/>
          <w:color w:val="2E74B5"/>
          <w:sz w:val="25"/>
        </w:rPr>
        <w:t>9.4 获客渠道与运营</w:t>
      </w:r>
    </w:p>
    <w:tbl>
      <w:tblPr>
        <w:tblStyle w:val="TableGrid"/>
        <w:jc w:val="center"/>
        <w:tblLook w:firstColumn="1" w:firstRow="1" w:lastColumn="0" w:lastRow="0" w:noHBand="0" w:noVBand="1" w:val="04A0"/>
        <w:tblCellMar>
          <w:top w:w="60" w:type="dxa"/>
          <w:left w:w="90" w:type="dxa"/>
          <w:bottom w:w="60" w:type="dxa"/>
          <w:right w:w="90" w:type="dxa"/>
        </w:tblCellMar>
        <w:tblW w:w="9129" w:type="dxa"/>
        <w:tblLayout w:type="fixed"/>
      </w:tblPr>
      <w:tblGrid>
        <w:gridCol w:w="1712"/>
        <w:gridCol w:w="3081"/>
        <w:gridCol w:w="1940"/>
        <w:gridCol w:w="2396"/>
      </w:tblGrid>
      <w:tr>
        <w:trPr>
          <w:tblHeader w:val="true"/>
        </w:trPr>
        <w:tc>
          <w:tcPr>
            <w:tcW w:type="dxa" w:w="1711"/>
            <w:shd w:val="clear" w:color="auto" w:fill="1F4E79"/>
          </w:tcPr>
          <w:p>
            <w:pPr>
              <w:spacing w:after="0" w:line="276" w:lineRule="auto"/>
              <w:jc w:val="center"/>
            </w:pPr>
            <w:r/>
            <w:r>
              <w:rPr>
                <w:rFonts w:ascii="宋体" w:hAnsi="宋体" w:eastAsia="宋体" w:cs="宋体"/>
                <w:b/>
                <w:i w:val="0"/>
                <w:color w:val="FFFFFF"/>
                <w:sz w:val="19"/>
              </w:rPr>
              <w:t>渠道</w:t>
            </w:r>
          </w:p>
        </w:tc>
        <w:tc>
          <w:tcPr>
            <w:tcW w:type="dxa" w:w="3081"/>
            <w:shd w:val="clear" w:color="auto" w:fill="1F4E79"/>
          </w:tcPr>
          <w:p>
            <w:pPr>
              <w:spacing w:after="0" w:line="276" w:lineRule="auto"/>
              <w:jc w:val="center"/>
            </w:pPr>
            <w:r/>
            <w:r>
              <w:rPr>
                <w:rFonts w:ascii="宋体" w:hAnsi="宋体" w:eastAsia="宋体" w:cs="宋体"/>
                <w:b/>
                <w:i w:val="0"/>
                <w:color w:val="FFFFFF"/>
                <w:sz w:val="19"/>
              </w:rPr>
              <w:t>目标客户</w:t>
            </w:r>
          </w:p>
        </w:tc>
        <w:tc>
          <w:tcPr>
            <w:tcW w:type="dxa" w:w="1940"/>
            <w:shd w:val="clear" w:color="auto" w:fill="1F4E79"/>
          </w:tcPr>
          <w:p>
            <w:pPr>
              <w:spacing w:after="0" w:line="276" w:lineRule="auto"/>
              <w:jc w:val="center"/>
            </w:pPr>
            <w:r/>
            <w:r>
              <w:rPr>
                <w:rFonts w:ascii="宋体" w:hAnsi="宋体" w:eastAsia="宋体" w:cs="宋体"/>
                <w:b/>
                <w:i w:val="0"/>
                <w:color w:val="FFFFFF"/>
                <w:sz w:val="19"/>
              </w:rPr>
              <w:t>切入点</w:t>
            </w:r>
          </w:p>
        </w:tc>
        <w:tc>
          <w:tcPr>
            <w:tcW w:type="dxa" w:w="2396"/>
            <w:shd w:val="clear" w:color="auto" w:fill="1F4E79"/>
          </w:tcPr>
          <w:p>
            <w:pPr>
              <w:spacing w:after="0" w:line="276" w:lineRule="auto"/>
              <w:jc w:val="center"/>
            </w:pPr>
            <w:r/>
            <w:r>
              <w:rPr>
                <w:rFonts w:ascii="宋体" w:hAnsi="宋体" w:eastAsia="宋体" w:cs="宋体"/>
                <w:b/>
                <w:i w:val="0"/>
                <w:color w:val="FFFFFF"/>
                <w:sz w:val="19"/>
              </w:rPr>
              <w:t>预期贡献</w:t>
            </w:r>
          </w:p>
        </w:tc>
      </w:tr>
      <w:tr>
        <w:tc>
          <w:tcPr>
            <w:tcW w:type="dxa" w:w="1711"/>
          </w:tcPr>
          <w:p>
            <w:pPr>
              <w:spacing w:after="0" w:line="276" w:lineRule="auto"/>
            </w:pPr>
            <w:r/>
            <w:r>
              <w:rPr>
                <w:rFonts w:ascii="宋体" w:hAnsi="宋体" w:eastAsia="宋体" w:cs="宋体"/>
                <w:b w:val="0"/>
                <w:i w:val="0"/>
                <w:color w:val="000000"/>
                <w:sz w:val="19"/>
              </w:rPr>
              <w:t>医院呼吸科合作</w:t>
            </w:r>
          </w:p>
        </w:tc>
        <w:tc>
          <w:tcPr>
            <w:tcW w:type="dxa" w:w="3081"/>
          </w:tcPr>
          <w:p>
            <w:pPr>
              <w:spacing w:after="0" w:line="276" w:lineRule="auto"/>
            </w:pPr>
            <w:r/>
            <w:r>
              <w:rPr>
                <w:rFonts w:ascii="宋体" w:hAnsi="宋体" w:eastAsia="宋体" w:cs="宋体"/>
                <w:b w:val="0"/>
                <w:i w:val="0"/>
                <w:color w:val="000000"/>
                <w:sz w:val="19"/>
              </w:rPr>
              <w:t>二三级医院呼吸科</w:t>
            </w:r>
          </w:p>
        </w:tc>
        <w:tc>
          <w:tcPr>
            <w:tcW w:type="dxa" w:w="1940"/>
          </w:tcPr>
          <w:p>
            <w:pPr>
              <w:spacing w:after="0" w:line="276" w:lineRule="auto"/>
            </w:pPr>
            <w:r/>
            <w:r>
              <w:rPr>
                <w:rFonts w:ascii="宋体" w:hAnsi="宋体" w:eastAsia="宋体" w:cs="宋体"/>
                <w:b w:val="0"/>
                <w:i w:val="0"/>
                <w:color w:val="000000"/>
                <w:sz w:val="19"/>
              </w:rPr>
              <w:t>以临床研究合作切入，用数据说服医生，再转化为科室采购；院内销售须以第二类注册证为前提（对标肺音数据处理软件鲁械注准 20222210799）</w:t>
            </w:r>
          </w:p>
        </w:tc>
        <w:tc>
          <w:tcPr>
            <w:tcW w:type="dxa" w:w="2396"/>
          </w:tcPr>
          <w:p>
            <w:pPr>
              <w:spacing w:after="0" w:line="276" w:lineRule="auto"/>
            </w:pPr>
            <w:r/>
            <w:r>
              <w:rPr>
                <w:rFonts w:ascii="宋体" w:hAnsi="宋体" w:eastAsia="宋体" w:cs="宋体"/>
                <w:b w:val="0"/>
                <w:i w:val="0"/>
                <w:color w:val="000000"/>
                <w:sz w:val="19"/>
              </w:rPr>
              <w:t>主要收入来源，兼具背书作用</w:t>
            </w:r>
          </w:p>
        </w:tc>
      </w:tr>
      <w:tr>
        <w:tc>
          <w:tcPr>
            <w:tcW w:type="dxa" w:w="1711"/>
            <w:shd w:val="clear" w:color="auto" w:fill="EDF3F9"/>
          </w:tcPr>
          <w:p>
            <w:pPr>
              <w:spacing w:after="0" w:line="276" w:lineRule="auto"/>
            </w:pPr>
            <w:r/>
            <w:r>
              <w:rPr>
                <w:rFonts w:ascii="宋体" w:hAnsi="宋体" w:eastAsia="宋体" w:cs="宋体"/>
                <w:b w:val="0"/>
                <w:i w:val="0"/>
                <w:color w:val="000000"/>
                <w:sz w:val="19"/>
              </w:rPr>
              <w:t>基层医疗与家庭医生</w:t>
            </w:r>
          </w:p>
        </w:tc>
        <w:tc>
          <w:tcPr>
            <w:tcW w:type="dxa" w:w="3081"/>
            <w:shd w:val="clear" w:color="auto" w:fill="EDF3F9"/>
          </w:tcPr>
          <w:p>
            <w:pPr>
              <w:spacing w:after="0" w:line="276" w:lineRule="auto"/>
            </w:pPr>
            <w:r/>
            <w:r>
              <w:rPr>
                <w:rFonts w:ascii="宋体" w:hAnsi="宋体" w:eastAsia="宋体" w:cs="宋体"/>
                <w:b w:val="0"/>
                <w:i w:val="0"/>
                <w:color w:val="000000"/>
                <w:sz w:val="19"/>
              </w:rPr>
              <w:t>社区卫生服务中心、乡镇卫生院</w:t>
            </w:r>
          </w:p>
        </w:tc>
        <w:tc>
          <w:tcPr>
            <w:tcW w:type="dxa" w:w="1940"/>
            <w:shd w:val="clear" w:color="auto" w:fill="EDF3F9"/>
          </w:tcPr>
          <w:p>
            <w:pPr>
              <w:spacing w:after="0" w:line="276" w:lineRule="auto"/>
            </w:pPr>
            <w:r/>
            <w:r>
              <w:rPr>
                <w:rFonts w:ascii="宋体" w:hAnsi="宋体" w:eastAsia="宋体" w:cs="宋体"/>
                <w:b w:val="0"/>
                <w:i w:val="0"/>
                <w:color w:val="000000"/>
                <w:sz w:val="19"/>
              </w:rPr>
              <w:t>以筛查与随访工具定位，配合区域慢病管理项目；承接《健康中国行动——慢性呼吸系统疾病防治行动实施方案（2024—2030 年）》提出的分级诊疗、早筛早诊与基层防治能力提升要求</w:t>
            </w:r>
          </w:p>
        </w:tc>
        <w:tc>
          <w:tcPr>
            <w:tcW w:type="dxa" w:w="2396"/>
            <w:shd w:val="clear" w:color="auto" w:fill="EDF3F9"/>
          </w:tcPr>
          <w:p>
            <w:pPr>
              <w:spacing w:after="0" w:line="276" w:lineRule="auto"/>
            </w:pPr>
            <w:r/>
            <w:r>
              <w:rPr>
                <w:rFonts w:ascii="宋体" w:hAnsi="宋体" w:eastAsia="宋体" w:cs="宋体"/>
                <w:b w:val="0"/>
                <w:i w:val="0"/>
                <w:color w:val="000000"/>
                <w:sz w:val="19"/>
              </w:rPr>
              <w:t>规模放量渠道（政策强驱动，但基层预算有限，需走设备 + 服务包）</w:t>
            </w:r>
          </w:p>
        </w:tc>
      </w:tr>
      <w:tr>
        <w:tc>
          <w:tcPr>
            <w:tcW w:type="dxa" w:w="1711"/>
          </w:tcPr>
          <w:p>
            <w:pPr>
              <w:spacing w:after="0" w:line="276" w:lineRule="auto"/>
            </w:pPr>
            <w:r/>
            <w:r>
              <w:rPr>
                <w:rFonts w:ascii="宋体" w:hAnsi="宋体" w:eastAsia="宋体" w:cs="宋体"/>
                <w:b w:val="0"/>
                <w:i w:val="0"/>
                <w:color w:val="000000"/>
                <w:sz w:val="19"/>
              </w:rPr>
              <w:t>药企与 CRO</w:t>
            </w:r>
          </w:p>
        </w:tc>
        <w:tc>
          <w:tcPr>
            <w:tcW w:type="dxa" w:w="3081"/>
          </w:tcPr>
          <w:p>
            <w:pPr>
              <w:spacing w:after="0" w:line="276" w:lineRule="auto"/>
            </w:pPr>
            <w:r/>
            <w:r>
              <w:rPr>
                <w:rFonts w:ascii="宋体" w:hAnsi="宋体" w:eastAsia="宋体" w:cs="宋体"/>
                <w:b w:val="0"/>
                <w:i w:val="0"/>
                <w:color w:val="000000"/>
                <w:sz w:val="19"/>
              </w:rPr>
              <w:t>药企临床研究部门、CRO</w:t>
            </w:r>
          </w:p>
        </w:tc>
        <w:tc>
          <w:tcPr>
            <w:tcW w:type="dxa" w:w="1940"/>
          </w:tcPr>
          <w:p>
            <w:pPr>
              <w:spacing w:after="0" w:line="276" w:lineRule="auto"/>
            </w:pPr>
            <w:r/>
            <w:r>
              <w:rPr>
                <w:rFonts w:ascii="宋体" w:hAnsi="宋体" w:eastAsia="宋体" w:cs="宋体"/>
                <w:b w:val="0"/>
                <w:i w:val="0"/>
                <w:color w:val="000000"/>
                <w:sz w:val="19"/>
              </w:rPr>
              <w:t>以客观咳嗽终点替代人工日记的价值主张切入；可对标勃林格殷格翰 IPF 咳嗽监测研究（主要终点为咳嗽频次、12 周内 4 次 24 小时记录、并评估远程采集可行性）与 Hyfe 同 KYORIN 的合作模式</w:t>
            </w:r>
          </w:p>
        </w:tc>
        <w:tc>
          <w:tcPr>
            <w:tcW w:type="dxa" w:w="2396"/>
          </w:tcPr>
          <w:p>
            <w:pPr>
              <w:spacing w:after="0" w:line="276" w:lineRule="auto"/>
            </w:pPr>
            <w:r/>
            <w:r>
              <w:rPr>
                <w:rFonts w:ascii="宋体" w:hAnsi="宋体" w:eastAsia="宋体" w:cs="宋体"/>
                <w:b w:val="0"/>
                <w:i w:val="0"/>
                <w:color w:val="000000"/>
                <w:sz w:val="19"/>
              </w:rPr>
              <w:t>早期现金流（不依赖注册证与自有渠道，单价最高）</w:t>
            </w:r>
          </w:p>
        </w:tc>
      </w:tr>
      <w:tr>
        <w:tc>
          <w:tcPr>
            <w:tcW w:type="dxa" w:w="1711"/>
            <w:shd w:val="clear" w:color="auto" w:fill="EDF3F9"/>
          </w:tcPr>
          <w:p>
            <w:pPr>
              <w:spacing w:after="0" w:line="276" w:lineRule="auto"/>
            </w:pPr>
            <w:r/>
            <w:r>
              <w:rPr>
                <w:rFonts w:ascii="宋体" w:hAnsi="宋体" w:eastAsia="宋体" w:cs="宋体"/>
                <w:b w:val="0"/>
                <w:i w:val="0"/>
                <w:color w:val="000000"/>
                <w:sz w:val="19"/>
              </w:rPr>
              <w:t>线上患者社群与新媒体</w:t>
            </w:r>
          </w:p>
        </w:tc>
        <w:tc>
          <w:tcPr>
            <w:tcW w:type="dxa" w:w="3081"/>
            <w:shd w:val="clear" w:color="auto" w:fill="EDF3F9"/>
          </w:tcPr>
          <w:p>
            <w:pPr>
              <w:spacing w:after="0" w:line="276" w:lineRule="auto"/>
            </w:pPr>
            <w:r/>
            <w:r>
              <w:rPr>
                <w:rFonts w:ascii="宋体" w:hAnsi="宋体" w:eastAsia="宋体" w:cs="宋体"/>
                <w:b w:val="0"/>
                <w:i w:val="0"/>
                <w:color w:val="000000"/>
                <w:sz w:val="19"/>
              </w:rPr>
              <w:t>哮喘 / 慢阻肺患者与家长</w:t>
            </w:r>
          </w:p>
        </w:tc>
        <w:tc>
          <w:tcPr>
            <w:tcW w:type="dxa" w:w="1940"/>
            <w:shd w:val="clear" w:color="auto" w:fill="EDF3F9"/>
          </w:tcPr>
          <w:p>
            <w:pPr>
              <w:spacing w:after="0" w:line="276" w:lineRule="auto"/>
            </w:pPr>
            <w:r/>
            <w:r>
              <w:rPr>
                <w:rFonts w:ascii="宋体" w:hAnsi="宋体" w:eastAsia="宋体" w:cs="宋体"/>
                <w:b w:val="0"/>
                <w:i w:val="0"/>
                <w:color w:val="000000"/>
                <w:sz w:val="19"/>
              </w:rPr>
              <w:t>科普内容 + 患者互助社群，突出夜间监测价值；契合家用医疗器械线上占比 44.3% 的渠道结构</w:t>
            </w:r>
          </w:p>
        </w:tc>
        <w:tc>
          <w:tcPr>
            <w:tcW w:type="dxa" w:w="2396"/>
            <w:shd w:val="clear" w:color="auto" w:fill="EDF3F9"/>
          </w:tcPr>
          <w:p>
            <w:pPr>
              <w:spacing w:after="0" w:line="276" w:lineRule="auto"/>
            </w:pPr>
            <w:r/>
            <w:r>
              <w:rPr>
                <w:rFonts w:ascii="宋体" w:hAnsi="宋体" w:eastAsia="宋体" w:cs="宋体"/>
                <w:b w:val="0"/>
                <w:i w:val="0"/>
                <w:color w:val="000000"/>
                <w:sz w:val="19"/>
              </w:rPr>
              <w:t>C 端获客主渠道</w:t>
            </w:r>
          </w:p>
        </w:tc>
      </w:tr>
      <w:tr>
        <w:tc>
          <w:tcPr>
            <w:tcW w:type="dxa" w:w="1711"/>
          </w:tcPr>
          <w:p>
            <w:pPr>
              <w:spacing w:after="0" w:line="276" w:lineRule="auto"/>
            </w:pPr>
            <w:r/>
            <w:r>
              <w:rPr>
                <w:rFonts w:ascii="宋体" w:hAnsi="宋体" w:eastAsia="宋体" w:cs="宋体"/>
                <w:b w:val="0"/>
                <w:i w:val="0"/>
                <w:color w:val="000000"/>
                <w:sz w:val="19"/>
              </w:rPr>
              <w:t>渠道商合作与被集成（OEM，Original Equipment Manufacturer）</w:t>
            </w:r>
          </w:p>
        </w:tc>
        <w:tc>
          <w:tcPr>
            <w:tcW w:type="dxa" w:w="3081"/>
          </w:tcPr>
          <w:p>
            <w:pPr>
              <w:spacing w:after="0" w:line="276" w:lineRule="auto"/>
            </w:pPr>
            <w:r/>
            <w:r>
              <w:rPr>
                <w:rFonts w:ascii="宋体" w:hAnsi="宋体" w:eastAsia="宋体" w:cs="宋体"/>
                <w:b w:val="0"/>
                <w:i w:val="0"/>
                <w:color w:val="000000"/>
                <w:sz w:val="19"/>
              </w:rPr>
              <w:t>鱼跃医疗、怡和嘉业、可孚等家用呼吸设备厂商</w:t>
            </w:r>
          </w:p>
        </w:tc>
        <w:tc>
          <w:tcPr>
            <w:tcW w:type="dxa" w:w="1940"/>
          </w:tcPr>
          <w:p>
            <w:pPr>
              <w:spacing w:after="0" w:line="276" w:lineRule="auto"/>
            </w:pPr>
            <w:r/>
            <w:r>
              <w:rPr>
                <w:rFonts w:ascii="宋体" w:hAnsi="宋体" w:eastAsia="宋体" w:cs="宋体"/>
                <w:b w:val="0"/>
                <w:i w:val="0"/>
                <w:color w:val="000000"/>
                <w:sz w:val="19"/>
              </w:rPr>
              <w:t>以算法与整机方案供应商角色切入：这些厂商 2024 年营收规模大（鱼跃医疗 75.66 亿元，其中呼吸治疗 25.97 亿元）且渠道与品牌护城河极深，但缺乏 AI 声学能力，合作或被集成的现实性高于独立建渠道</w:t>
            </w:r>
          </w:p>
        </w:tc>
        <w:tc>
          <w:tcPr>
            <w:tcW w:type="dxa" w:w="2396"/>
          </w:tcPr>
          <w:p>
            <w:pPr>
              <w:spacing w:after="0" w:line="276" w:lineRule="auto"/>
            </w:pPr>
            <w:r/>
            <w:r>
              <w:rPr>
                <w:rFonts w:ascii="宋体" w:hAnsi="宋体" w:eastAsia="宋体" w:cs="宋体"/>
                <w:b w:val="0"/>
                <w:i w:val="0"/>
                <w:color w:val="000000"/>
                <w:sz w:val="19"/>
              </w:rPr>
              <w:t>放量杠杆与潜在退出通道</w:t>
            </w:r>
          </w:p>
        </w:tc>
      </w:tr>
      <w:tr>
        <w:tc>
          <w:tcPr>
            <w:tcW w:type="dxa" w:w="1711"/>
            <w:shd w:val="clear" w:color="auto" w:fill="EDF3F9"/>
          </w:tcPr>
          <w:p>
            <w:pPr>
              <w:spacing w:after="0" w:line="276" w:lineRule="auto"/>
            </w:pPr>
            <w:r/>
            <w:r>
              <w:rPr>
                <w:rFonts w:ascii="宋体" w:hAnsi="宋体" w:eastAsia="宋体" w:cs="宋体"/>
                <w:b w:val="0"/>
                <w:i w:val="0"/>
                <w:color w:val="000000"/>
                <w:sz w:val="19"/>
              </w:rPr>
              <w:t>消费医疗与健康渠道</w:t>
            </w:r>
          </w:p>
        </w:tc>
        <w:tc>
          <w:tcPr>
            <w:tcW w:type="dxa" w:w="3081"/>
            <w:shd w:val="clear" w:color="auto" w:fill="EDF3F9"/>
          </w:tcPr>
          <w:p>
            <w:pPr>
              <w:spacing w:after="0" w:line="276" w:lineRule="auto"/>
            </w:pPr>
            <w:r/>
            <w:r>
              <w:rPr>
                <w:rFonts w:ascii="宋体" w:hAnsi="宋体" w:eastAsia="宋体" w:cs="宋体"/>
                <w:b w:val="0"/>
                <w:i w:val="0"/>
                <w:color w:val="000000"/>
                <w:sz w:val="19"/>
              </w:rPr>
              <w:t>健康管理机构、体检中心</w:t>
            </w:r>
          </w:p>
        </w:tc>
        <w:tc>
          <w:tcPr>
            <w:tcW w:type="dxa" w:w="1940"/>
            <w:shd w:val="clear" w:color="auto" w:fill="EDF3F9"/>
          </w:tcPr>
          <w:p>
            <w:pPr>
              <w:spacing w:after="0" w:line="276" w:lineRule="auto"/>
            </w:pPr>
            <w:r/>
            <w:r>
              <w:rPr>
                <w:rFonts w:ascii="宋体" w:hAnsi="宋体" w:eastAsia="宋体" w:cs="宋体"/>
                <w:b w:val="0"/>
                <w:i w:val="0"/>
                <w:color w:val="000000"/>
                <w:sz w:val="19"/>
              </w:rPr>
              <w:t>作为呼吸健康评估的增值项</w:t>
            </w:r>
          </w:p>
        </w:tc>
        <w:tc>
          <w:tcPr>
            <w:tcW w:type="dxa" w:w="2396"/>
            <w:shd w:val="clear" w:color="auto" w:fill="EDF3F9"/>
          </w:tcPr>
          <w:p>
            <w:pPr>
              <w:spacing w:after="0" w:line="276" w:lineRule="auto"/>
            </w:pPr>
            <w:r/>
            <w:r>
              <w:rPr>
                <w:rFonts w:ascii="宋体" w:hAnsi="宋体" w:eastAsia="宋体" w:cs="宋体"/>
                <w:b w:val="0"/>
                <w:i w:val="0"/>
                <w:color w:val="000000"/>
                <w:sz w:val="19"/>
              </w:rPr>
              <w:t>补充渠道</w:t>
            </w:r>
          </w:p>
        </w:tc>
      </w:tr>
    </w:tbl>
    <w:p>
      <w:pPr>
        <w:spacing w:after="40"/>
      </w:pPr>
    </w:p>
    <w:p>
      <w:pPr>
        <w:pStyle w:val="Heading2"/>
      </w:pPr>
      <w:r>
        <w:rPr>
          <w:rFonts w:ascii="宋体" w:hAnsi="宋体" w:eastAsia="宋体" w:cs="宋体"/>
          <w:b/>
          <w:i w:val="0"/>
          <w:color w:val="2E74B5"/>
          <w:sz w:val="25"/>
        </w:rPr>
        <w:t>9.5 三年财务预测</w:t>
      </w:r>
    </w:p>
    <w:tbl>
      <w:tblPr>
        <w:tblStyle w:val="TableGrid"/>
        <w:jc w:val="center"/>
        <w:tblLook w:firstColumn="1" w:firstRow="1" w:lastColumn="0" w:lastRow="0" w:noHBand="0" w:noVBand="1" w:val="04A0"/>
        <w:tblCellMar>
          <w:top w:w="60" w:type="dxa"/>
          <w:left w:w="90" w:type="dxa"/>
          <w:bottom w:w="60" w:type="dxa"/>
          <w:right w:w="90" w:type="dxa"/>
        </w:tblCellMar>
        <w:tblW w:w="9129" w:type="dxa"/>
        <w:tblLayout w:type="fixed"/>
      </w:tblPr>
      <w:tblGrid>
        <w:gridCol w:w="2054"/>
        <w:gridCol w:w="1598"/>
        <w:gridCol w:w="1598"/>
        <w:gridCol w:w="1598"/>
        <w:gridCol w:w="2282"/>
      </w:tblGrid>
      <w:tr>
        <w:trPr>
          <w:tblHeader w:val="true"/>
        </w:trPr>
        <w:tc>
          <w:tcPr>
            <w:tcW w:type="dxa" w:w="2054"/>
            <w:shd w:val="clear" w:color="auto" w:fill="1F4E79"/>
          </w:tcPr>
          <w:p>
            <w:pPr>
              <w:spacing w:after="0" w:line="276" w:lineRule="auto"/>
              <w:jc w:val="center"/>
            </w:pPr>
            <w:r/>
            <w:r>
              <w:rPr>
                <w:rFonts w:ascii="宋体" w:hAnsi="宋体" w:eastAsia="宋体" w:cs="宋体"/>
                <w:b/>
                <w:i w:val="0"/>
                <w:color w:val="FFFFFF"/>
                <w:sz w:val="19"/>
              </w:rPr>
              <w:t>项目</w:t>
            </w:r>
          </w:p>
        </w:tc>
        <w:tc>
          <w:tcPr>
            <w:tcW w:type="dxa" w:w="1597"/>
            <w:shd w:val="clear" w:color="auto" w:fill="1F4E79"/>
          </w:tcPr>
          <w:p>
            <w:pPr>
              <w:spacing w:after="0" w:line="276" w:lineRule="auto"/>
              <w:jc w:val="center"/>
            </w:pPr>
            <w:r/>
            <w:r>
              <w:rPr>
                <w:rFonts w:ascii="宋体" w:hAnsi="宋体" w:eastAsia="宋体" w:cs="宋体"/>
                <w:b/>
                <w:i w:val="0"/>
                <w:color w:val="FFFFFF"/>
                <w:sz w:val="19"/>
              </w:rPr>
              <w:t>第 1 年</w:t>
            </w:r>
          </w:p>
        </w:tc>
        <w:tc>
          <w:tcPr>
            <w:tcW w:type="dxa" w:w="1597"/>
            <w:shd w:val="clear" w:color="auto" w:fill="1F4E79"/>
          </w:tcPr>
          <w:p>
            <w:pPr>
              <w:spacing w:after="0" w:line="276" w:lineRule="auto"/>
              <w:jc w:val="center"/>
            </w:pPr>
            <w:r/>
            <w:r>
              <w:rPr>
                <w:rFonts w:ascii="宋体" w:hAnsi="宋体" w:eastAsia="宋体" w:cs="宋体"/>
                <w:b/>
                <w:i w:val="0"/>
                <w:color w:val="FFFFFF"/>
                <w:sz w:val="19"/>
              </w:rPr>
              <w:t>第 2 年</w:t>
            </w:r>
          </w:p>
        </w:tc>
        <w:tc>
          <w:tcPr>
            <w:tcW w:type="dxa" w:w="1597"/>
            <w:shd w:val="clear" w:color="auto" w:fill="1F4E79"/>
          </w:tcPr>
          <w:p>
            <w:pPr>
              <w:spacing w:after="0" w:line="276" w:lineRule="auto"/>
              <w:jc w:val="center"/>
            </w:pPr>
            <w:r/>
            <w:r>
              <w:rPr>
                <w:rFonts w:ascii="宋体" w:hAnsi="宋体" w:eastAsia="宋体" w:cs="宋体"/>
                <w:b/>
                <w:i w:val="0"/>
                <w:color w:val="FFFFFF"/>
                <w:sz w:val="19"/>
              </w:rPr>
              <w:t>第 3 年</w:t>
            </w:r>
          </w:p>
        </w:tc>
        <w:tc>
          <w:tcPr>
            <w:tcW w:type="dxa" w:w="2282"/>
            <w:shd w:val="clear" w:color="auto" w:fill="1F4E79"/>
          </w:tcPr>
          <w:p>
            <w:pPr>
              <w:spacing w:after="0" w:line="276" w:lineRule="auto"/>
              <w:jc w:val="center"/>
            </w:pPr>
            <w:r/>
            <w:r>
              <w:rPr>
                <w:rFonts w:ascii="宋体" w:hAnsi="宋体" w:eastAsia="宋体" w:cs="宋体"/>
                <w:b/>
                <w:i w:val="0"/>
                <w:color w:val="FFFFFF"/>
                <w:sz w:val="19"/>
              </w:rPr>
              <w:t>关键假设</w:t>
            </w:r>
          </w:p>
        </w:tc>
      </w:tr>
      <w:tr>
        <w:tc>
          <w:tcPr>
            <w:tcW w:type="dxa" w:w="2054"/>
          </w:tcPr>
          <w:p>
            <w:pPr>
              <w:spacing w:after="0" w:line="276" w:lineRule="auto"/>
            </w:pPr>
            <w:r/>
            <w:r>
              <w:rPr>
                <w:rFonts w:ascii="宋体" w:hAnsi="宋体" w:eastAsia="宋体" w:cs="宋体"/>
                <w:b w:val="0"/>
                <w:i w:val="0"/>
                <w:color w:val="000000"/>
                <w:sz w:val="19"/>
              </w:rPr>
              <w:t>边缘节点销量（台）</w:t>
            </w:r>
          </w:p>
        </w:tc>
        <w:tc>
          <w:tcPr>
            <w:tcW w:type="dxa" w:w="1597"/>
          </w:tcPr>
          <w:p>
            <w:pPr>
              <w:spacing w:after="0" w:line="276" w:lineRule="auto"/>
            </w:pPr>
            <w:r/>
            <w:r>
              <w:rPr>
                <w:rFonts w:ascii="宋体" w:hAnsi="宋体" w:eastAsia="宋体" w:cs="宋体"/>
                <w:b w:val="0"/>
                <w:i w:val="0"/>
                <w:color w:val="000000"/>
                <w:sz w:val="19"/>
              </w:rPr>
              <w:t>100</w:t>
            </w:r>
          </w:p>
        </w:tc>
        <w:tc>
          <w:tcPr>
            <w:tcW w:type="dxa" w:w="1597"/>
          </w:tcPr>
          <w:p>
            <w:pPr>
              <w:spacing w:after="0" w:line="276" w:lineRule="auto"/>
            </w:pPr>
            <w:r/>
            <w:r>
              <w:rPr>
                <w:rFonts w:ascii="宋体" w:hAnsi="宋体" w:eastAsia="宋体" w:cs="宋体"/>
                <w:b w:val="0"/>
                <w:i w:val="0"/>
                <w:color w:val="000000"/>
                <w:sz w:val="19"/>
              </w:rPr>
              <w:t>2,000</w:t>
            </w:r>
          </w:p>
        </w:tc>
        <w:tc>
          <w:tcPr>
            <w:tcW w:type="dxa" w:w="1597"/>
          </w:tcPr>
          <w:p>
            <w:pPr>
              <w:spacing w:after="0" w:line="276" w:lineRule="auto"/>
            </w:pPr>
            <w:r/>
            <w:r>
              <w:rPr>
                <w:rFonts w:ascii="宋体" w:hAnsi="宋体" w:eastAsia="宋体" w:cs="宋体"/>
                <w:b w:val="0"/>
                <w:i w:val="0"/>
                <w:color w:val="000000"/>
                <w:sz w:val="19"/>
              </w:rPr>
              <w:t>8,000</w:t>
            </w:r>
          </w:p>
        </w:tc>
        <w:tc>
          <w:tcPr>
            <w:tcW w:type="dxa" w:w="2282"/>
          </w:tcPr>
          <w:p>
            <w:pPr>
              <w:spacing w:after="0" w:line="276" w:lineRule="auto"/>
            </w:pPr>
            <w:r/>
            <w:r>
              <w:rPr>
                <w:rFonts w:ascii="宋体" w:hAnsi="宋体" w:eastAsia="宋体" w:cs="宋体"/>
                <w:b w:val="0"/>
                <w:i w:val="0"/>
                <w:color w:val="000000"/>
                <w:sz w:val="19"/>
              </w:rPr>
              <w:t>第 2 年完成注册并进入院内渠道</w:t>
            </w:r>
          </w:p>
        </w:tc>
      </w:tr>
      <w:tr>
        <w:tc>
          <w:tcPr>
            <w:tcW w:type="dxa" w:w="2054"/>
            <w:shd w:val="clear" w:color="auto" w:fill="EDF3F9"/>
          </w:tcPr>
          <w:p>
            <w:pPr>
              <w:spacing w:after="0" w:line="276" w:lineRule="auto"/>
            </w:pPr>
            <w:r/>
            <w:r>
              <w:rPr>
                <w:rFonts w:ascii="宋体" w:hAnsi="宋体" w:eastAsia="宋体" w:cs="宋体"/>
                <w:b w:val="0"/>
                <w:i w:val="0"/>
                <w:color w:val="000000"/>
                <w:sz w:val="19"/>
              </w:rPr>
              <w:t>硬件收入（万元）</w:t>
            </w:r>
          </w:p>
        </w:tc>
        <w:tc>
          <w:tcPr>
            <w:tcW w:type="dxa" w:w="1597"/>
            <w:shd w:val="clear" w:color="auto" w:fill="EDF3F9"/>
          </w:tcPr>
          <w:p>
            <w:pPr>
              <w:spacing w:after="0" w:line="276" w:lineRule="auto"/>
            </w:pPr>
            <w:r/>
            <w:r>
              <w:rPr>
                <w:rFonts w:ascii="宋体" w:hAnsi="宋体" w:eastAsia="宋体" w:cs="宋体"/>
                <w:b w:val="0"/>
                <w:i w:val="0"/>
                <w:color w:val="000000"/>
                <w:sz w:val="19"/>
              </w:rPr>
              <w:t>13</w:t>
            </w:r>
          </w:p>
        </w:tc>
        <w:tc>
          <w:tcPr>
            <w:tcW w:type="dxa" w:w="1597"/>
            <w:shd w:val="clear" w:color="auto" w:fill="EDF3F9"/>
          </w:tcPr>
          <w:p>
            <w:pPr>
              <w:spacing w:after="0" w:line="276" w:lineRule="auto"/>
            </w:pPr>
            <w:r/>
            <w:r>
              <w:rPr>
                <w:rFonts w:ascii="宋体" w:hAnsi="宋体" w:eastAsia="宋体" w:cs="宋体"/>
                <w:b w:val="0"/>
                <w:i w:val="0"/>
                <w:color w:val="000000"/>
                <w:sz w:val="19"/>
              </w:rPr>
              <w:t>260</w:t>
            </w:r>
          </w:p>
        </w:tc>
        <w:tc>
          <w:tcPr>
            <w:tcW w:type="dxa" w:w="1597"/>
            <w:shd w:val="clear" w:color="auto" w:fill="EDF3F9"/>
          </w:tcPr>
          <w:p>
            <w:pPr>
              <w:spacing w:after="0" w:line="276" w:lineRule="auto"/>
            </w:pPr>
            <w:r/>
            <w:r>
              <w:rPr>
                <w:rFonts w:ascii="宋体" w:hAnsi="宋体" w:eastAsia="宋体" w:cs="宋体"/>
                <w:b w:val="0"/>
                <w:i w:val="0"/>
                <w:color w:val="000000"/>
                <w:sz w:val="19"/>
              </w:rPr>
              <w:t>1,040</w:t>
            </w:r>
          </w:p>
        </w:tc>
        <w:tc>
          <w:tcPr>
            <w:tcW w:type="dxa" w:w="2282"/>
            <w:shd w:val="clear" w:color="auto" w:fill="EDF3F9"/>
          </w:tcPr>
          <w:p>
            <w:pPr>
              <w:spacing w:after="0" w:line="276" w:lineRule="auto"/>
            </w:pPr>
            <w:r/>
            <w:r>
              <w:rPr>
                <w:rFonts w:ascii="宋体" w:hAnsi="宋体" w:eastAsia="宋体" w:cs="宋体"/>
                <w:b w:val="0"/>
                <w:i w:val="0"/>
                <w:color w:val="000000"/>
                <w:sz w:val="19"/>
              </w:rPr>
              <w:t>按完整版 1,299 元 / 入门版 699–899 元的销量结构测算，均价按 1,299 元保守估计</w:t>
            </w:r>
          </w:p>
        </w:tc>
      </w:tr>
      <w:tr>
        <w:tc>
          <w:tcPr>
            <w:tcW w:type="dxa" w:w="2054"/>
          </w:tcPr>
          <w:p>
            <w:pPr>
              <w:spacing w:after="0" w:line="276" w:lineRule="auto"/>
            </w:pPr>
            <w:r/>
            <w:r>
              <w:rPr>
                <w:rFonts w:ascii="宋体" w:hAnsi="宋体" w:eastAsia="宋体" w:cs="宋体"/>
                <w:b w:val="0"/>
                <w:i w:val="0"/>
                <w:color w:val="000000"/>
                <w:sz w:val="19"/>
              </w:rPr>
              <w:t>订阅与服务收入（万元）</w:t>
            </w:r>
          </w:p>
        </w:tc>
        <w:tc>
          <w:tcPr>
            <w:tcW w:type="dxa" w:w="1597"/>
          </w:tcPr>
          <w:p>
            <w:pPr>
              <w:spacing w:after="0" w:line="276" w:lineRule="auto"/>
            </w:pPr>
            <w:r/>
            <w:r>
              <w:rPr>
                <w:rFonts w:ascii="宋体" w:hAnsi="宋体" w:eastAsia="宋体" w:cs="宋体"/>
                <w:b w:val="0"/>
                <w:i w:val="0"/>
                <w:color w:val="000000"/>
                <w:sz w:val="19"/>
              </w:rPr>
              <w:t>20</w:t>
            </w:r>
          </w:p>
        </w:tc>
        <w:tc>
          <w:tcPr>
            <w:tcW w:type="dxa" w:w="1597"/>
          </w:tcPr>
          <w:p>
            <w:pPr>
              <w:spacing w:after="0" w:line="276" w:lineRule="auto"/>
            </w:pPr>
            <w:r/>
            <w:r>
              <w:rPr>
                <w:rFonts w:ascii="宋体" w:hAnsi="宋体" w:eastAsia="宋体" w:cs="宋体"/>
                <w:b w:val="0"/>
                <w:i w:val="0"/>
                <w:color w:val="000000"/>
                <w:sz w:val="19"/>
              </w:rPr>
              <w:t>110</w:t>
            </w:r>
          </w:p>
        </w:tc>
        <w:tc>
          <w:tcPr>
            <w:tcW w:type="dxa" w:w="1597"/>
          </w:tcPr>
          <w:p>
            <w:pPr>
              <w:spacing w:after="0" w:line="276" w:lineRule="auto"/>
            </w:pPr>
            <w:r/>
            <w:r>
              <w:rPr>
                <w:rFonts w:ascii="宋体" w:hAnsi="宋体" w:eastAsia="宋体" w:cs="宋体"/>
                <w:b w:val="0"/>
                <w:i w:val="0"/>
                <w:color w:val="000000"/>
                <w:sz w:val="19"/>
              </w:rPr>
              <w:t>420</w:t>
            </w:r>
          </w:p>
        </w:tc>
        <w:tc>
          <w:tcPr>
            <w:tcW w:type="dxa" w:w="2282"/>
          </w:tcPr>
          <w:p>
            <w:pPr>
              <w:spacing w:after="0" w:line="276" w:lineRule="auto"/>
            </w:pPr>
            <w:r/>
            <w:r>
              <w:rPr>
                <w:rFonts w:ascii="宋体" w:hAnsi="宋体" w:eastAsia="宋体" w:cs="宋体"/>
                <w:b w:val="0"/>
                <w:i w:val="0"/>
                <w:color w:val="000000"/>
                <w:sz w:val="19"/>
              </w:rPr>
              <w:t>药企项目第 1 年即启动且不依赖注册证与自有渠道；订阅续费率 60%</w:t>
            </w:r>
          </w:p>
        </w:tc>
      </w:tr>
      <w:tr>
        <w:tc>
          <w:tcPr>
            <w:tcW w:type="dxa" w:w="2054"/>
            <w:shd w:val="clear" w:color="auto" w:fill="EDF3F9"/>
          </w:tcPr>
          <w:p>
            <w:pPr>
              <w:spacing w:after="0" w:line="276" w:lineRule="auto"/>
            </w:pPr>
            <w:r/>
            <w:r>
              <w:rPr>
                <w:rFonts w:ascii="宋体" w:hAnsi="宋体" w:eastAsia="宋体" w:cs="宋体"/>
                <w:b w:val="0"/>
                <w:i w:val="0"/>
                <w:color w:val="000000"/>
                <w:sz w:val="19"/>
              </w:rPr>
              <w:t>营业收入合计（万元）</w:t>
            </w:r>
          </w:p>
        </w:tc>
        <w:tc>
          <w:tcPr>
            <w:tcW w:type="dxa" w:w="1597"/>
            <w:shd w:val="clear" w:color="auto" w:fill="EDF3F9"/>
          </w:tcPr>
          <w:p>
            <w:pPr>
              <w:spacing w:after="0" w:line="276" w:lineRule="auto"/>
            </w:pPr>
            <w:r/>
            <w:r>
              <w:rPr>
                <w:rFonts w:ascii="宋体" w:hAnsi="宋体" w:eastAsia="宋体" w:cs="宋体"/>
                <w:b w:val="0"/>
                <w:i w:val="0"/>
                <w:color w:val="000000"/>
                <w:sz w:val="19"/>
              </w:rPr>
              <w:t>33</w:t>
            </w:r>
          </w:p>
        </w:tc>
        <w:tc>
          <w:tcPr>
            <w:tcW w:type="dxa" w:w="1597"/>
            <w:shd w:val="clear" w:color="auto" w:fill="EDF3F9"/>
          </w:tcPr>
          <w:p>
            <w:pPr>
              <w:spacing w:after="0" w:line="276" w:lineRule="auto"/>
            </w:pPr>
            <w:r/>
            <w:r>
              <w:rPr>
                <w:rFonts w:ascii="宋体" w:hAnsi="宋体" w:eastAsia="宋体" w:cs="宋体"/>
                <w:b w:val="0"/>
                <w:i w:val="0"/>
                <w:color w:val="000000"/>
                <w:sz w:val="19"/>
              </w:rPr>
              <w:t>370</w:t>
            </w:r>
          </w:p>
        </w:tc>
        <w:tc>
          <w:tcPr>
            <w:tcW w:type="dxa" w:w="1597"/>
            <w:shd w:val="clear" w:color="auto" w:fill="EDF3F9"/>
          </w:tcPr>
          <w:p>
            <w:pPr>
              <w:spacing w:after="0" w:line="276" w:lineRule="auto"/>
            </w:pPr>
            <w:r/>
            <w:r>
              <w:rPr>
                <w:rFonts w:ascii="宋体" w:hAnsi="宋体" w:eastAsia="宋体" w:cs="宋体"/>
                <w:b w:val="0"/>
                <w:i w:val="0"/>
                <w:color w:val="000000"/>
                <w:sz w:val="19"/>
              </w:rPr>
              <w:t>1,460</w:t>
            </w:r>
          </w:p>
        </w:tc>
        <w:tc>
          <w:tcPr>
            <w:tcW w:type="dxa" w:w="2282"/>
            <w:shd w:val="clear" w:color="auto" w:fill="EDF3F9"/>
          </w:tcPr>
          <w:p>
            <w:pPr>
              <w:spacing w:after="0" w:line="276" w:lineRule="auto"/>
            </w:pPr>
            <w:r/>
            <w:r>
              <w:rPr>
                <w:rFonts w:ascii="宋体" w:hAnsi="宋体" w:eastAsia="宋体" w:cs="宋体"/>
                <w:b w:val="0"/>
                <w:i w:val="0"/>
                <w:color w:val="000000"/>
                <w:sz w:val="19"/>
              </w:rPr>
              <w:t>—</w:t>
            </w:r>
          </w:p>
        </w:tc>
      </w:tr>
      <w:tr>
        <w:tc>
          <w:tcPr>
            <w:tcW w:type="dxa" w:w="2054"/>
          </w:tcPr>
          <w:p>
            <w:pPr>
              <w:spacing w:after="0" w:line="276" w:lineRule="auto"/>
            </w:pPr>
            <w:r/>
            <w:r>
              <w:rPr>
                <w:rFonts w:ascii="宋体" w:hAnsi="宋体" w:eastAsia="宋体" w:cs="宋体"/>
                <w:b w:val="0"/>
                <w:i w:val="0"/>
                <w:color w:val="000000"/>
                <w:sz w:val="19"/>
              </w:rPr>
              <w:t>硬件成本（万元）</w:t>
            </w:r>
          </w:p>
        </w:tc>
        <w:tc>
          <w:tcPr>
            <w:tcW w:type="dxa" w:w="1597"/>
          </w:tcPr>
          <w:p>
            <w:pPr>
              <w:spacing w:after="0" w:line="276" w:lineRule="auto"/>
            </w:pPr>
            <w:r/>
            <w:r>
              <w:rPr>
                <w:rFonts w:ascii="宋体" w:hAnsi="宋体" w:eastAsia="宋体" w:cs="宋体"/>
                <w:b w:val="0"/>
                <w:i w:val="0"/>
                <w:color w:val="000000"/>
                <w:sz w:val="19"/>
              </w:rPr>
              <w:t>5</w:t>
            </w:r>
          </w:p>
        </w:tc>
        <w:tc>
          <w:tcPr>
            <w:tcW w:type="dxa" w:w="1597"/>
          </w:tcPr>
          <w:p>
            <w:pPr>
              <w:spacing w:after="0" w:line="276" w:lineRule="auto"/>
            </w:pPr>
            <w:r/>
            <w:r>
              <w:rPr>
                <w:rFonts w:ascii="宋体" w:hAnsi="宋体" w:eastAsia="宋体" w:cs="宋体"/>
                <w:b w:val="0"/>
                <w:i w:val="0"/>
                <w:color w:val="000000"/>
                <w:sz w:val="19"/>
              </w:rPr>
              <w:t>80</w:t>
            </w:r>
          </w:p>
        </w:tc>
        <w:tc>
          <w:tcPr>
            <w:tcW w:type="dxa" w:w="1597"/>
          </w:tcPr>
          <w:p>
            <w:pPr>
              <w:spacing w:after="0" w:line="276" w:lineRule="auto"/>
            </w:pPr>
            <w:r/>
            <w:r>
              <w:rPr>
                <w:rFonts w:ascii="宋体" w:hAnsi="宋体" w:eastAsia="宋体" w:cs="宋体"/>
                <w:b w:val="0"/>
                <w:i w:val="0"/>
                <w:color w:val="000000"/>
                <w:sz w:val="19"/>
              </w:rPr>
              <w:t>288</w:t>
            </w:r>
          </w:p>
        </w:tc>
        <w:tc>
          <w:tcPr>
            <w:tcW w:type="dxa" w:w="2282"/>
          </w:tcPr>
          <w:p>
            <w:pPr>
              <w:spacing w:after="0" w:line="276" w:lineRule="auto"/>
            </w:pPr>
            <w:r/>
            <w:r>
              <w:rPr>
                <w:rFonts w:ascii="宋体" w:hAnsi="宋体" w:eastAsia="宋体" w:cs="宋体"/>
                <w:b w:val="0"/>
                <w:i w:val="0"/>
                <w:color w:val="000000"/>
                <w:sz w:val="19"/>
              </w:rPr>
              <w:t>单台成本从 400 元降至 360 元</w:t>
            </w:r>
          </w:p>
        </w:tc>
      </w:tr>
      <w:tr>
        <w:tc>
          <w:tcPr>
            <w:tcW w:type="dxa" w:w="2054"/>
            <w:shd w:val="clear" w:color="auto" w:fill="EDF3F9"/>
          </w:tcPr>
          <w:p>
            <w:pPr>
              <w:spacing w:after="0" w:line="276" w:lineRule="auto"/>
            </w:pPr>
            <w:r/>
            <w:r>
              <w:rPr>
                <w:rFonts w:ascii="宋体" w:hAnsi="宋体" w:eastAsia="宋体" w:cs="宋体"/>
                <w:b w:val="0"/>
                <w:i w:val="0"/>
                <w:color w:val="000000"/>
                <w:sz w:val="19"/>
              </w:rPr>
              <w:t>研发投入（万元）</w:t>
            </w:r>
          </w:p>
        </w:tc>
        <w:tc>
          <w:tcPr>
            <w:tcW w:type="dxa" w:w="1597"/>
            <w:shd w:val="clear" w:color="auto" w:fill="EDF3F9"/>
          </w:tcPr>
          <w:p>
            <w:pPr>
              <w:spacing w:after="0" w:line="276" w:lineRule="auto"/>
            </w:pPr>
            <w:r/>
            <w:r>
              <w:rPr>
                <w:rFonts w:ascii="宋体" w:hAnsi="宋体" w:eastAsia="宋体" w:cs="宋体"/>
                <w:b w:val="0"/>
                <w:i w:val="0"/>
                <w:color w:val="000000"/>
                <w:sz w:val="19"/>
              </w:rPr>
              <w:t>120</w:t>
            </w:r>
          </w:p>
        </w:tc>
        <w:tc>
          <w:tcPr>
            <w:tcW w:type="dxa" w:w="1597"/>
            <w:shd w:val="clear" w:color="auto" w:fill="EDF3F9"/>
          </w:tcPr>
          <w:p>
            <w:pPr>
              <w:spacing w:after="0" w:line="276" w:lineRule="auto"/>
            </w:pPr>
            <w:r/>
            <w:r>
              <w:rPr>
                <w:rFonts w:ascii="宋体" w:hAnsi="宋体" w:eastAsia="宋体" w:cs="宋体"/>
                <w:b w:val="0"/>
                <w:i w:val="0"/>
                <w:color w:val="000000"/>
                <w:sz w:val="19"/>
              </w:rPr>
              <w:t>180</w:t>
            </w:r>
          </w:p>
        </w:tc>
        <w:tc>
          <w:tcPr>
            <w:tcW w:type="dxa" w:w="1597"/>
            <w:shd w:val="clear" w:color="auto" w:fill="EDF3F9"/>
          </w:tcPr>
          <w:p>
            <w:pPr>
              <w:spacing w:after="0" w:line="276" w:lineRule="auto"/>
            </w:pPr>
            <w:r/>
            <w:r>
              <w:rPr>
                <w:rFonts w:ascii="宋体" w:hAnsi="宋体" w:eastAsia="宋体" w:cs="宋体"/>
                <w:b w:val="0"/>
                <w:i w:val="0"/>
                <w:color w:val="000000"/>
                <w:sz w:val="19"/>
              </w:rPr>
              <w:t>260</w:t>
            </w:r>
          </w:p>
        </w:tc>
        <w:tc>
          <w:tcPr>
            <w:tcW w:type="dxa" w:w="2282"/>
            <w:shd w:val="clear" w:color="auto" w:fill="EDF3F9"/>
          </w:tcPr>
          <w:p>
            <w:pPr>
              <w:spacing w:after="0" w:line="276" w:lineRule="auto"/>
            </w:pPr>
            <w:r/>
            <w:r>
              <w:rPr>
                <w:rFonts w:ascii="宋体" w:hAnsi="宋体" w:eastAsia="宋体" w:cs="宋体"/>
                <w:b w:val="0"/>
                <w:i w:val="0"/>
                <w:color w:val="000000"/>
                <w:sz w:val="19"/>
              </w:rPr>
              <w:t>算法、嵌入式与临床验证人员投入</w:t>
            </w:r>
          </w:p>
        </w:tc>
      </w:tr>
      <w:tr>
        <w:tc>
          <w:tcPr>
            <w:tcW w:type="dxa" w:w="2054"/>
          </w:tcPr>
          <w:p>
            <w:pPr>
              <w:spacing w:after="0" w:line="276" w:lineRule="auto"/>
            </w:pPr>
            <w:r/>
            <w:r>
              <w:rPr>
                <w:rFonts w:ascii="宋体" w:hAnsi="宋体" w:eastAsia="宋体" w:cs="宋体"/>
                <w:b w:val="0"/>
                <w:i w:val="0"/>
                <w:color w:val="000000"/>
                <w:sz w:val="19"/>
              </w:rPr>
              <w:t>市场与销售费用（万元）</w:t>
            </w:r>
          </w:p>
        </w:tc>
        <w:tc>
          <w:tcPr>
            <w:tcW w:type="dxa" w:w="1597"/>
          </w:tcPr>
          <w:p>
            <w:pPr>
              <w:spacing w:after="0" w:line="276" w:lineRule="auto"/>
            </w:pPr>
            <w:r/>
            <w:r>
              <w:rPr>
                <w:rFonts w:ascii="宋体" w:hAnsi="宋体" w:eastAsia="宋体" w:cs="宋体"/>
                <w:b w:val="0"/>
                <w:i w:val="0"/>
                <w:color w:val="000000"/>
                <w:sz w:val="19"/>
              </w:rPr>
              <w:t>15</w:t>
            </w:r>
          </w:p>
        </w:tc>
        <w:tc>
          <w:tcPr>
            <w:tcW w:type="dxa" w:w="1597"/>
          </w:tcPr>
          <w:p>
            <w:pPr>
              <w:spacing w:after="0" w:line="276" w:lineRule="auto"/>
            </w:pPr>
            <w:r/>
            <w:r>
              <w:rPr>
                <w:rFonts w:ascii="宋体" w:hAnsi="宋体" w:eastAsia="宋体" w:cs="宋体"/>
                <w:b w:val="0"/>
                <w:i w:val="0"/>
                <w:color w:val="000000"/>
                <w:sz w:val="19"/>
              </w:rPr>
              <w:t>90</w:t>
            </w:r>
          </w:p>
        </w:tc>
        <w:tc>
          <w:tcPr>
            <w:tcW w:type="dxa" w:w="1597"/>
          </w:tcPr>
          <w:p>
            <w:pPr>
              <w:spacing w:after="0" w:line="276" w:lineRule="auto"/>
            </w:pPr>
            <w:r/>
            <w:r>
              <w:rPr>
                <w:rFonts w:ascii="宋体" w:hAnsi="宋体" w:eastAsia="宋体" w:cs="宋体"/>
                <w:b w:val="0"/>
                <w:i w:val="0"/>
                <w:color w:val="000000"/>
                <w:sz w:val="19"/>
              </w:rPr>
              <w:t>280</w:t>
            </w:r>
          </w:p>
        </w:tc>
        <w:tc>
          <w:tcPr>
            <w:tcW w:type="dxa" w:w="2282"/>
          </w:tcPr>
          <w:p>
            <w:pPr>
              <w:spacing w:after="0" w:line="276" w:lineRule="auto"/>
            </w:pPr>
            <w:r/>
            <w:r>
              <w:rPr>
                <w:rFonts w:ascii="宋体" w:hAnsi="宋体" w:eastAsia="宋体" w:cs="宋体"/>
                <w:b w:val="0"/>
                <w:i w:val="0"/>
                <w:color w:val="000000"/>
                <w:sz w:val="19"/>
              </w:rPr>
              <w:t>含渠道分成与品牌建设</w:t>
            </w:r>
          </w:p>
        </w:tc>
      </w:tr>
      <w:tr>
        <w:tc>
          <w:tcPr>
            <w:tcW w:type="dxa" w:w="2054"/>
            <w:shd w:val="clear" w:color="auto" w:fill="EDF3F9"/>
          </w:tcPr>
          <w:p>
            <w:pPr>
              <w:spacing w:after="0" w:line="276" w:lineRule="auto"/>
            </w:pPr>
            <w:r/>
            <w:r>
              <w:rPr>
                <w:rFonts w:ascii="宋体" w:hAnsi="宋体" w:eastAsia="宋体" w:cs="宋体"/>
                <w:b w:val="0"/>
                <w:i w:val="0"/>
                <w:color w:val="000000"/>
                <w:sz w:val="19"/>
              </w:rPr>
              <w:t>管理与合规费用（万元）</w:t>
            </w:r>
          </w:p>
        </w:tc>
        <w:tc>
          <w:tcPr>
            <w:tcW w:type="dxa" w:w="1597"/>
            <w:shd w:val="clear" w:color="auto" w:fill="EDF3F9"/>
          </w:tcPr>
          <w:p>
            <w:pPr>
              <w:spacing w:after="0" w:line="276" w:lineRule="auto"/>
            </w:pPr>
            <w:r/>
            <w:r>
              <w:rPr>
                <w:rFonts w:ascii="宋体" w:hAnsi="宋体" w:eastAsia="宋体" w:cs="宋体"/>
                <w:b w:val="0"/>
                <w:i w:val="0"/>
                <w:color w:val="000000"/>
                <w:sz w:val="19"/>
              </w:rPr>
              <w:t>10</w:t>
            </w:r>
          </w:p>
        </w:tc>
        <w:tc>
          <w:tcPr>
            <w:tcW w:type="dxa" w:w="1597"/>
            <w:shd w:val="clear" w:color="auto" w:fill="EDF3F9"/>
          </w:tcPr>
          <w:p>
            <w:pPr>
              <w:spacing w:after="0" w:line="276" w:lineRule="auto"/>
            </w:pPr>
            <w:r/>
            <w:r>
              <w:rPr>
                <w:rFonts w:ascii="宋体" w:hAnsi="宋体" w:eastAsia="宋体" w:cs="宋体"/>
                <w:b w:val="0"/>
                <w:i w:val="0"/>
                <w:color w:val="000000"/>
                <w:sz w:val="19"/>
              </w:rPr>
              <w:t>60</w:t>
            </w:r>
          </w:p>
        </w:tc>
        <w:tc>
          <w:tcPr>
            <w:tcW w:type="dxa" w:w="1597"/>
            <w:shd w:val="clear" w:color="auto" w:fill="EDF3F9"/>
          </w:tcPr>
          <w:p>
            <w:pPr>
              <w:spacing w:after="0" w:line="276" w:lineRule="auto"/>
            </w:pPr>
            <w:r/>
            <w:r>
              <w:rPr>
                <w:rFonts w:ascii="宋体" w:hAnsi="宋体" w:eastAsia="宋体" w:cs="宋体"/>
                <w:b w:val="0"/>
                <w:i w:val="0"/>
                <w:color w:val="000000"/>
                <w:sz w:val="19"/>
              </w:rPr>
              <w:t>120</w:t>
            </w:r>
          </w:p>
        </w:tc>
        <w:tc>
          <w:tcPr>
            <w:tcW w:type="dxa" w:w="2282"/>
            <w:shd w:val="clear" w:color="auto" w:fill="EDF3F9"/>
          </w:tcPr>
          <w:p>
            <w:pPr>
              <w:spacing w:after="0" w:line="276" w:lineRule="auto"/>
            </w:pPr>
            <w:r/>
            <w:r>
              <w:rPr>
                <w:rFonts w:ascii="宋体" w:hAnsi="宋体" w:eastAsia="宋体" w:cs="宋体"/>
                <w:b w:val="0"/>
                <w:i w:val="0"/>
                <w:color w:val="000000"/>
                <w:sz w:val="19"/>
              </w:rPr>
              <w:t>注册、体系、法务与审计</w:t>
            </w:r>
          </w:p>
        </w:tc>
      </w:tr>
      <w:tr>
        <w:tc>
          <w:tcPr>
            <w:tcW w:type="dxa" w:w="2054"/>
          </w:tcPr>
          <w:p>
            <w:pPr>
              <w:spacing w:after="0" w:line="276" w:lineRule="auto"/>
            </w:pPr>
            <w:r/>
            <w:r>
              <w:rPr>
                <w:rFonts w:ascii="宋体" w:hAnsi="宋体" w:eastAsia="宋体" w:cs="宋体"/>
                <w:b w:val="0"/>
                <w:i w:val="0"/>
                <w:color w:val="000000"/>
                <w:sz w:val="19"/>
              </w:rPr>
              <w:t>净利润（万元）</w:t>
            </w:r>
          </w:p>
        </w:tc>
        <w:tc>
          <w:tcPr>
            <w:tcW w:type="dxa" w:w="1597"/>
          </w:tcPr>
          <w:p>
            <w:pPr>
              <w:spacing w:after="0" w:line="276" w:lineRule="auto"/>
            </w:pPr>
            <w:r/>
            <w:r>
              <w:rPr>
                <w:rFonts w:ascii="宋体" w:hAnsi="宋体" w:eastAsia="宋体" w:cs="宋体"/>
                <w:b w:val="0"/>
                <w:i w:val="0"/>
                <w:color w:val="000000"/>
                <w:sz w:val="19"/>
              </w:rPr>
              <w:t>-117</w:t>
            </w:r>
          </w:p>
        </w:tc>
        <w:tc>
          <w:tcPr>
            <w:tcW w:type="dxa" w:w="1597"/>
          </w:tcPr>
          <w:p>
            <w:pPr>
              <w:spacing w:after="0" w:line="276" w:lineRule="auto"/>
            </w:pPr>
            <w:r/>
            <w:r>
              <w:rPr>
                <w:rFonts w:ascii="宋体" w:hAnsi="宋体" w:eastAsia="宋体" w:cs="宋体"/>
                <w:b w:val="0"/>
                <w:i w:val="0"/>
                <w:color w:val="000000"/>
                <w:sz w:val="19"/>
              </w:rPr>
              <w:t>-40</w:t>
            </w:r>
          </w:p>
        </w:tc>
        <w:tc>
          <w:tcPr>
            <w:tcW w:type="dxa" w:w="1597"/>
          </w:tcPr>
          <w:p>
            <w:pPr>
              <w:spacing w:after="0" w:line="276" w:lineRule="auto"/>
            </w:pPr>
            <w:r/>
            <w:r>
              <w:rPr>
                <w:rFonts w:ascii="宋体" w:hAnsi="宋体" w:eastAsia="宋体" w:cs="宋体"/>
                <w:b w:val="0"/>
                <w:i w:val="0"/>
                <w:color w:val="000000"/>
                <w:sz w:val="19"/>
              </w:rPr>
              <w:t>512</w:t>
            </w:r>
          </w:p>
        </w:tc>
        <w:tc>
          <w:tcPr>
            <w:tcW w:type="dxa" w:w="2282"/>
          </w:tcPr>
          <w:p>
            <w:pPr>
              <w:spacing w:after="0" w:line="276" w:lineRule="auto"/>
            </w:pPr>
            <w:r/>
            <w:r>
              <w:rPr>
                <w:rFonts w:ascii="宋体" w:hAnsi="宋体" w:eastAsia="宋体" w:cs="宋体"/>
                <w:b w:val="0"/>
                <w:i w:val="0"/>
                <w:color w:val="000000"/>
                <w:sz w:val="19"/>
              </w:rPr>
              <w:t>第 3 年实现盈利</w:t>
            </w:r>
          </w:p>
        </w:tc>
      </w:tr>
      <w:tr>
        <w:tc>
          <w:tcPr>
            <w:tcW w:type="dxa" w:w="2054"/>
            <w:shd w:val="clear" w:color="auto" w:fill="EDF3F9"/>
          </w:tcPr>
          <w:p>
            <w:pPr>
              <w:spacing w:after="0" w:line="276" w:lineRule="auto"/>
            </w:pPr>
            <w:r/>
            <w:r>
              <w:rPr>
                <w:rFonts w:ascii="宋体" w:hAnsi="宋体" w:eastAsia="宋体" w:cs="宋体"/>
                <w:b w:val="0"/>
                <w:i w:val="0"/>
                <w:color w:val="000000"/>
                <w:sz w:val="19"/>
              </w:rPr>
              <w:t>累计现金流（万元）</w:t>
            </w:r>
          </w:p>
        </w:tc>
        <w:tc>
          <w:tcPr>
            <w:tcW w:type="dxa" w:w="1597"/>
            <w:shd w:val="clear" w:color="auto" w:fill="EDF3F9"/>
          </w:tcPr>
          <w:p>
            <w:pPr>
              <w:spacing w:after="0" w:line="276" w:lineRule="auto"/>
            </w:pPr>
            <w:r/>
            <w:r>
              <w:rPr>
                <w:rFonts w:ascii="宋体" w:hAnsi="宋体" w:eastAsia="宋体" w:cs="宋体"/>
                <w:b w:val="0"/>
                <w:i w:val="0"/>
                <w:color w:val="000000"/>
                <w:sz w:val="19"/>
              </w:rPr>
              <w:t>-117</w:t>
            </w:r>
          </w:p>
        </w:tc>
        <w:tc>
          <w:tcPr>
            <w:tcW w:type="dxa" w:w="1597"/>
            <w:shd w:val="clear" w:color="auto" w:fill="EDF3F9"/>
          </w:tcPr>
          <w:p>
            <w:pPr>
              <w:spacing w:after="0" w:line="276" w:lineRule="auto"/>
            </w:pPr>
            <w:r/>
            <w:r>
              <w:rPr>
                <w:rFonts w:ascii="宋体" w:hAnsi="宋体" w:eastAsia="宋体" w:cs="宋体"/>
                <w:b w:val="0"/>
                <w:i w:val="0"/>
                <w:color w:val="000000"/>
                <w:sz w:val="19"/>
              </w:rPr>
              <w:t>-157</w:t>
            </w:r>
          </w:p>
        </w:tc>
        <w:tc>
          <w:tcPr>
            <w:tcW w:type="dxa" w:w="1597"/>
            <w:shd w:val="clear" w:color="auto" w:fill="EDF3F9"/>
          </w:tcPr>
          <w:p>
            <w:pPr>
              <w:spacing w:after="0" w:line="276" w:lineRule="auto"/>
            </w:pPr>
            <w:r/>
            <w:r>
              <w:rPr>
                <w:rFonts w:ascii="宋体" w:hAnsi="宋体" w:eastAsia="宋体" w:cs="宋体"/>
                <w:b w:val="0"/>
                <w:i w:val="0"/>
                <w:color w:val="000000"/>
                <w:sz w:val="19"/>
              </w:rPr>
              <w:t>355</w:t>
            </w:r>
          </w:p>
        </w:tc>
        <w:tc>
          <w:tcPr>
            <w:tcW w:type="dxa" w:w="2282"/>
            <w:shd w:val="clear" w:color="auto" w:fill="EDF3F9"/>
          </w:tcPr>
          <w:p>
            <w:pPr>
              <w:spacing w:after="0" w:line="276" w:lineRule="auto"/>
            </w:pPr>
            <w:r/>
            <w:r>
              <w:rPr>
                <w:rFonts w:ascii="宋体" w:hAnsi="宋体" w:eastAsia="宋体" w:cs="宋体"/>
                <w:b w:val="0"/>
                <w:i w:val="0"/>
                <w:color w:val="000000"/>
                <w:sz w:val="19"/>
              </w:rPr>
              <w:t>第 1–2 年依赖外部资金支持</w:t>
            </w:r>
          </w:p>
        </w:tc>
      </w:tr>
    </w:tbl>
    <w:p>
      <w:pPr>
        <w:spacing w:after="40"/>
      </w:pPr>
    </w:p>
    <w:p>
      <w:pPr>
        <w:spacing w:after="80"/>
        <w:jc w:val="left"/>
      </w:pPr>
      <w:r>
        <w:rPr>
          <w:rFonts w:ascii="宋体" w:hAnsi="宋体" w:eastAsia="宋体" w:cs="宋体"/>
          <w:b w:val="0"/>
          <w:i w:val="0"/>
          <w:color w:val="595959"/>
          <w:sz w:val="18"/>
        </w:rPr>
        <w:t>注：以上为基于假设的示意性预测，非承诺性财务数据。关键假设：第二年完成二类器械注册并进入院内渠道，药企服务收入按项目制确认，用户续费率 60%。</w:t>
      </w:r>
    </w:p>
    <w:p>
      <w:pPr>
        <w:pStyle w:val="Heading2"/>
      </w:pPr>
      <w:r>
        <w:rPr>
          <w:rFonts w:ascii="宋体" w:hAnsi="宋体" w:eastAsia="宋体" w:cs="宋体"/>
          <w:b/>
          <w:i w:val="0"/>
          <w:color w:val="2E74B5"/>
          <w:sz w:val="25"/>
        </w:rPr>
        <w:t>9.6 里程碑计划</w:t>
      </w:r>
    </w:p>
    <w:tbl>
      <w:tblPr>
        <w:tblStyle w:val="TableGrid"/>
        <w:jc w:val="center"/>
        <w:tblLook w:firstColumn="1" w:firstRow="1" w:lastColumn="0" w:lastRow="0" w:noHBand="0" w:noVBand="1" w:val="04A0"/>
        <w:tblCellMar>
          <w:top w:w="60" w:type="dxa"/>
          <w:left w:w="90" w:type="dxa"/>
          <w:bottom w:w="60" w:type="dxa"/>
          <w:right w:w="90" w:type="dxa"/>
        </w:tblCellMar>
        <w:tblW w:w="9129" w:type="dxa"/>
        <w:tblLayout w:type="fixed"/>
      </w:tblPr>
      <w:tblGrid>
        <w:gridCol w:w="1255"/>
        <w:gridCol w:w="2510"/>
        <w:gridCol w:w="1826"/>
        <w:gridCol w:w="1712"/>
        <w:gridCol w:w="1826"/>
      </w:tblGrid>
      <w:tr>
        <w:trPr>
          <w:tblHeader w:val="true"/>
        </w:trPr>
        <w:tc>
          <w:tcPr>
            <w:tcW w:type="dxa" w:w="1255"/>
            <w:shd w:val="clear" w:color="auto" w:fill="1F4E79"/>
          </w:tcPr>
          <w:p>
            <w:pPr>
              <w:spacing w:after="0" w:line="276" w:lineRule="auto"/>
              <w:jc w:val="center"/>
            </w:pPr>
            <w:r/>
            <w:r>
              <w:rPr>
                <w:rFonts w:ascii="宋体" w:hAnsi="宋体" w:eastAsia="宋体" w:cs="宋体"/>
                <w:b/>
                <w:i w:val="0"/>
                <w:color w:val="FFFFFF"/>
                <w:sz w:val="19"/>
              </w:rPr>
              <w:t>阶段</w:t>
            </w:r>
          </w:p>
        </w:tc>
        <w:tc>
          <w:tcPr>
            <w:tcW w:type="dxa" w:w="2510"/>
            <w:shd w:val="clear" w:color="auto" w:fill="1F4E79"/>
          </w:tcPr>
          <w:p>
            <w:pPr>
              <w:spacing w:after="0" w:line="276" w:lineRule="auto"/>
              <w:jc w:val="center"/>
            </w:pPr>
            <w:r/>
            <w:r>
              <w:rPr>
                <w:rFonts w:ascii="宋体" w:hAnsi="宋体" w:eastAsia="宋体" w:cs="宋体"/>
                <w:b/>
                <w:i w:val="0"/>
                <w:color w:val="FFFFFF"/>
                <w:sz w:val="19"/>
              </w:rPr>
              <w:t>关键任务</w:t>
            </w:r>
          </w:p>
        </w:tc>
        <w:tc>
          <w:tcPr>
            <w:tcW w:type="dxa" w:w="1826"/>
            <w:shd w:val="clear" w:color="auto" w:fill="1F4E79"/>
          </w:tcPr>
          <w:p>
            <w:pPr>
              <w:spacing w:after="0" w:line="276" w:lineRule="auto"/>
              <w:jc w:val="center"/>
            </w:pPr>
            <w:r/>
            <w:r>
              <w:rPr>
                <w:rFonts w:ascii="宋体" w:hAnsi="宋体" w:eastAsia="宋体" w:cs="宋体"/>
                <w:b/>
                <w:i w:val="0"/>
                <w:color w:val="FFFFFF"/>
                <w:sz w:val="19"/>
              </w:rPr>
              <w:t>时间</w:t>
            </w:r>
          </w:p>
        </w:tc>
        <w:tc>
          <w:tcPr>
            <w:tcW w:type="dxa" w:w="1711"/>
            <w:shd w:val="clear" w:color="auto" w:fill="1F4E79"/>
          </w:tcPr>
          <w:p>
            <w:pPr>
              <w:spacing w:after="0" w:line="276" w:lineRule="auto"/>
              <w:jc w:val="center"/>
            </w:pPr>
            <w:r/>
            <w:r>
              <w:rPr>
                <w:rFonts w:ascii="宋体" w:hAnsi="宋体" w:eastAsia="宋体" w:cs="宋体"/>
                <w:b/>
                <w:i w:val="0"/>
                <w:color w:val="FFFFFF"/>
                <w:sz w:val="19"/>
              </w:rPr>
              <w:t>责任分工</w:t>
            </w:r>
          </w:p>
        </w:tc>
        <w:tc>
          <w:tcPr>
            <w:tcW w:type="dxa" w:w="1826"/>
            <w:shd w:val="clear" w:color="auto" w:fill="1F4E79"/>
          </w:tcPr>
          <w:p>
            <w:pPr>
              <w:spacing w:after="0" w:line="276" w:lineRule="auto"/>
              <w:jc w:val="center"/>
            </w:pPr>
            <w:r/>
            <w:r>
              <w:rPr>
                <w:rFonts w:ascii="宋体" w:hAnsi="宋体" w:eastAsia="宋体" w:cs="宋体"/>
                <w:b/>
                <w:i w:val="0"/>
                <w:color w:val="FFFFFF"/>
                <w:sz w:val="19"/>
              </w:rPr>
              <w:t>验收标准</w:t>
            </w:r>
          </w:p>
        </w:tc>
      </w:tr>
      <w:tr>
        <w:tc>
          <w:tcPr>
            <w:tcW w:type="dxa" w:w="1255"/>
          </w:tcPr>
          <w:p>
            <w:pPr>
              <w:spacing w:after="0" w:line="276" w:lineRule="auto"/>
            </w:pPr>
            <w:r/>
            <w:r>
              <w:rPr>
                <w:rFonts w:ascii="宋体" w:hAnsi="宋体" w:eastAsia="宋体" w:cs="宋体"/>
                <w:b w:val="0"/>
                <w:i w:val="0"/>
                <w:color w:val="000000"/>
                <w:sz w:val="19"/>
              </w:rPr>
              <w:t>M1 全链路打通</w:t>
            </w:r>
          </w:p>
        </w:tc>
        <w:tc>
          <w:tcPr>
            <w:tcW w:type="dxa" w:w="2510"/>
          </w:tcPr>
          <w:p>
            <w:pPr>
              <w:spacing w:after="0" w:line="276" w:lineRule="auto"/>
            </w:pPr>
            <w:r/>
            <w:r>
              <w:rPr>
                <w:rFonts w:ascii="宋体" w:hAnsi="宋体" w:eastAsia="宋体" w:cs="宋体"/>
                <w:b w:val="0"/>
                <w:i w:val="0"/>
                <w:color w:val="000000"/>
                <w:sz w:val="19"/>
              </w:rPr>
              <w:t>手机采集—边缘推理—指标上云闭环</w:t>
            </w:r>
          </w:p>
        </w:tc>
        <w:tc>
          <w:tcPr>
            <w:tcW w:type="dxa" w:w="1826"/>
          </w:tcPr>
          <w:p>
            <w:pPr>
              <w:spacing w:after="0" w:line="276" w:lineRule="auto"/>
            </w:pPr>
            <w:r/>
            <w:r>
              <w:rPr>
                <w:rFonts w:ascii="宋体" w:hAnsi="宋体" w:eastAsia="宋体" w:cs="宋体"/>
                <w:b w:val="0"/>
                <w:i w:val="0"/>
                <w:color w:val="000000"/>
                <w:sz w:val="19"/>
              </w:rPr>
              <w:t>第 1–6 月</w:t>
            </w:r>
          </w:p>
        </w:tc>
        <w:tc>
          <w:tcPr>
            <w:tcW w:type="dxa" w:w="1711"/>
          </w:tcPr>
          <w:p>
            <w:pPr>
              <w:spacing w:after="0" w:line="276" w:lineRule="auto"/>
            </w:pPr>
            <w:r/>
            <w:r>
              <w:rPr>
                <w:rFonts w:ascii="宋体" w:hAnsi="宋体" w:eastAsia="宋体" w:cs="宋体"/>
                <w:b w:val="0"/>
                <w:i w:val="0"/>
                <w:color w:val="000000"/>
                <w:sz w:val="19"/>
              </w:rPr>
              <w:t>算法组 + 嵌入式组 + 软件组</w:t>
            </w:r>
          </w:p>
        </w:tc>
        <w:tc>
          <w:tcPr>
            <w:tcW w:type="dxa" w:w="1826"/>
          </w:tcPr>
          <w:p>
            <w:pPr>
              <w:spacing w:after="0" w:line="276" w:lineRule="auto"/>
            </w:pPr>
            <w:r/>
            <w:r>
              <w:rPr>
                <w:rFonts w:ascii="宋体" w:hAnsi="宋体" w:eastAsia="宋体" w:cs="宋体"/>
                <w:b w:val="0"/>
                <w:i w:val="0"/>
                <w:color w:val="000000"/>
                <w:sz w:val="19"/>
              </w:rPr>
              <w:t>端到端跑通，离线测试集 F1 ≥ 0.75</w:t>
            </w:r>
          </w:p>
        </w:tc>
      </w:tr>
      <w:tr>
        <w:tc>
          <w:tcPr>
            <w:tcW w:type="dxa" w:w="1255"/>
            <w:shd w:val="clear" w:color="auto" w:fill="EDF3F9"/>
          </w:tcPr>
          <w:p>
            <w:pPr>
              <w:spacing w:after="0" w:line="276" w:lineRule="auto"/>
            </w:pPr>
            <w:r/>
            <w:r>
              <w:rPr>
                <w:rFonts w:ascii="宋体" w:hAnsi="宋体" w:eastAsia="宋体" w:cs="宋体"/>
                <w:b w:val="0"/>
                <w:i w:val="0"/>
                <w:color w:val="000000"/>
                <w:sz w:val="19"/>
              </w:rPr>
              <w:t>M2 原理样机</w:t>
            </w:r>
          </w:p>
        </w:tc>
        <w:tc>
          <w:tcPr>
            <w:tcW w:type="dxa" w:w="2510"/>
            <w:shd w:val="clear" w:color="auto" w:fill="EDF3F9"/>
          </w:tcPr>
          <w:p>
            <w:pPr>
              <w:spacing w:after="0" w:line="276" w:lineRule="auto"/>
            </w:pPr>
            <w:r/>
            <w:r>
              <w:rPr>
                <w:rFonts w:ascii="宋体" w:hAnsi="宋体" w:eastAsia="宋体" w:cs="宋体"/>
                <w:b w:val="0"/>
                <w:i w:val="0"/>
                <w:color w:val="000000"/>
                <w:sz w:val="19"/>
              </w:rPr>
              <w:t>边缘样机集成与 APP 联调</w:t>
            </w:r>
          </w:p>
        </w:tc>
        <w:tc>
          <w:tcPr>
            <w:tcW w:type="dxa" w:w="1826"/>
            <w:shd w:val="clear" w:color="auto" w:fill="EDF3F9"/>
          </w:tcPr>
          <w:p>
            <w:pPr>
              <w:spacing w:after="0" w:line="276" w:lineRule="auto"/>
            </w:pPr>
            <w:r/>
            <w:r>
              <w:rPr>
                <w:rFonts w:ascii="宋体" w:hAnsi="宋体" w:eastAsia="宋体" w:cs="宋体"/>
                <w:b w:val="0"/>
                <w:i w:val="0"/>
                <w:color w:val="000000"/>
                <w:sz w:val="19"/>
              </w:rPr>
              <w:t>第 7–12 月</w:t>
            </w:r>
          </w:p>
        </w:tc>
        <w:tc>
          <w:tcPr>
            <w:tcW w:type="dxa" w:w="1711"/>
            <w:shd w:val="clear" w:color="auto" w:fill="EDF3F9"/>
          </w:tcPr>
          <w:p>
            <w:pPr>
              <w:spacing w:after="0" w:line="276" w:lineRule="auto"/>
            </w:pPr>
            <w:r/>
            <w:r>
              <w:rPr>
                <w:rFonts w:ascii="宋体" w:hAnsi="宋体" w:eastAsia="宋体" w:cs="宋体"/>
                <w:b w:val="0"/>
                <w:i w:val="0"/>
                <w:color w:val="000000"/>
                <w:sz w:val="19"/>
              </w:rPr>
              <w:t>硬件组 + 嵌入式组 + 软件组</w:t>
            </w:r>
          </w:p>
        </w:tc>
        <w:tc>
          <w:tcPr>
            <w:tcW w:type="dxa" w:w="1826"/>
            <w:shd w:val="clear" w:color="auto" w:fill="EDF3F9"/>
          </w:tcPr>
          <w:p>
            <w:pPr>
              <w:spacing w:after="0" w:line="276" w:lineRule="auto"/>
            </w:pPr>
            <w:r/>
            <w:r>
              <w:rPr>
                <w:rFonts w:ascii="宋体" w:hAnsi="宋体" w:eastAsia="宋体" w:cs="宋体"/>
                <w:b w:val="0"/>
                <w:i w:val="0"/>
                <w:color w:val="000000"/>
                <w:sz w:val="19"/>
              </w:rPr>
              <w:t>指标达设计目标，连续运行 ≥ 72 小时</w:t>
            </w:r>
          </w:p>
        </w:tc>
      </w:tr>
      <w:tr>
        <w:tc>
          <w:tcPr>
            <w:tcW w:type="dxa" w:w="1255"/>
          </w:tcPr>
          <w:p>
            <w:pPr>
              <w:spacing w:after="0" w:line="276" w:lineRule="auto"/>
            </w:pPr>
            <w:r/>
            <w:r>
              <w:rPr>
                <w:rFonts w:ascii="宋体" w:hAnsi="宋体" w:eastAsia="宋体" w:cs="宋体"/>
                <w:b w:val="0"/>
                <w:i w:val="0"/>
                <w:color w:val="000000"/>
                <w:sz w:val="19"/>
              </w:rPr>
              <w:t>M3 居家小样本验证</w:t>
            </w:r>
          </w:p>
        </w:tc>
        <w:tc>
          <w:tcPr>
            <w:tcW w:type="dxa" w:w="2510"/>
          </w:tcPr>
          <w:p>
            <w:pPr>
              <w:spacing w:after="0" w:line="276" w:lineRule="auto"/>
            </w:pPr>
            <w:r/>
            <w:r>
              <w:rPr>
                <w:rFonts w:ascii="宋体" w:hAnsi="宋体" w:eastAsia="宋体" w:cs="宋体"/>
                <w:b w:val="0"/>
                <w:i w:val="0"/>
                <w:color w:val="000000"/>
                <w:sz w:val="19"/>
              </w:rPr>
              <w:t>10–30 户居家实测</w:t>
            </w:r>
          </w:p>
        </w:tc>
        <w:tc>
          <w:tcPr>
            <w:tcW w:type="dxa" w:w="1826"/>
          </w:tcPr>
          <w:p>
            <w:pPr>
              <w:spacing w:after="0" w:line="276" w:lineRule="auto"/>
            </w:pPr>
            <w:r/>
            <w:r>
              <w:rPr>
                <w:rFonts w:ascii="宋体" w:hAnsi="宋体" w:eastAsia="宋体" w:cs="宋体"/>
                <w:b w:val="0"/>
                <w:i w:val="0"/>
                <w:color w:val="000000"/>
                <w:sz w:val="19"/>
              </w:rPr>
              <w:t>第 10–14 月</w:t>
            </w:r>
          </w:p>
        </w:tc>
        <w:tc>
          <w:tcPr>
            <w:tcW w:type="dxa" w:w="1711"/>
          </w:tcPr>
          <w:p>
            <w:pPr>
              <w:spacing w:after="0" w:line="276" w:lineRule="auto"/>
            </w:pPr>
            <w:r/>
            <w:r>
              <w:rPr>
                <w:rFonts w:ascii="宋体" w:hAnsi="宋体" w:eastAsia="宋体" w:cs="宋体"/>
                <w:b w:val="0"/>
                <w:i w:val="0"/>
                <w:color w:val="000000"/>
                <w:sz w:val="19"/>
              </w:rPr>
              <w:t>算法组 + 临床组</w:t>
            </w:r>
          </w:p>
        </w:tc>
        <w:tc>
          <w:tcPr>
            <w:tcW w:type="dxa" w:w="1826"/>
          </w:tcPr>
          <w:p>
            <w:pPr>
              <w:spacing w:after="0" w:line="276" w:lineRule="auto"/>
            </w:pPr>
            <w:r/>
            <w:r>
              <w:rPr>
                <w:rFonts w:ascii="宋体" w:hAnsi="宋体" w:eastAsia="宋体" w:cs="宋体"/>
                <w:b w:val="0"/>
                <w:i w:val="0"/>
                <w:color w:val="000000"/>
                <w:sz w:val="19"/>
              </w:rPr>
              <w:t>家庭环境 F1 ≥ 0.85，用户可用性评分达标</w:t>
            </w:r>
          </w:p>
        </w:tc>
      </w:tr>
      <w:tr>
        <w:tc>
          <w:tcPr>
            <w:tcW w:type="dxa" w:w="1255"/>
            <w:shd w:val="clear" w:color="auto" w:fill="EDF3F9"/>
          </w:tcPr>
          <w:p>
            <w:pPr>
              <w:spacing w:after="0" w:line="276" w:lineRule="auto"/>
            </w:pPr>
            <w:r/>
            <w:r>
              <w:rPr>
                <w:rFonts w:ascii="宋体" w:hAnsi="宋体" w:eastAsia="宋体" w:cs="宋体"/>
                <w:b w:val="0"/>
                <w:i w:val="0"/>
                <w:color w:val="000000"/>
                <w:sz w:val="19"/>
              </w:rPr>
              <w:t>M4 临床一致性研究</w:t>
            </w:r>
          </w:p>
        </w:tc>
        <w:tc>
          <w:tcPr>
            <w:tcW w:type="dxa" w:w="2510"/>
            <w:shd w:val="clear" w:color="auto" w:fill="EDF3F9"/>
          </w:tcPr>
          <w:p>
            <w:pPr>
              <w:spacing w:after="0" w:line="276" w:lineRule="auto"/>
            </w:pPr>
            <w:r/>
            <w:r>
              <w:rPr>
                <w:rFonts w:ascii="宋体" w:hAnsi="宋体" w:eastAsia="宋体" w:cs="宋体"/>
                <w:b w:val="0"/>
                <w:i w:val="0"/>
                <w:color w:val="000000"/>
                <w:sz w:val="19"/>
              </w:rPr>
              <w:t>合作医院前瞻性居家一致性与可行性研究</w:t>
            </w:r>
          </w:p>
        </w:tc>
        <w:tc>
          <w:tcPr>
            <w:tcW w:type="dxa" w:w="1826"/>
            <w:shd w:val="clear" w:color="auto" w:fill="EDF3F9"/>
          </w:tcPr>
          <w:p>
            <w:pPr>
              <w:spacing w:after="0" w:line="276" w:lineRule="auto"/>
            </w:pPr>
            <w:r/>
            <w:r>
              <w:rPr>
                <w:rFonts w:ascii="宋体" w:hAnsi="宋体" w:eastAsia="宋体" w:cs="宋体"/>
                <w:b w:val="0"/>
                <w:i w:val="0"/>
                <w:color w:val="000000"/>
                <w:sz w:val="19"/>
              </w:rPr>
              <w:t>第 13–24 月</w:t>
            </w:r>
          </w:p>
        </w:tc>
        <w:tc>
          <w:tcPr>
            <w:tcW w:type="dxa" w:w="1711"/>
            <w:shd w:val="clear" w:color="auto" w:fill="EDF3F9"/>
          </w:tcPr>
          <w:p>
            <w:pPr>
              <w:spacing w:after="0" w:line="276" w:lineRule="auto"/>
            </w:pPr>
            <w:r/>
            <w:r>
              <w:rPr>
                <w:rFonts w:ascii="宋体" w:hAnsi="宋体" w:eastAsia="宋体" w:cs="宋体"/>
                <w:b w:val="0"/>
                <w:i w:val="0"/>
                <w:color w:val="000000"/>
                <w:sz w:val="19"/>
              </w:rPr>
              <w:t>临床组 + 算法组</w:t>
            </w:r>
          </w:p>
        </w:tc>
        <w:tc>
          <w:tcPr>
            <w:tcW w:type="dxa" w:w="1826"/>
            <w:shd w:val="clear" w:color="auto" w:fill="EDF3F9"/>
          </w:tcPr>
          <w:p>
            <w:pPr>
              <w:spacing w:after="0" w:line="276" w:lineRule="auto"/>
            </w:pPr>
            <w:r/>
            <w:r>
              <w:rPr>
                <w:rFonts w:ascii="宋体" w:hAnsi="宋体" w:eastAsia="宋体" w:cs="宋体"/>
                <w:b w:val="0"/>
                <w:i w:val="0"/>
                <w:color w:val="000000"/>
                <w:sz w:val="19"/>
              </w:rPr>
              <w:t>以 ICC(2,1) 为主要终点（目标 ≥ 0.90，约 40–50 例、每例至少 2 夜），假阳性率 ≤ 2 次/小时，输出研究报告</w:t>
            </w:r>
          </w:p>
        </w:tc>
      </w:tr>
      <w:tr>
        <w:tc>
          <w:tcPr>
            <w:tcW w:type="dxa" w:w="1255"/>
          </w:tcPr>
          <w:p>
            <w:pPr>
              <w:spacing w:after="0" w:line="276" w:lineRule="auto"/>
            </w:pPr>
            <w:r/>
            <w:r>
              <w:rPr>
                <w:rFonts w:ascii="宋体" w:hAnsi="宋体" w:eastAsia="宋体" w:cs="宋体"/>
                <w:b w:val="0"/>
                <w:i w:val="0"/>
                <w:color w:val="000000"/>
                <w:sz w:val="19"/>
              </w:rPr>
              <w:t>M5 分类界定与注册申报</w:t>
            </w:r>
          </w:p>
        </w:tc>
        <w:tc>
          <w:tcPr>
            <w:tcW w:type="dxa" w:w="2510"/>
          </w:tcPr>
          <w:p>
            <w:pPr>
              <w:spacing w:after="0" w:line="276" w:lineRule="auto"/>
            </w:pPr>
            <w:r/>
            <w:r>
              <w:rPr>
                <w:rFonts w:ascii="宋体" w:hAnsi="宋体" w:eastAsia="宋体" w:cs="宋体"/>
                <w:b w:val="0"/>
                <w:i w:val="0"/>
                <w:color w:val="000000"/>
                <w:sz w:val="19"/>
              </w:rPr>
              <w:t>先取得省级药监分类界定书面确认，再申报二类医疗器械</w:t>
            </w:r>
          </w:p>
        </w:tc>
        <w:tc>
          <w:tcPr>
            <w:tcW w:type="dxa" w:w="1826"/>
          </w:tcPr>
          <w:p>
            <w:pPr>
              <w:spacing w:after="0" w:line="276" w:lineRule="auto"/>
            </w:pPr>
            <w:r/>
            <w:r>
              <w:rPr>
                <w:rFonts w:ascii="宋体" w:hAnsi="宋体" w:eastAsia="宋体" w:cs="宋体"/>
                <w:b w:val="0"/>
                <w:i w:val="0"/>
                <w:color w:val="000000"/>
                <w:sz w:val="19"/>
              </w:rPr>
              <w:t>第 18–27 月</w:t>
            </w:r>
          </w:p>
        </w:tc>
        <w:tc>
          <w:tcPr>
            <w:tcW w:type="dxa" w:w="1711"/>
          </w:tcPr>
          <w:p>
            <w:pPr>
              <w:spacing w:after="0" w:line="276" w:lineRule="auto"/>
            </w:pPr>
            <w:r/>
            <w:r>
              <w:rPr>
                <w:rFonts w:ascii="宋体" w:hAnsi="宋体" w:eastAsia="宋体" w:cs="宋体"/>
                <w:b w:val="0"/>
                <w:i w:val="0"/>
                <w:color w:val="000000"/>
                <w:sz w:val="19"/>
              </w:rPr>
              <w:t>合规组 + 硬件组</w:t>
            </w:r>
          </w:p>
        </w:tc>
        <w:tc>
          <w:tcPr>
            <w:tcW w:type="dxa" w:w="1826"/>
          </w:tcPr>
          <w:p>
            <w:pPr>
              <w:spacing w:after="0" w:line="276" w:lineRule="auto"/>
            </w:pPr>
            <w:r/>
            <w:r>
              <w:rPr>
                <w:rFonts w:ascii="宋体" w:hAnsi="宋体" w:eastAsia="宋体" w:cs="宋体"/>
                <w:b w:val="0"/>
                <w:i w:val="0"/>
                <w:color w:val="000000"/>
                <w:sz w:val="19"/>
              </w:rPr>
              <w:t>取得分类界定确认与注册受理，并推进至技术审评</w:t>
            </w:r>
          </w:p>
        </w:tc>
      </w:tr>
      <w:tr>
        <w:tc>
          <w:tcPr>
            <w:tcW w:type="dxa" w:w="1255"/>
            <w:shd w:val="clear" w:color="auto" w:fill="EDF3F9"/>
          </w:tcPr>
          <w:p>
            <w:pPr>
              <w:spacing w:after="0" w:line="276" w:lineRule="auto"/>
            </w:pPr>
            <w:r/>
            <w:r>
              <w:rPr>
                <w:rFonts w:ascii="宋体" w:hAnsi="宋体" w:eastAsia="宋体" w:cs="宋体"/>
                <w:b w:val="0"/>
                <w:i w:val="0"/>
                <w:color w:val="000000"/>
                <w:sz w:val="19"/>
              </w:rPr>
              <w:t>M6 小批量试产</w:t>
            </w:r>
          </w:p>
        </w:tc>
        <w:tc>
          <w:tcPr>
            <w:tcW w:type="dxa" w:w="2510"/>
            <w:shd w:val="clear" w:color="auto" w:fill="EDF3F9"/>
          </w:tcPr>
          <w:p>
            <w:pPr>
              <w:spacing w:after="0" w:line="276" w:lineRule="auto"/>
            </w:pPr>
            <w:r/>
            <w:r>
              <w:rPr>
                <w:rFonts w:ascii="宋体" w:hAnsi="宋体" w:eastAsia="宋体" w:cs="宋体"/>
                <w:b w:val="0"/>
                <w:i w:val="0"/>
                <w:color w:val="000000"/>
                <w:sz w:val="19"/>
              </w:rPr>
              <w:t>产线定型与首批量产</w:t>
            </w:r>
          </w:p>
        </w:tc>
        <w:tc>
          <w:tcPr>
            <w:tcW w:type="dxa" w:w="1826"/>
            <w:shd w:val="clear" w:color="auto" w:fill="EDF3F9"/>
          </w:tcPr>
          <w:p>
            <w:pPr>
              <w:spacing w:after="0" w:line="276" w:lineRule="auto"/>
            </w:pPr>
            <w:r/>
            <w:r>
              <w:rPr>
                <w:rFonts w:ascii="宋体" w:hAnsi="宋体" w:eastAsia="宋体" w:cs="宋体"/>
                <w:b w:val="0"/>
                <w:i w:val="0"/>
                <w:color w:val="000000"/>
                <w:sz w:val="19"/>
              </w:rPr>
              <w:t>第 24–30 月</w:t>
            </w:r>
          </w:p>
        </w:tc>
        <w:tc>
          <w:tcPr>
            <w:tcW w:type="dxa" w:w="1711"/>
            <w:shd w:val="clear" w:color="auto" w:fill="EDF3F9"/>
          </w:tcPr>
          <w:p>
            <w:pPr>
              <w:spacing w:after="0" w:line="276" w:lineRule="auto"/>
            </w:pPr>
            <w:r/>
            <w:r>
              <w:rPr>
                <w:rFonts w:ascii="宋体" w:hAnsi="宋体" w:eastAsia="宋体" w:cs="宋体"/>
                <w:b w:val="0"/>
                <w:i w:val="0"/>
                <w:color w:val="000000"/>
                <w:sz w:val="19"/>
              </w:rPr>
              <w:t>硬件组 + 供应链</w:t>
            </w:r>
          </w:p>
        </w:tc>
        <w:tc>
          <w:tcPr>
            <w:tcW w:type="dxa" w:w="1826"/>
            <w:shd w:val="clear" w:color="auto" w:fill="EDF3F9"/>
          </w:tcPr>
          <w:p>
            <w:pPr>
              <w:spacing w:after="0" w:line="276" w:lineRule="auto"/>
            </w:pPr>
            <w:r/>
            <w:r>
              <w:rPr>
                <w:rFonts w:ascii="宋体" w:hAnsi="宋体" w:eastAsia="宋体" w:cs="宋体"/>
                <w:b w:val="0"/>
                <w:i w:val="0"/>
                <w:color w:val="000000"/>
                <w:sz w:val="19"/>
              </w:rPr>
              <w:t>良率与一致性达标，产能满足订单</w:t>
            </w:r>
          </w:p>
        </w:tc>
      </w:tr>
      <w:tr>
        <w:tc>
          <w:tcPr>
            <w:tcW w:type="dxa" w:w="1255"/>
          </w:tcPr>
          <w:p>
            <w:pPr>
              <w:spacing w:after="0" w:line="276" w:lineRule="auto"/>
            </w:pPr>
            <w:r/>
            <w:r>
              <w:rPr>
                <w:rFonts w:ascii="宋体" w:hAnsi="宋体" w:eastAsia="宋体" w:cs="宋体"/>
                <w:b w:val="0"/>
                <w:i w:val="0"/>
                <w:color w:val="000000"/>
                <w:sz w:val="19"/>
              </w:rPr>
              <w:t>M7 商业化放量</w:t>
            </w:r>
          </w:p>
        </w:tc>
        <w:tc>
          <w:tcPr>
            <w:tcW w:type="dxa" w:w="2510"/>
          </w:tcPr>
          <w:p>
            <w:pPr>
              <w:spacing w:after="0" w:line="276" w:lineRule="auto"/>
            </w:pPr>
            <w:r/>
            <w:r>
              <w:rPr>
                <w:rFonts w:ascii="宋体" w:hAnsi="宋体" w:eastAsia="宋体" w:cs="宋体"/>
                <w:b w:val="0"/>
                <w:i w:val="0"/>
                <w:color w:val="000000"/>
                <w:sz w:val="19"/>
              </w:rPr>
              <w:t>院内渠道 + C 端 + 药企项目</w:t>
            </w:r>
          </w:p>
        </w:tc>
        <w:tc>
          <w:tcPr>
            <w:tcW w:type="dxa" w:w="1826"/>
          </w:tcPr>
          <w:p>
            <w:pPr>
              <w:spacing w:after="0" w:line="276" w:lineRule="auto"/>
            </w:pPr>
            <w:r/>
            <w:r>
              <w:rPr>
                <w:rFonts w:ascii="宋体" w:hAnsi="宋体" w:eastAsia="宋体" w:cs="宋体"/>
                <w:b w:val="0"/>
                <w:i w:val="0"/>
                <w:color w:val="000000"/>
                <w:sz w:val="19"/>
              </w:rPr>
              <w:t>第 25–36 月</w:t>
            </w:r>
          </w:p>
        </w:tc>
        <w:tc>
          <w:tcPr>
            <w:tcW w:type="dxa" w:w="1711"/>
          </w:tcPr>
          <w:p>
            <w:pPr>
              <w:spacing w:after="0" w:line="276" w:lineRule="auto"/>
            </w:pPr>
            <w:r/>
            <w:r>
              <w:rPr>
                <w:rFonts w:ascii="宋体" w:hAnsi="宋体" w:eastAsia="宋体" w:cs="宋体"/>
                <w:b w:val="0"/>
                <w:i w:val="0"/>
                <w:color w:val="000000"/>
                <w:sz w:val="19"/>
              </w:rPr>
              <w:t>市场组 + 全体</w:t>
            </w:r>
          </w:p>
        </w:tc>
        <w:tc>
          <w:tcPr>
            <w:tcW w:type="dxa" w:w="1826"/>
          </w:tcPr>
          <w:p>
            <w:pPr>
              <w:spacing w:after="0" w:line="276" w:lineRule="auto"/>
            </w:pPr>
            <w:r/>
            <w:r>
              <w:rPr>
                <w:rFonts w:ascii="宋体" w:hAnsi="宋体" w:eastAsia="宋体" w:cs="宋体"/>
                <w:b w:val="0"/>
                <w:i w:val="0"/>
                <w:color w:val="000000"/>
                <w:sz w:val="19"/>
              </w:rPr>
              <w:t>达成第 3 年营收目标</w:t>
            </w:r>
          </w:p>
        </w:tc>
      </w:tr>
    </w:tbl>
    <w:p>
      <w:pPr>
        <w:spacing w:after="40"/>
      </w:pPr>
    </w:p>
    <w:p>
      <w:pPr>
        <w:pStyle w:val="Heading2"/>
      </w:pPr>
      <w:r>
        <w:rPr>
          <w:rFonts w:ascii="宋体" w:hAnsi="宋体" w:eastAsia="宋体" w:cs="宋体"/>
          <w:b/>
          <w:i w:val="0"/>
          <w:color w:val="2E74B5"/>
          <w:sz w:val="25"/>
        </w:rPr>
        <w:t>9.7 团队分工（8 人）</w:t>
      </w:r>
    </w:p>
    <w:tbl>
      <w:tblPr>
        <w:tblStyle w:val="TableGrid"/>
        <w:jc w:val="center"/>
        <w:tblLook w:firstColumn="1" w:firstRow="1" w:lastColumn="0" w:lastRow="0" w:noHBand="0" w:noVBand="1" w:val="04A0"/>
        <w:tblCellMar>
          <w:top w:w="60" w:type="dxa"/>
          <w:left w:w="90" w:type="dxa"/>
          <w:bottom w:w="60" w:type="dxa"/>
          <w:right w:w="90" w:type="dxa"/>
        </w:tblCellMar>
        <w:tblW w:w="9129" w:type="dxa"/>
        <w:tblLayout w:type="fixed"/>
      </w:tblPr>
      <w:tblGrid>
        <w:gridCol w:w="1255"/>
        <w:gridCol w:w="2625"/>
        <w:gridCol w:w="1940"/>
        <w:gridCol w:w="3309"/>
      </w:tblGrid>
      <w:tr>
        <w:trPr>
          <w:tblHeader w:val="true"/>
        </w:trPr>
        <w:tc>
          <w:tcPr>
            <w:tcW w:type="dxa" w:w="1255"/>
            <w:shd w:val="clear" w:color="auto" w:fill="1F4E79"/>
          </w:tcPr>
          <w:p>
            <w:pPr>
              <w:spacing w:after="0" w:line="276" w:lineRule="auto"/>
              <w:jc w:val="center"/>
            </w:pPr>
            <w:r/>
            <w:r>
              <w:rPr>
                <w:rFonts w:ascii="宋体" w:hAnsi="宋体" w:eastAsia="宋体" w:cs="宋体"/>
                <w:b/>
                <w:i w:val="0"/>
                <w:color w:val="FFFFFF"/>
                <w:sz w:val="19"/>
              </w:rPr>
              <w:t>角色</w:t>
            </w:r>
          </w:p>
        </w:tc>
        <w:tc>
          <w:tcPr>
            <w:tcW w:type="dxa" w:w="2624"/>
            <w:shd w:val="clear" w:color="auto" w:fill="1F4E79"/>
          </w:tcPr>
          <w:p>
            <w:pPr>
              <w:spacing w:after="0" w:line="276" w:lineRule="auto"/>
              <w:jc w:val="center"/>
            </w:pPr>
            <w:r/>
            <w:r>
              <w:rPr>
                <w:rFonts w:ascii="宋体" w:hAnsi="宋体" w:eastAsia="宋体" w:cs="宋体"/>
                <w:b/>
                <w:i w:val="0"/>
                <w:color w:val="FFFFFF"/>
                <w:sz w:val="19"/>
              </w:rPr>
              <w:t>人数</w:t>
            </w:r>
          </w:p>
        </w:tc>
        <w:tc>
          <w:tcPr>
            <w:tcW w:type="dxa" w:w="1940"/>
            <w:shd w:val="clear" w:color="auto" w:fill="1F4E79"/>
          </w:tcPr>
          <w:p>
            <w:pPr>
              <w:spacing w:after="0" w:line="276" w:lineRule="auto"/>
              <w:jc w:val="center"/>
            </w:pPr>
            <w:r/>
            <w:r>
              <w:rPr>
                <w:rFonts w:ascii="宋体" w:hAnsi="宋体" w:eastAsia="宋体" w:cs="宋体"/>
                <w:b/>
                <w:i w:val="0"/>
                <w:color w:val="FFFFFF"/>
                <w:sz w:val="19"/>
              </w:rPr>
              <w:t>核心职责</w:t>
            </w:r>
          </w:p>
        </w:tc>
        <w:tc>
          <w:tcPr>
            <w:tcW w:type="dxa" w:w="3309"/>
            <w:shd w:val="clear" w:color="auto" w:fill="1F4E79"/>
          </w:tcPr>
          <w:p>
            <w:pPr>
              <w:spacing w:after="0" w:line="276" w:lineRule="auto"/>
              <w:jc w:val="center"/>
            </w:pPr>
            <w:r/>
            <w:r>
              <w:rPr>
                <w:rFonts w:ascii="宋体" w:hAnsi="宋体" w:eastAsia="宋体" w:cs="宋体"/>
                <w:b/>
                <w:i w:val="0"/>
                <w:color w:val="FFFFFF"/>
                <w:sz w:val="19"/>
              </w:rPr>
              <w:t>能力要求</w:t>
            </w:r>
          </w:p>
        </w:tc>
      </w:tr>
      <w:tr>
        <w:tc>
          <w:tcPr>
            <w:tcW w:type="dxa" w:w="1255"/>
          </w:tcPr>
          <w:p>
            <w:pPr>
              <w:spacing w:after="0" w:line="276" w:lineRule="auto"/>
            </w:pPr>
            <w:r/>
            <w:r>
              <w:rPr>
                <w:rFonts w:ascii="宋体" w:hAnsi="宋体" w:eastAsia="宋体" w:cs="宋体"/>
                <w:b w:val="0"/>
                <w:i w:val="0"/>
                <w:color w:val="000000"/>
                <w:sz w:val="19"/>
              </w:rPr>
              <w:t>项目负责人</w:t>
            </w:r>
          </w:p>
        </w:tc>
        <w:tc>
          <w:tcPr>
            <w:tcW w:type="dxa" w:w="2624"/>
          </w:tcPr>
          <w:p>
            <w:pPr>
              <w:spacing w:after="0" w:line="276" w:lineRule="auto"/>
            </w:pPr>
            <w:r/>
            <w:r>
              <w:rPr>
                <w:rFonts w:ascii="宋体" w:hAnsi="宋体" w:eastAsia="宋体" w:cs="宋体"/>
                <w:b w:val="0"/>
                <w:i w:val="0"/>
                <w:color w:val="000000"/>
                <w:sz w:val="19"/>
              </w:rPr>
              <w:t>1</w:t>
            </w:r>
          </w:p>
        </w:tc>
        <w:tc>
          <w:tcPr>
            <w:tcW w:type="dxa" w:w="1940"/>
          </w:tcPr>
          <w:p>
            <w:pPr>
              <w:spacing w:after="0" w:line="276" w:lineRule="auto"/>
            </w:pPr>
            <w:r/>
            <w:r>
              <w:rPr>
                <w:rFonts w:ascii="宋体" w:hAnsi="宋体" w:eastAsia="宋体" w:cs="宋体"/>
                <w:b w:val="0"/>
                <w:i w:val="0"/>
                <w:color w:val="000000"/>
                <w:sz w:val="19"/>
              </w:rPr>
              <w:t>总体方案、进度管理、对外合作与答辩</w:t>
            </w:r>
          </w:p>
        </w:tc>
        <w:tc>
          <w:tcPr>
            <w:tcW w:type="dxa" w:w="3309"/>
          </w:tcPr>
          <w:p>
            <w:pPr>
              <w:spacing w:after="0" w:line="276" w:lineRule="auto"/>
            </w:pPr>
            <w:r/>
            <w:r>
              <w:rPr>
                <w:rFonts w:ascii="宋体" w:hAnsi="宋体" w:eastAsia="宋体" w:cs="宋体"/>
                <w:b w:val="0"/>
                <w:i w:val="0"/>
                <w:color w:val="000000"/>
                <w:sz w:val="19"/>
              </w:rPr>
              <w:t>统筹能力、行业理解、能同时对话医生与工程师</w:t>
            </w:r>
          </w:p>
        </w:tc>
      </w:tr>
      <w:tr>
        <w:tc>
          <w:tcPr>
            <w:tcW w:type="dxa" w:w="1255"/>
            <w:shd w:val="clear" w:color="auto" w:fill="EDF3F9"/>
          </w:tcPr>
          <w:p>
            <w:pPr>
              <w:spacing w:after="0" w:line="276" w:lineRule="auto"/>
            </w:pPr>
            <w:r/>
            <w:r>
              <w:rPr>
                <w:rFonts w:ascii="宋体" w:hAnsi="宋体" w:eastAsia="宋体" w:cs="宋体"/>
                <w:b w:val="0"/>
                <w:i w:val="0"/>
                <w:color w:val="000000"/>
                <w:sz w:val="19"/>
              </w:rPr>
              <w:t>算法工程师</w:t>
            </w:r>
          </w:p>
        </w:tc>
        <w:tc>
          <w:tcPr>
            <w:tcW w:type="dxa" w:w="2624"/>
            <w:shd w:val="clear" w:color="auto" w:fill="EDF3F9"/>
          </w:tcPr>
          <w:p>
            <w:pPr>
              <w:spacing w:after="0" w:line="276" w:lineRule="auto"/>
            </w:pPr>
            <w:r/>
            <w:r>
              <w:rPr>
                <w:rFonts w:ascii="宋体" w:hAnsi="宋体" w:eastAsia="宋体" w:cs="宋体"/>
                <w:b w:val="0"/>
                <w:i w:val="0"/>
                <w:color w:val="000000"/>
                <w:sz w:val="19"/>
              </w:rPr>
              <w:t>2</w:t>
            </w:r>
          </w:p>
        </w:tc>
        <w:tc>
          <w:tcPr>
            <w:tcW w:type="dxa" w:w="1940"/>
            <w:shd w:val="clear" w:color="auto" w:fill="EDF3F9"/>
          </w:tcPr>
          <w:p>
            <w:pPr>
              <w:spacing w:after="0" w:line="276" w:lineRule="auto"/>
            </w:pPr>
            <w:r/>
            <w:r>
              <w:rPr>
                <w:rFonts w:ascii="宋体" w:hAnsi="宋体" w:eastAsia="宋体" w:cs="宋体"/>
                <w:b w:val="0"/>
                <w:i w:val="0"/>
                <w:color w:val="000000"/>
                <w:sz w:val="19"/>
              </w:rPr>
              <w:t>声学前端、模型设计训练、量化与评估</w:t>
            </w:r>
          </w:p>
        </w:tc>
        <w:tc>
          <w:tcPr>
            <w:tcW w:type="dxa" w:w="3309"/>
            <w:shd w:val="clear" w:color="auto" w:fill="EDF3F9"/>
          </w:tcPr>
          <w:p>
            <w:pPr>
              <w:spacing w:after="0" w:line="276" w:lineRule="auto"/>
            </w:pPr>
            <w:r/>
            <w:r>
              <w:rPr>
                <w:rFonts w:ascii="宋体" w:hAnsi="宋体" w:eastAsia="宋体" w:cs="宋体"/>
                <w:b w:val="0"/>
                <w:i w:val="0"/>
                <w:color w:val="000000"/>
                <w:sz w:val="19"/>
              </w:rPr>
              <w:t>语音/音频信号处理 + 深度学习工程能力</w:t>
            </w:r>
          </w:p>
        </w:tc>
      </w:tr>
      <w:tr>
        <w:tc>
          <w:tcPr>
            <w:tcW w:type="dxa" w:w="1255"/>
          </w:tcPr>
          <w:p>
            <w:pPr>
              <w:spacing w:after="0" w:line="276" w:lineRule="auto"/>
            </w:pPr>
            <w:r/>
            <w:r>
              <w:rPr>
                <w:rFonts w:ascii="宋体" w:hAnsi="宋体" w:eastAsia="宋体" w:cs="宋体"/>
                <w:b w:val="0"/>
                <w:i w:val="0"/>
                <w:color w:val="000000"/>
                <w:sz w:val="19"/>
              </w:rPr>
              <w:t>嵌入式工程师</w:t>
            </w:r>
          </w:p>
        </w:tc>
        <w:tc>
          <w:tcPr>
            <w:tcW w:type="dxa" w:w="2624"/>
          </w:tcPr>
          <w:p>
            <w:pPr>
              <w:spacing w:after="0" w:line="276" w:lineRule="auto"/>
            </w:pPr>
            <w:r/>
            <w:r>
              <w:rPr>
                <w:rFonts w:ascii="宋体" w:hAnsi="宋体" w:eastAsia="宋体" w:cs="宋体"/>
                <w:b w:val="0"/>
                <w:i w:val="0"/>
                <w:color w:val="000000"/>
                <w:sz w:val="19"/>
              </w:rPr>
              <w:t>1–2</w:t>
            </w:r>
          </w:p>
        </w:tc>
        <w:tc>
          <w:tcPr>
            <w:tcW w:type="dxa" w:w="1940"/>
          </w:tcPr>
          <w:p>
            <w:pPr>
              <w:spacing w:after="0" w:line="276" w:lineRule="auto"/>
            </w:pPr>
            <w:r/>
            <w:r>
              <w:rPr>
                <w:rFonts w:ascii="宋体" w:hAnsi="宋体" w:eastAsia="宋体" w:cs="宋体"/>
                <w:b w:val="0"/>
                <w:i w:val="0"/>
                <w:color w:val="000000"/>
                <w:sz w:val="19"/>
              </w:rPr>
              <w:t>RK3576 系统移植、RKNN 部署、功耗与稳定性优化</w:t>
            </w:r>
          </w:p>
        </w:tc>
        <w:tc>
          <w:tcPr>
            <w:tcW w:type="dxa" w:w="3309"/>
          </w:tcPr>
          <w:p>
            <w:pPr>
              <w:spacing w:after="0" w:line="276" w:lineRule="auto"/>
            </w:pPr>
            <w:r/>
            <w:r>
              <w:rPr>
                <w:rFonts w:ascii="宋体" w:hAnsi="宋体" w:eastAsia="宋体" w:cs="宋体"/>
                <w:b w:val="0"/>
                <w:i w:val="0"/>
                <w:color w:val="000000"/>
                <w:sz w:val="19"/>
              </w:rPr>
              <w:t>Linux 驱动、NPU 工具链、嵌入式性能调优</w:t>
            </w:r>
          </w:p>
        </w:tc>
      </w:tr>
      <w:tr>
        <w:tc>
          <w:tcPr>
            <w:tcW w:type="dxa" w:w="1255"/>
            <w:shd w:val="clear" w:color="auto" w:fill="EDF3F9"/>
          </w:tcPr>
          <w:p>
            <w:pPr>
              <w:spacing w:after="0" w:line="276" w:lineRule="auto"/>
            </w:pPr>
            <w:r/>
            <w:r>
              <w:rPr>
                <w:rFonts w:ascii="宋体" w:hAnsi="宋体" w:eastAsia="宋体" w:cs="宋体"/>
                <w:b w:val="0"/>
                <w:i w:val="0"/>
                <w:color w:val="000000"/>
                <w:sz w:val="19"/>
              </w:rPr>
              <w:t>软件工程师</w:t>
            </w:r>
          </w:p>
        </w:tc>
        <w:tc>
          <w:tcPr>
            <w:tcW w:type="dxa" w:w="2624"/>
            <w:shd w:val="clear" w:color="auto" w:fill="EDF3F9"/>
          </w:tcPr>
          <w:p>
            <w:pPr>
              <w:spacing w:after="0" w:line="276" w:lineRule="auto"/>
            </w:pPr>
            <w:r/>
            <w:r>
              <w:rPr>
                <w:rFonts w:ascii="宋体" w:hAnsi="宋体" w:eastAsia="宋体" w:cs="宋体"/>
                <w:b w:val="0"/>
                <w:i w:val="0"/>
                <w:color w:val="000000"/>
                <w:sz w:val="19"/>
              </w:rPr>
              <w:t>1–2</w:t>
            </w:r>
          </w:p>
        </w:tc>
        <w:tc>
          <w:tcPr>
            <w:tcW w:type="dxa" w:w="1940"/>
            <w:shd w:val="clear" w:color="auto" w:fill="EDF3F9"/>
          </w:tcPr>
          <w:p>
            <w:pPr>
              <w:spacing w:after="0" w:line="276" w:lineRule="auto"/>
            </w:pPr>
            <w:r/>
            <w:r>
              <w:rPr>
                <w:rFonts w:ascii="宋体" w:hAnsi="宋体" w:eastAsia="宋体" w:cs="宋体"/>
                <w:b w:val="0"/>
                <w:i w:val="0"/>
                <w:color w:val="000000"/>
                <w:sz w:val="19"/>
              </w:rPr>
              <w:t>手机 APP、云端服务、医生端工作站</w:t>
            </w:r>
          </w:p>
        </w:tc>
        <w:tc>
          <w:tcPr>
            <w:tcW w:type="dxa" w:w="3309"/>
            <w:shd w:val="clear" w:color="auto" w:fill="EDF3F9"/>
          </w:tcPr>
          <w:p>
            <w:pPr>
              <w:spacing w:after="0" w:line="276" w:lineRule="auto"/>
            </w:pPr>
            <w:r/>
            <w:r>
              <w:rPr>
                <w:rFonts w:ascii="宋体" w:hAnsi="宋体" w:eastAsia="宋体" w:cs="宋体"/>
                <w:b w:val="0"/>
                <w:i w:val="0"/>
                <w:color w:val="000000"/>
                <w:sz w:val="19"/>
              </w:rPr>
              <w:t>移动端开发、后端与时序数据处理</w:t>
            </w:r>
          </w:p>
        </w:tc>
      </w:tr>
      <w:tr>
        <w:tc>
          <w:tcPr>
            <w:tcW w:type="dxa" w:w="1255"/>
          </w:tcPr>
          <w:p>
            <w:pPr>
              <w:spacing w:after="0" w:line="276" w:lineRule="auto"/>
            </w:pPr>
            <w:r/>
            <w:r>
              <w:rPr>
                <w:rFonts w:ascii="宋体" w:hAnsi="宋体" w:eastAsia="宋体" w:cs="宋体"/>
                <w:b w:val="0"/>
                <w:i w:val="0"/>
                <w:color w:val="000000"/>
                <w:sz w:val="19"/>
              </w:rPr>
              <w:t>硬件工程师</w:t>
            </w:r>
          </w:p>
        </w:tc>
        <w:tc>
          <w:tcPr>
            <w:tcW w:type="dxa" w:w="2624"/>
          </w:tcPr>
          <w:p>
            <w:pPr>
              <w:spacing w:after="0" w:line="276" w:lineRule="auto"/>
            </w:pPr>
            <w:r/>
            <w:r>
              <w:rPr>
                <w:rFonts w:ascii="宋体" w:hAnsi="宋体" w:eastAsia="宋体" w:cs="宋体"/>
                <w:b w:val="0"/>
                <w:i w:val="0"/>
                <w:color w:val="000000"/>
                <w:sz w:val="19"/>
              </w:rPr>
              <w:t>1</w:t>
            </w:r>
          </w:p>
        </w:tc>
        <w:tc>
          <w:tcPr>
            <w:tcW w:type="dxa" w:w="1940"/>
          </w:tcPr>
          <w:p>
            <w:pPr>
              <w:spacing w:after="0" w:line="276" w:lineRule="auto"/>
            </w:pPr>
            <w:r/>
            <w:r>
              <w:rPr>
                <w:rFonts w:ascii="宋体" w:hAnsi="宋体" w:eastAsia="宋体" w:cs="宋体"/>
                <w:b w:val="0"/>
                <w:i w:val="0"/>
                <w:color w:val="000000"/>
                <w:sz w:val="19"/>
              </w:rPr>
              <w:t>边缘节点电路、麦克风前端、结构与声学设计</w:t>
            </w:r>
          </w:p>
        </w:tc>
        <w:tc>
          <w:tcPr>
            <w:tcW w:type="dxa" w:w="3309"/>
          </w:tcPr>
          <w:p>
            <w:pPr>
              <w:spacing w:after="0" w:line="276" w:lineRule="auto"/>
            </w:pPr>
            <w:r/>
            <w:r>
              <w:rPr>
                <w:rFonts w:ascii="宋体" w:hAnsi="宋体" w:eastAsia="宋体" w:cs="宋体"/>
                <w:b w:val="0"/>
                <w:i w:val="0"/>
                <w:color w:val="000000"/>
                <w:sz w:val="19"/>
              </w:rPr>
              <w:t>模拟音频电路与结构设计能力</w:t>
            </w:r>
          </w:p>
        </w:tc>
      </w:tr>
      <w:tr>
        <w:tc>
          <w:tcPr>
            <w:tcW w:type="dxa" w:w="1255"/>
            <w:shd w:val="clear" w:color="auto" w:fill="EDF3F9"/>
          </w:tcPr>
          <w:p>
            <w:pPr>
              <w:spacing w:after="0" w:line="276" w:lineRule="auto"/>
            </w:pPr>
            <w:r/>
            <w:r>
              <w:rPr>
                <w:rFonts w:ascii="宋体" w:hAnsi="宋体" w:eastAsia="宋体" w:cs="宋体"/>
                <w:b w:val="0"/>
                <w:i w:val="0"/>
                <w:color w:val="000000"/>
                <w:sz w:val="19"/>
              </w:rPr>
              <w:t>临床与合规</w:t>
            </w:r>
          </w:p>
        </w:tc>
        <w:tc>
          <w:tcPr>
            <w:tcW w:type="dxa" w:w="2624"/>
            <w:shd w:val="clear" w:color="auto" w:fill="EDF3F9"/>
          </w:tcPr>
          <w:p>
            <w:pPr>
              <w:spacing w:after="0" w:line="276" w:lineRule="auto"/>
            </w:pPr>
            <w:r/>
            <w:r>
              <w:rPr>
                <w:rFonts w:ascii="宋体" w:hAnsi="宋体" w:eastAsia="宋体" w:cs="宋体"/>
                <w:b w:val="0"/>
                <w:i w:val="0"/>
                <w:color w:val="000000"/>
                <w:sz w:val="19"/>
              </w:rPr>
              <w:t>1</w:t>
            </w:r>
          </w:p>
        </w:tc>
        <w:tc>
          <w:tcPr>
            <w:tcW w:type="dxa" w:w="1940"/>
            <w:shd w:val="clear" w:color="auto" w:fill="EDF3F9"/>
          </w:tcPr>
          <w:p>
            <w:pPr>
              <w:spacing w:after="0" w:line="276" w:lineRule="auto"/>
            </w:pPr>
            <w:r/>
            <w:r>
              <w:rPr>
                <w:rFonts w:ascii="宋体" w:hAnsi="宋体" w:eastAsia="宋体" w:cs="宋体"/>
                <w:b w:val="0"/>
                <w:i w:val="0"/>
                <w:color w:val="000000"/>
                <w:sz w:val="19"/>
              </w:rPr>
              <w:t>临床方案设计、伦理与注册材料、医学沟通</w:t>
            </w:r>
          </w:p>
        </w:tc>
        <w:tc>
          <w:tcPr>
            <w:tcW w:type="dxa" w:w="3309"/>
            <w:shd w:val="clear" w:color="auto" w:fill="EDF3F9"/>
          </w:tcPr>
          <w:p>
            <w:pPr>
              <w:spacing w:after="0" w:line="276" w:lineRule="auto"/>
            </w:pPr>
            <w:r/>
            <w:r>
              <w:rPr>
                <w:rFonts w:ascii="宋体" w:hAnsi="宋体" w:eastAsia="宋体" w:cs="宋体"/>
                <w:b w:val="0"/>
                <w:i w:val="0"/>
                <w:color w:val="000000"/>
                <w:sz w:val="19"/>
              </w:rPr>
              <w:t>医学或生物医学工程背景，熟悉器械法规</w:t>
            </w:r>
          </w:p>
        </w:tc>
      </w:tr>
      <w:tr>
        <w:tc>
          <w:tcPr>
            <w:tcW w:type="dxa" w:w="1255"/>
          </w:tcPr>
          <w:p>
            <w:pPr>
              <w:spacing w:after="0" w:line="276" w:lineRule="auto"/>
            </w:pPr>
            <w:r/>
            <w:r>
              <w:rPr>
                <w:rFonts w:ascii="宋体" w:hAnsi="宋体" w:eastAsia="宋体" w:cs="宋体"/>
                <w:b w:val="0"/>
                <w:i w:val="0"/>
                <w:color w:val="000000"/>
                <w:sz w:val="19"/>
              </w:rPr>
              <w:t>市场与运营</w:t>
            </w:r>
          </w:p>
        </w:tc>
        <w:tc>
          <w:tcPr>
            <w:tcW w:type="dxa" w:w="2624"/>
          </w:tcPr>
          <w:p>
            <w:pPr>
              <w:spacing w:after="0" w:line="276" w:lineRule="auto"/>
            </w:pPr>
            <w:r/>
            <w:r>
              <w:rPr>
                <w:rFonts w:ascii="宋体" w:hAnsi="宋体" w:eastAsia="宋体" w:cs="宋体"/>
                <w:b w:val="0"/>
                <w:i w:val="0"/>
                <w:color w:val="000000"/>
                <w:sz w:val="19"/>
              </w:rPr>
              <w:t>1</w:t>
            </w:r>
          </w:p>
        </w:tc>
        <w:tc>
          <w:tcPr>
            <w:tcW w:type="dxa" w:w="1940"/>
          </w:tcPr>
          <w:p>
            <w:pPr>
              <w:spacing w:after="0" w:line="276" w:lineRule="auto"/>
            </w:pPr>
            <w:r/>
            <w:r>
              <w:rPr>
                <w:rFonts w:ascii="宋体" w:hAnsi="宋体" w:eastAsia="宋体" w:cs="宋体"/>
                <w:b w:val="0"/>
                <w:i w:val="0"/>
                <w:color w:val="000000"/>
                <w:sz w:val="19"/>
              </w:rPr>
              <w:t>用户调研、渠道拓展、商业模式与财务测算</w:t>
            </w:r>
          </w:p>
        </w:tc>
        <w:tc>
          <w:tcPr>
            <w:tcW w:type="dxa" w:w="3309"/>
          </w:tcPr>
          <w:p>
            <w:pPr>
              <w:spacing w:after="0" w:line="276" w:lineRule="auto"/>
            </w:pPr>
            <w:r/>
            <w:r>
              <w:rPr>
                <w:rFonts w:ascii="宋体" w:hAnsi="宋体" w:eastAsia="宋体" w:cs="宋体"/>
                <w:b w:val="0"/>
                <w:i w:val="0"/>
                <w:color w:val="000000"/>
                <w:sz w:val="19"/>
              </w:rPr>
              <w:t>医疗健康行业市场能力</w:t>
            </w:r>
          </w:p>
        </w:tc>
      </w:tr>
    </w:tbl>
    <w:p>
      <w:pPr>
        <w:spacing w:after="40"/>
      </w:pPr>
    </w:p>
    <w:p>
      <w:r>
        <w:br w:type="page"/>
      </w:r>
    </w:p>
    <w:p>
      <w:pPr>
        <w:pStyle w:val="Heading1"/>
      </w:pPr>
      <w:r>
        <w:rPr>
          <w:rFonts w:ascii="宋体" w:hAnsi="宋体" w:eastAsia="宋体" w:cs="宋体"/>
          <w:b/>
          <w:i w:val="0"/>
          <w:color w:val="1F4E79"/>
          <w:sz w:val="30"/>
        </w:rPr>
        <w:t>第十章 风险分析与应对</w:t>
      </w:r>
    </w:p>
    <w:p>
      <w:pPr>
        <w:spacing w:after="80"/>
        <w:ind w:firstLine="420"/>
      </w:pPr>
      <w:r>
        <w:rPr>
          <w:rFonts w:ascii="宋体" w:hAnsi="宋体" w:eastAsia="宋体" w:cs="宋体"/>
          <w:b w:val="0"/>
          <w:i w:val="0"/>
          <w:color w:val="000000"/>
          <w:sz w:val="21"/>
        </w:rPr>
        <w:t>本项目的主要风险来自技术实现、临床验证、合规审批与商业落地四个方面。下表给出风险等级、影响与具体应对措施，其中合规与临床风险是决定项目能否从“作品”走向“产品”的关键。</w:t>
      </w:r>
    </w:p>
    <w:tbl>
      <w:tblPr>
        <w:tblStyle w:val="TableGrid"/>
        <w:jc w:val="center"/>
        <w:tblLook w:firstColumn="1" w:firstRow="1" w:lastColumn="0" w:lastRow="0" w:noHBand="0" w:noVBand="1" w:val="04A0"/>
        <w:tblCellMar>
          <w:top w:w="60" w:type="dxa"/>
          <w:left w:w="90" w:type="dxa"/>
          <w:bottom w:w="60" w:type="dxa"/>
          <w:right w:w="90" w:type="dxa"/>
        </w:tblCellMar>
        <w:tblW w:w="9129" w:type="dxa"/>
        <w:tblLayout w:type="fixed"/>
      </w:tblPr>
      <w:tblGrid>
        <w:gridCol w:w="1027"/>
        <w:gridCol w:w="2510"/>
        <w:gridCol w:w="799"/>
        <w:gridCol w:w="1826"/>
        <w:gridCol w:w="2967"/>
      </w:tblGrid>
      <w:tr>
        <w:trPr>
          <w:tblHeader w:val="true"/>
        </w:trPr>
        <w:tc>
          <w:tcPr>
            <w:tcW w:type="dxa" w:w="1027"/>
            <w:shd w:val="clear" w:color="auto" w:fill="1F4E79"/>
          </w:tcPr>
          <w:p>
            <w:pPr>
              <w:spacing w:after="0" w:line="276" w:lineRule="auto"/>
              <w:jc w:val="center"/>
            </w:pPr>
            <w:r/>
            <w:r>
              <w:rPr>
                <w:rFonts w:ascii="宋体" w:hAnsi="宋体" w:eastAsia="宋体" w:cs="宋体"/>
                <w:b/>
                <w:i w:val="0"/>
                <w:color w:val="FFFFFF"/>
                <w:sz w:val="19"/>
              </w:rPr>
              <w:t>类别</w:t>
            </w:r>
          </w:p>
        </w:tc>
        <w:tc>
          <w:tcPr>
            <w:tcW w:type="dxa" w:w="2510"/>
            <w:shd w:val="clear" w:color="auto" w:fill="1F4E79"/>
          </w:tcPr>
          <w:p>
            <w:pPr>
              <w:spacing w:after="0" w:line="276" w:lineRule="auto"/>
              <w:jc w:val="center"/>
            </w:pPr>
            <w:r/>
            <w:r>
              <w:rPr>
                <w:rFonts w:ascii="宋体" w:hAnsi="宋体" w:eastAsia="宋体" w:cs="宋体"/>
                <w:b/>
                <w:i w:val="0"/>
                <w:color w:val="FFFFFF"/>
                <w:sz w:val="19"/>
              </w:rPr>
              <w:t>风险描述</w:t>
            </w:r>
          </w:p>
        </w:tc>
        <w:tc>
          <w:tcPr>
            <w:tcW w:type="dxa" w:w="799"/>
            <w:shd w:val="clear" w:color="auto" w:fill="1F4E79"/>
          </w:tcPr>
          <w:p>
            <w:pPr>
              <w:spacing w:after="0" w:line="276" w:lineRule="auto"/>
              <w:jc w:val="center"/>
            </w:pPr>
            <w:r/>
            <w:r>
              <w:rPr>
                <w:rFonts w:ascii="宋体" w:hAnsi="宋体" w:eastAsia="宋体" w:cs="宋体"/>
                <w:b/>
                <w:i w:val="0"/>
                <w:color w:val="FFFFFF"/>
                <w:sz w:val="19"/>
              </w:rPr>
              <w:t>等级</w:t>
            </w:r>
          </w:p>
        </w:tc>
        <w:tc>
          <w:tcPr>
            <w:tcW w:type="dxa" w:w="1826"/>
            <w:shd w:val="clear" w:color="auto" w:fill="1F4E79"/>
          </w:tcPr>
          <w:p>
            <w:pPr>
              <w:spacing w:after="0" w:line="276" w:lineRule="auto"/>
              <w:jc w:val="center"/>
            </w:pPr>
            <w:r/>
            <w:r>
              <w:rPr>
                <w:rFonts w:ascii="宋体" w:hAnsi="宋体" w:eastAsia="宋体" w:cs="宋体"/>
                <w:b/>
                <w:i w:val="0"/>
                <w:color w:val="FFFFFF"/>
                <w:sz w:val="19"/>
              </w:rPr>
              <w:t>影响</w:t>
            </w:r>
          </w:p>
        </w:tc>
        <w:tc>
          <w:tcPr>
            <w:tcW w:type="dxa" w:w="2966"/>
            <w:shd w:val="clear" w:color="auto" w:fill="1F4E79"/>
          </w:tcPr>
          <w:p>
            <w:pPr>
              <w:spacing w:after="0" w:line="276" w:lineRule="auto"/>
              <w:jc w:val="center"/>
            </w:pPr>
            <w:r/>
            <w:r>
              <w:rPr>
                <w:rFonts w:ascii="宋体" w:hAnsi="宋体" w:eastAsia="宋体" w:cs="宋体"/>
                <w:b/>
                <w:i w:val="0"/>
                <w:color w:val="FFFFFF"/>
                <w:sz w:val="19"/>
              </w:rPr>
              <w:t>应对措施</w:t>
            </w:r>
          </w:p>
        </w:tc>
      </w:tr>
      <w:tr>
        <w:tc>
          <w:tcPr>
            <w:tcW w:type="dxa" w:w="1027"/>
          </w:tcPr>
          <w:p>
            <w:pPr>
              <w:spacing w:after="0" w:line="276" w:lineRule="auto"/>
            </w:pPr>
            <w:r/>
            <w:r>
              <w:rPr>
                <w:rFonts w:ascii="宋体" w:hAnsi="宋体" w:eastAsia="宋体" w:cs="宋体"/>
                <w:b w:val="0"/>
                <w:i w:val="0"/>
                <w:color w:val="000000"/>
                <w:sz w:val="19"/>
              </w:rPr>
              <w:t>技术</w:t>
            </w:r>
          </w:p>
        </w:tc>
        <w:tc>
          <w:tcPr>
            <w:tcW w:type="dxa" w:w="2510"/>
          </w:tcPr>
          <w:p>
            <w:pPr>
              <w:spacing w:after="0" w:line="276" w:lineRule="auto"/>
            </w:pPr>
            <w:r/>
            <w:r>
              <w:rPr>
                <w:rFonts w:ascii="宋体" w:hAnsi="宋体" w:eastAsia="宋体" w:cs="宋体"/>
                <w:b w:val="0"/>
                <w:i w:val="0"/>
                <w:color w:val="000000"/>
                <w:sz w:val="19"/>
              </w:rPr>
              <w:t>家庭噪声导致精度不达标，尤其说话声误判为咳嗽</w:t>
            </w:r>
          </w:p>
        </w:tc>
        <w:tc>
          <w:tcPr>
            <w:tcW w:type="dxa" w:w="799"/>
          </w:tcPr>
          <w:p>
            <w:pPr>
              <w:spacing w:after="0" w:line="276" w:lineRule="auto"/>
            </w:pPr>
            <w:r/>
            <w:r>
              <w:rPr>
                <w:rFonts w:ascii="宋体" w:hAnsi="宋体" w:eastAsia="宋体" w:cs="宋体"/>
                <w:b w:val="0"/>
                <w:i w:val="0"/>
                <w:color w:val="000000"/>
                <w:sz w:val="19"/>
              </w:rPr>
              <w:t>高</w:t>
            </w:r>
          </w:p>
        </w:tc>
        <w:tc>
          <w:tcPr>
            <w:tcW w:type="dxa" w:w="1826"/>
          </w:tcPr>
          <w:p>
            <w:pPr>
              <w:spacing w:after="0" w:line="276" w:lineRule="auto"/>
            </w:pPr>
            <w:r/>
            <w:r>
              <w:rPr>
                <w:rFonts w:ascii="宋体" w:hAnsi="宋体" w:eastAsia="宋体" w:cs="宋体"/>
                <w:b w:val="0"/>
                <w:i w:val="0"/>
                <w:color w:val="000000"/>
                <w:sz w:val="19"/>
              </w:rPr>
              <w:t>产品核心价值不成立</w:t>
            </w:r>
          </w:p>
        </w:tc>
        <w:tc>
          <w:tcPr>
            <w:tcW w:type="dxa" w:w="2966"/>
          </w:tcPr>
          <w:p>
            <w:pPr>
              <w:spacing w:after="0" w:line="276" w:lineRule="auto"/>
            </w:pPr>
            <w:r/>
            <w:r>
              <w:rPr>
                <w:rFonts w:ascii="宋体" w:hAnsi="宋体" w:eastAsia="宋体" w:cs="宋体"/>
                <w:b w:val="0"/>
                <w:i w:val="0"/>
                <w:color w:val="000000"/>
                <w:sz w:val="19"/>
              </w:rPr>
              <w:t>两级级联 + 显式负样本训练 + 用户端环境提示；设定明确适用边界，噪声超限时提示而非强行输出指标</w:t>
            </w:r>
          </w:p>
        </w:tc>
      </w:tr>
      <w:tr>
        <w:tc>
          <w:tcPr>
            <w:tcW w:type="dxa" w:w="1027"/>
            <w:shd w:val="clear" w:color="auto" w:fill="EDF3F9"/>
          </w:tcPr>
          <w:p>
            <w:pPr>
              <w:spacing w:after="0" w:line="276" w:lineRule="auto"/>
            </w:pPr>
            <w:r/>
            <w:r>
              <w:rPr>
                <w:rFonts w:ascii="宋体" w:hAnsi="宋体" w:eastAsia="宋体" w:cs="宋体"/>
                <w:b w:val="0"/>
                <w:i w:val="0"/>
                <w:color w:val="000000"/>
                <w:sz w:val="19"/>
              </w:rPr>
              <w:t>技术</w:t>
            </w:r>
          </w:p>
        </w:tc>
        <w:tc>
          <w:tcPr>
            <w:tcW w:type="dxa" w:w="2510"/>
            <w:shd w:val="clear" w:color="auto" w:fill="EDF3F9"/>
          </w:tcPr>
          <w:p>
            <w:pPr>
              <w:spacing w:after="0" w:line="276" w:lineRule="auto"/>
            </w:pPr>
            <w:r/>
            <w:r>
              <w:rPr>
                <w:rFonts w:ascii="宋体" w:hAnsi="宋体" w:eastAsia="宋体" w:cs="宋体"/>
                <w:b w:val="0"/>
                <w:i w:val="0"/>
                <w:color w:val="000000"/>
                <w:sz w:val="19"/>
              </w:rPr>
              <w:t>INT8 量化后精度下降超出可接受范围</w:t>
            </w:r>
          </w:p>
        </w:tc>
        <w:tc>
          <w:tcPr>
            <w:tcW w:type="dxa" w:w="799"/>
            <w:shd w:val="clear" w:color="auto" w:fill="EDF3F9"/>
          </w:tcPr>
          <w:p>
            <w:pPr>
              <w:spacing w:after="0" w:line="276" w:lineRule="auto"/>
            </w:pPr>
            <w:r/>
            <w:r>
              <w:rPr>
                <w:rFonts w:ascii="宋体" w:hAnsi="宋体" w:eastAsia="宋体" w:cs="宋体"/>
                <w:b w:val="0"/>
                <w:i w:val="0"/>
                <w:color w:val="000000"/>
                <w:sz w:val="19"/>
              </w:rPr>
              <w:t>中</w:t>
            </w:r>
          </w:p>
        </w:tc>
        <w:tc>
          <w:tcPr>
            <w:tcW w:type="dxa" w:w="1826"/>
            <w:shd w:val="clear" w:color="auto" w:fill="EDF3F9"/>
          </w:tcPr>
          <w:p>
            <w:pPr>
              <w:spacing w:after="0" w:line="276" w:lineRule="auto"/>
            </w:pPr>
            <w:r/>
            <w:r>
              <w:rPr>
                <w:rFonts w:ascii="宋体" w:hAnsi="宋体" w:eastAsia="宋体" w:cs="宋体"/>
                <w:b w:val="0"/>
                <w:i w:val="0"/>
                <w:color w:val="000000"/>
                <w:sz w:val="19"/>
              </w:rPr>
              <w:t>边缘部署目标无法达成</w:t>
            </w:r>
          </w:p>
        </w:tc>
        <w:tc>
          <w:tcPr>
            <w:tcW w:type="dxa" w:w="2966"/>
            <w:shd w:val="clear" w:color="auto" w:fill="EDF3F9"/>
          </w:tcPr>
          <w:p>
            <w:pPr>
              <w:spacing w:after="0" w:line="276" w:lineRule="auto"/>
            </w:pPr>
            <w:r/>
            <w:r>
              <w:rPr>
                <w:rFonts w:ascii="宋体" w:hAnsi="宋体" w:eastAsia="宋体" w:cs="宋体"/>
                <w:b w:val="0"/>
                <w:i w:val="0"/>
                <w:color w:val="000000"/>
                <w:sz w:val="19"/>
              </w:rPr>
              <w:t>敏感层混合精度、量化感知训练、精度红线回退机制；必要时改用更小 FP16 模型</w:t>
            </w:r>
          </w:p>
        </w:tc>
      </w:tr>
      <w:tr>
        <w:tc>
          <w:tcPr>
            <w:tcW w:type="dxa" w:w="1027"/>
          </w:tcPr>
          <w:p>
            <w:pPr>
              <w:spacing w:after="0" w:line="276" w:lineRule="auto"/>
            </w:pPr>
            <w:r/>
            <w:r>
              <w:rPr>
                <w:rFonts w:ascii="宋体" w:hAnsi="宋体" w:eastAsia="宋体" w:cs="宋体"/>
                <w:b w:val="0"/>
                <w:i w:val="0"/>
                <w:color w:val="000000"/>
                <w:sz w:val="19"/>
              </w:rPr>
              <w:t>技术</w:t>
            </w:r>
          </w:p>
        </w:tc>
        <w:tc>
          <w:tcPr>
            <w:tcW w:type="dxa" w:w="2510"/>
          </w:tcPr>
          <w:p>
            <w:pPr>
              <w:spacing w:after="0" w:line="276" w:lineRule="auto"/>
            </w:pPr>
            <w:r/>
            <w:r>
              <w:rPr>
                <w:rFonts w:ascii="宋体" w:hAnsi="宋体" w:eastAsia="宋体" w:cs="宋体"/>
                <w:b w:val="0"/>
                <w:i w:val="0"/>
                <w:color w:val="000000"/>
                <w:sz w:val="19"/>
              </w:rPr>
              <w:t>手机机型差异导致计数一致性差</w:t>
            </w:r>
          </w:p>
        </w:tc>
        <w:tc>
          <w:tcPr>
            <w:tcW w:type="dxa" w:w="799"/>
          </w:tcPr>
          <w:p>
            <w:pPr>
              <w:spacing w:after="0" w:line="276" w:lineRule="auto"/>
            </w:pPr>
            <w:r/>
            <w:r>
              <w:rPr>
                <w:rFonts w:ascii="宋体" w:hAnsi="宋体" w:eastAsia="宋体" w:cs="宋体"/>
                <w:b w:val="0"/>
                <w:i w:val="0"/>
                <w:color w:val="000000"/>
                <w:sz w:val="19"/>
              </w:rPr>
              <w:t>中</w:t>
            </w:r>
          </w:p>
        </w:tc>
        <w:tc>
          <w:tcPr>
            <w:tcW w:type="dxa" w:w="1826"/>
          </w:tcPr>
          <w:p>
            <w:pPr>
              <w:spacing w:after="0" w:line="276" w:lineRule="auto"/>
            </w:pPr>
            <w:r/>
            <w:r>
              <w:rPr>
                <w:rFonts w:ascii="宋体" w:hAnsi="宋体" w:eastAsia="宋体" w:cs="宋体"/>
                <w:b w:val="0"/>
                <w:i w:val="0"/>
                <w:color w:val="000000"/>
                <w:sz w:val="19"/>
              </w:rPr>
              <w:t>医生不信任数据可比性</w:t>
            </w:r>
          </w:p>
        </w:tc>
        <w:tc>
          <w:tcPr>
            <w:tcW w:type="dxa" w:w="2966"/>
          </w:tcPr>
          <w:p>
            <w:pPr>
              <w:spacing w:after="0" w:line="276" w:lineRule="auto"/>
            </w:pPr>
            <w:r/>
            <w:r>
              <w:rPr>
                <w:rFonts w:ascii="宋体" w:hAnsi="宋体" w:eastAsia="宋体" w:cs="宋体"/>
                <w:b w:val="0"/>
                <w:i w:val="0"/>
                <w:color w:val="000000"/>
                <w:sz w:val="19"/>
              </w:rPr>
              <w:t>出厂与用户端双重校准、声压级归一化、多机型一致性测试并限定支持机型清单</w:t>
            </w:r>
          </w:p>
        </w:tc>
      </w:tr>
      <w:tr>
        <w:tc>
          <w:tcPr>
            <w:tcW w:type="dxa" w:w="1027"/>
            <w:shd w:val="clear" w:color="auto" w:fill="EDF3F9"/>
          </w:tcPr>
          <w:p>
            <w:pPr>
              <w:spacing w:after="0" w:line="276" w:lineRule="auto"/>
            </w:pPr>
            <w:r/>
            <w:r>
              <w:rPr>
                <w:rFonts w:ascii="宋体" w:hAnsi="宋体" w:eastAsia="宋体" w:cs="宋体"/>
                <w:b w:val="0"/>
                <w:i w:val="0"/>
                <w:color w:val="000000"/>
                <w:sz w:val="19"/>
              </w:rPr>
              <w:t>临床</w:t>
            </w:r>
          </w:p>
        </w:tc>
        <w:tc>
          <w:tcPr>
            <w:tcW w:type="dxa" w:w="2510"/>
            <w:shd w:val="clear" w:color="auto" w:fill="EDF3F9"/>
          </w:tcPr>
          <w:p>
            <w:pPr>
              <w:spacing w:after="0" w:line="276" w:lineRule="auto"/>
            </w:pPr>
            <w:r/>
            <w:r>
              <w:rPr>
                <w:rFonts w:ascii="宋体" w:hAnsi="宋体" w:eastAsia="宋体" w:cs="宋体"/>
                <w:b w:val="0"/>
                <w:i w:val="0"/>
                <w:color w:val="000000"/>
                <w:sz w:val="19"/>
              </w:rPr>
              <w:t>临床一致性研究入组慢或结果不及预期</w:t>
            </w:r>
          </w:p>
        </w:tc>
        <w:tc>
          <w:tcPr>
            <w:tcW w:type="dxa" w:w="799"/>
            <w:shd w:val="clear" w:color="auto" w:fill="EDF3F9"/>
          </w:tcPr>
          <w:p>
            <w:pPr>
              <w:spacing w:after="0" w:line="276" w:lineRule="auto"/>
            </w:pPr>
            <w:r/>
            <w:r>
              <w:rPr>
                <w:rFonts w:ascii="宋体" w:hAnsi="宋体" w:eastAsia="宋体" w:cs="宋体"/>
                <w:b w:val="0"/>
                <w:i w:val="0"/>
                <w:color w:val="000000"/>
                <w:sz w:val="19"/>
              </w:rPr>
              <w:t>高</w:t>
            </w:r>
          </w:p>
        </w:tc>
        <w:tc>
          <w:tcPr>
            <w:tcW w:type="dxa" w:w="1826"/>
            <w:shd w:val="clear" w:color="auto" w:fill="EDF3F9"/>
          </w:tcPr>
          <w:p>
            <w:pPr>
              <w:spacing w:after="0" w:line="276" w:lineRule="auto"/>
            </w:pPr>
            <w:r/>
            <w:r>
              <w:rPr>
                <w:rFonts w:ascii="宋体" w:hAnsi="宋体" w:eastAsia="宋体" w:cs="宋体"/>
                <w:b w:val="0"/>
                <w:i w:val="0"/>
                <w:color w:val="000000"/>
                <w:sz w:val="19"/>
              </w:rPr>
              <w:t>无法支撑注册与推广</w:t>
            </w:r>
          </w:p>
        </w:tc>
        <w:tc>
          <w:tcPr>
            <w:tcW w:type="dxa" w:w="2966"/>
            <w:shd w:val="clear" w:color="auto" w:fill="EDF3F9"/>
          </w:tcPr>
          <w:p>
            <w:pPr>
              <w:spacing w:after="0" w:line="276" w:lineRule="auto"/>
            </w:pPr>
            <w:r/>
            <w:r>
              <w:rPr>
                <w:rFonts w:ascii="宋体" w:hAnsi="宋体" w:eastAsia="宋体" w:cs="宋体"/>
                <w:b w:val="0"/>
                <w:i w:val="0"/>
                <w:color w:val="000000"/>
                <w:sz w:val="19"/>
              </w:rPr>
              <w:t>提前锁定合作医院与研究者；先做回顾性研究验证假设，再投入前瞻性研究</w:t>
            </w:r>
          </w:p>
        </w:tc>
      </w:tr>
      <w:tr>
        <w:tc>
          <w:tcPr>
            <w:tcW w:type="dxa" w:w="1027"/>
          </w:tcPr>
          <w:p>
            <w:pPr>
              <w:spacing w:after="0" w:line="276" w:lineRule="auto"/>
            </w:pPr>
            <w:r/>
            <w:r>
              <w:rPr>
                <w:rFonts w:ascii="宋体" w:hAnsi="宋体" w:eastAsia="宋体" w:cs="宋体"/>
                <w:b w:val="0"/>
                <w:i w:val="0"/>
                <w:color w:val="000000"/>
                <w:sz w:val="19"/>
              </w:rPr>
              <w:t>临床</w:t>
            </w:r>
          </w:p>
        </w:tc>
        <w:tc>
          <w:tcPr>
            <w:tcW w:type="dxa" w:w="2510"/>
          </w:tcPr>
          <w:p>
            <w:pPr>
              <w:spacing w:after="0" w:line="276" w:lineRule="auto"/>
            </w:pPr>
            <w:r/>
            <w:r>
              <w:rPr>
                <w:rFonts w:ascii="宋体" w:hAnsi="宋体" w:eastAsia="宋体" w:cs="宋体"/>
                <w:b w:val="0"/>
                <w:i w:val="0"/>
                <w:color w:val="000000"/>
                <w:sz w:val="19"/>
              </w:rPr>
              <w:t>宣传越界引发合规风险</w:t>
            </w:r>
          </w:p>
        </w:tc>
        <w:tc>
          <w:tcPr>
            <w:tcW w:type="dxa" w:w="799"/>
          </w:tcPr>
          <w:p>
            <w:pPr>
              <w:spacing w:after="0" w:line="276" w:lineRule="auto"/>
            </w:pPr>
            <w:r/>
            <w:r>
              <w:rPr>
                <w:rFonts w:ascii="宋体" w:hAnsi="宋体" w:eastAsia="宋体" w:cs="宋体"/>
                <w:b w:val="0"/>
                <w:i w:val="0"/>
                <w:color w:val="000000"/>
                <w:sz w:val="19"/>
              </w:rPr>
              <w:t>中</w:t>
            </w:r>
          </w:p>
        </w:tc>
        <w:tc>
          <w:tcPr>
            <w:tcW w:type="dxa" w:w="1826"/>
          </w:tcPr>
          <w:p>
            <w:pPr>
              <w:spacing w:after="0" w:line="276" w:lineRule="auto"/>
            </w:pPr>
            <w:r/>
            <w:r>
              <w:rPr>
                <w:rFonts w:ascii="宋体" w:hAnsi="宋体" w:eastAsia="宋体" w:cs="宋体"/>
                <w:b w:val="0"/>
                <w:i w:val="0"/>
                <w:color w:val="000000"/>
                <w:sz w:val="19"/>
              </w:rPr>
              <w:t>产品被认定为未注册医疗器械</w:t>
            </w:r>
          </w:p>
        </w:tc>
        <w:tc>
          <w:tcPr>
            <w:tcW w:type="dxa" w:w="2966"/>
          </w:tcPr>
          <w:p>
            <w:pPr>
              <w:spacing w:after="0" w:line="276" w:lineRule="auto"/>
            </w:pPr>
            <w:r/>
            <w:r>
              <w:rPr>
                <w:rFonts w:ascii="宋体" w:hAnsi="宋体" w:eastAsia="宋体" w:cs="宋体"/>
                <w:b w:val="0"/>
                <w:i w:val="0"/>
                <w:color w:val="000000"/>
                <w:sz w:val="19"/>
              </w:rPr>
              <w:t>建立文案审查流程；所有对外材料明确「非诊断用途」，由临床与合规角色终审</w:t>
            </w:r>
          </w:p>
        </w:tc>
      </w:tr>
      <w:tr>
        <w:tc>
          <w:tcPr>
            <w:tcW w:type="dxa" w:w="1027"/>
            <w:shd w:val="clear" w:color="auto" w:fill="EDF3F9"/>
          </w:tcPr>
          <w:p>
            <w:pPr>
              <w:spacing w:after="0" w:line="276" w:lineRule="auto"/>
            </w:pPr>
            <w:r/>
            <w:r>
              <w:rPr>
                <w:rFonts w:ascii="宋体" w:hAnsi="宋体" w:eastAsia="宋体" w:cs="宋体"/>
                <w:b w:val="0"/>
                <w:i w:val="0"/>
                <w:color w:val="000000"/>
                <w:sz w:val="19"/>
              </w:rPr>
              <w:t>合规</w:t>
            </w:r>
          </w:p>
        </w:tc>
        <w:tc>
          <w:tcPr>
            <w:tcW w:type="dxa" w:w="2510"/>
            <w:shd w:val="clear" w:color="auto" w:fill="EDF3F9"/>
          </w:tcPr>
          <w:p>
            <w:pPr>
              <w:spacing w:after="0" w:line="276" w:lineRule="auto"/>
            </w:pPr>
            <w:r/>
            <w:r>
              <w:rPr>
                <w:rFonts w:ascii="宋体" w:hAnsi="宋体" w:eastAsia="宋体" w:cs="宋体"/>
                <w:b w:val="0"/>
                <w:i w:val="0"/>
                <w:color w:val="000000"/>
                <w:sz w:val="19"/>
              </w:rPr>
              <w:t>注册周期长于预期，现金流承压</w:t>
            </w:r>
          </w:p>
        </w:tc>
        <w:tc>
          <w:tcPr>
            <w:tcW w:type="dxa" w:w="799"/>
            <w:shd w:val="clear" w:color="auto" w:fill="EDF3F9"/>
          </w:tcPr>
          <w:p>
            <w:pPr>
              <w:spacing w:after="0" w:line="276" w:lineRule="auto"/>
            </w:pPr>
            <w:r/>
            <w:r>
              <w:rPr>
                <w:rFonts w:ascii="宋体" w:hAnsi="宋体" w:eastAsia="宋体" w:cs="宋体"/>
                <w:b w:val="0"/>
                <w:i w:val="0"/>
                <w:color w:val="000000"/>
                <w:sz w:val="19"/>
              </w:rPr>
              <w:t>高</w:t>
            </w:r>
          </w:p>
        </w:tc>
        <w:tc>
          <w:tcPr>
            <w:tcW w:type="dxa" w:w="1826"/>
            <w:shd w:val="clear" w:color="auto" w:fill="EDF3F9"/>
          </w:tcPr>
          <w:p>
            <w:pPr>
              <w:spacing w:after="0" w:line="276" w:lineRule="auto"/>
            </w:pPr>
            <w:r/>
            <w:r>
              <w:rPr>
                <w:rFonts w:ascii="宋体" w:hAnsi="宋体" w:eastAsia="宋体" w:cs="宋体"/>
                <w:b w:val="0"/>
                <w:i w:val="0"/>
                <w:color w:val="000000"/>
                <w:sz w:val="19"/>
              </w:rPr>
              <w:t>商业化节奏被打乱</w:t>
            </w:r>
          </w:p>
        </w:tc>
        <w:tc>
          <w:tcPr>
            <w:tcW w:type="dxa" w:w="2966"/>
            <w:shd w:val="clear" w:color="auto" w:fill="EDF3F9"/>
          </w:tcPr>
          <w:p>
            <w:pPr>
              <w:spacing w:after="0" w:line="276" w:lineRule="auto"/>
            </w:pPr>
            <w:r/>
            <w:r>
              <w:rPr>
                <w:rFonts w:ascii="宋体" w:hAnsi="宋体" w:eastAsia="宋体" w:cs="宋体"/>
                <w:b w:val="0"/>
                <w:i w:val="0"/>
                <w:color w:val="000000"/>
                <w:sz w:val="19"/>
              </w:rPr>
              <w:t>坚持分步合规：健康管理形态先行产生收入；药企服务与 C 端订阅不依赖注册证</w:t>
            </w:r>
          </w:p>
        </w:tc>
      </w:tr>
      <w:tr>
        <w:tc>
          <w:tcPr>
            <w:tcW w:type="dxa" w:w="1027"/>
          </w:tcPr>
          <w:p>
            <w:pPr>
              <w:spacing w:after="0" w:line="276" w:lineRule="auto"/>
            </w:pPr>
            <w:r/>
            <w:r>
              <w:rPr>
                <w:rFonts w:ascii="宋体" w:hAnsi="宋体" w:eastAsia="宋体" w:cs="宋体"/>
                <w:b w:val="0"/>
                <w:i w:val="0"/>
                <w:color w:val="000000"/>
                <w:sz w:val="19"/>
              </w:rPr>
              <w:t>合规</w:t>
            </w:r>
          </w:p>
        </w:tc>
        <w:tc>
          <w:tcPr>
            <w:tcW w:type="dxa" w:w="2510"/>
          </w:tcPr>
          <w:p>
            <w:pPr>
              <w:spacing w:after="0" w:line="276" w:lineRule="auto"/>
            </w:pPr>
            <w:r/>
            <w:r>
              <w:rPr>
                <w:rFonts w:ascii="宋体" w:hAnsi="宋体" w:eastAsia="宋体" w:cs="宋体"/>
                <w:b w:val="0"/>
                <w:i w:val="0"/>
                <w:color w:val="000000"/>
                <w:sz w:val="19"/>
              </w:rPr>
              <w:t>数据与隐私合规瑕疵</w:t>
            </w:r>
          </w:p>
        </w:tc>
        <w:tc>
          <w:tcPr>
            <w:tcW w:type="dxa" w:w="799"/>
          </w:tcPr>
          <w:p>
            <w:pPr>
              <w:spacing w:after="0" w:line="276" w:lineRule="auto"/>
            </w:pPr>
            <w:r/>
            <w:r>
              <w:rPr>
                <w:rFonts w:ascii="宋体" w:hAnsi="宋体" w:eastAsia="宋体" w:cs="宋体"/>
                <w:b w:val="0"/>
                <w:i w:val="0"/>
                <w:color w:val="000000"/>
                <w:sz w:val="19"/>
              </w:rPr>
              <w:t>中</w:t>
            </w:r>
          </w:p>
        </w:tc>
        <w:tc>
          <w:tcPr>
            <w:tcW w:type="dxa" w:w="1826"/>
          </w:tcPr>
          <w:p>
            <w:pPr>
              <w:spacing w:after="0" w:line="276" w:lineRule="auto"/>
            </w:pPr>
            <w:r/>
            <w:r>
              <w:rPr>
                <w:rFonts w:ascii="宋体" w:hAnsi="宋体" w:eastAsia="宋体" w:cs="宋体"/>
                <w:b w:val="0"/>
                <w:i w:val="0"/>
                <w:color w:val="000000"/>
                <w:sz w:val="19"/>
              </w:rPr>
              <w:t>法律责任与品牌损失</w:t>
            </w:r>
          </w:p>
        </w:tc>
        <w:tc>
          <w:tcPr>
            <w:tcW w:type="dxa" w:w="2966"/>
          </w:tcPr>
          <w:p>
            <w:pPr>
              <w:spacing w:after="0" w:line="276" w:lineRule="auto"/>
            </w:pPr>
            <w:r/>
            <w:r>
              <w:rPr>
                <w:rFonts w:ascii="宋体" w:hAnsi="宋体" w:eastAsia="宋体" w:cs="宋体"/>
                <w:b w:val="0"/>
                <w:i w:val="0"/>
                <w:color w:val="000000"/>
                <w:sz w:val="19"/>
              </w:rPr>
              <w:t>架构级隐私设计 + 权限审计 + 授权可撤回；定期开展合规自查</w:t>
            </w:r>
          </w:p>
        </w:tc>
      </w:tr>
      <w:tr>
        <w:tc>
          <w:tcPr>
            <w:tcW w:type="dxa" w:w="1027"/>
            <w:shd w:val="clear" w:color="auto" w:fill="EDF3F9"/>
          </w:tcPr>
          <w:p>
            <w:pPr>
              <w:spacing w:after="0" w:line="276" w:lineRule="auto"/>
            </w:pPr>
            <w:r/>
            <w:r>
              <w:rPr>
                <w:rFonts w:ascii="宋体" w:hAnsi="宋体" w:eastAsia="宋体" w:cs="宋体"/>
                <w:b w:val="0"/>
                <w:i w:val="0"/>
                <w:color w:val="000000"/>
                <w:sz w:val="19"/>
              </w:rPr>
              <w:t>市场</w:t>
            </w:r>
          </w:p>
        </w:tc>
        <w:tc>
          <w:tcPr>
            <w:tcW w:type="dxa" w:w="2510"/>
            <w:shd w:val="clear" w:color="auto" w:fill="EDF3F9"/>
          </w:tcPr>
          <w:p>
            <w:pPr>
              <w:spacing w:after="0" w:line="276" w:lineRule="auto"/>
            </w:pPr>
            <w:r/>
            <w:r>
              <w:rPr>
                <w:rFonts w:ascii="宋体" w:hAnsi="宋体" w:eastAsia="宋体" w:cs="宋体"/>
                <w:b w:val="0"/>
                <w:i w:val="0"/>
                <w:color w:val="000000"/>
                <w:sz w:val="19"/>
              </w:rPr>
              <w:t>消费电子大厂快速进入</w:t>
            </w:r>
          </w:p>
        </w:tc>
        <w:tc>
          <w:tcPr>
            <w:tcW w:type="dxa" w:w="799"/>
            <w:shd w:val="clear" w:color="auto" w:fill="EDF3F9"/>
          </w:tcPr>
          <w:p>
            <w:pPr>
              <w:spacing w:after="0" w:line="276" w:lineRule="auto"/>
            </w:pPr>
            <w:r/>
            <w:r>
              <w:rPr>
                <w:rFonts w:ascii="宋体" w:hAnsi="宋体" w:eastAsia="宋体" w:cs="宋体"/>
                <w:b w:val="0"/>
                <w:i w:val="0"/>
                <w:color w:val="000000"/>
                <w:sz w:val="19"/>
              </w:rPr>
              <w:t>中</w:t>
            </w:r>
          </w:p>
        </w:tc>
        <w:tc>
          <w:tcPr>
            <w:tcW w:type="dxa" w:w="1826"/>
            <w:shd w:val="clear" w:color="auto" w:fill="EDF3F9"/>
          </w:tcPr>
          <w:p>
            <w:pPr>
              <w:spacing w:after="0" w:line="276" w:lineRule="auto"/>
            </w:pPr>
            <w:r/>
            <w:r>
              <w:rPr>
                <w:rFonts w:ascii="宋体" w:hAnsi="宋体" w:eastAsia="宋体" w:cs="宋体"/>
                <w:b w:val="0"/>
                <w:i w:val="0"/>
                <w:color w:val="000000"/>
                <w:sz w:val="19"/>
              </w:rPr>
              <w:t>C 端市场被挤压</w:t>
            </w:r>
          </w:p>
        </w:tc>
        <w:tc>
          <w:tcPr>
            <w:tcW w:type="dxa" w:w="2966"/>
            <w:shd w:val="clear" w:color="auto" w:fill="EDF3F9"/>
          </w:tcPr>
          <w:p>
            <w:pPr>
              <w:spacing w:after="0" w:line="276" w:lineRule="auto"/>
            </w:pPr>
            <w:r/>
            <w:r>
              <w:rPr>
                <w:rFonts w:ascii="宋体" w:hAnsi="宋体" w:eastAsia="宋体" w:cs="宋体"/>
                <w:b w:val="0"/>
                <w:i w:val="0"/>
                <w:color w:val="000000"/>
                <w:sz w:val="19"/>
              </w:rPr>
              <w:t>把重心放在需要临床证据与注册资质的院内与药企场景，避开纯消费电子竞争</w:t>
            </w:r>
          </w:p>
        </w:tc>
      </w:tr>
      <w:tr>
        <w:tc>
          <w:tcPr>
            <w:tcW w:type="dxa" w:w="1027"/>
          </w:tcPr>
          <w:p>
            <w:pPr>
              <w:spacing w:after="0" w:line="276" w:lineRule="auto"/>
            </w:pPr>
            <w:r/>
            <w:r>
              <w:rPr>
                <w:rFonts w:ascii="宋体" w:hAnsi="宋体" w:eastAsia="宋体" w:cs="宋体"/>
                <w:b w:val="0"/>
                <w:i w:val="0"/>
                <w:color w:val="000000"/>
                <w:sz w:val="19"/>
              </w:rPr>
              <w:t>市场</w:t>
            </w:r>
          </w:p>
        </w:tc>
        <w:tc>
          <w:tcPr>
            <w:tcW w:type="dxa" w:w="2510"/>
          </w:tcPr>
          <w:p>
            <w:pPr>
              <w:spacing w:after="0" w:line="276" w:lineRule="auto"/>
            </w:pPr>
            <w:r/>
            <w:r>
              <w:rPr>
                <w:rFonts w:ascii="宋体" w:hAnsi="宋体" w:eastAsia="宋体" w:cs="宋体"/>
                <w:b w:val="0"/>
                <w:i w:val="0"/>
                <w:color w:val="000000"/>
                <w:sz w:val="19"/>
              </w:rPr>
              <w:t>用户付费意愿不足或留存低</w:t>
            </w:r>
          </w:p>
        </w:tc>
        <w:tc>
          <w:tcPr>
            <w:tcW w:type="dxa" w:w="799"/>
          </w:tcPr>
          <w:p>
            <w:pPr>
              <w:spacing w:after="0" w:line="276" w:lineRule="auto"/>
            </w:pPr>
            <w:r/>
            <w:r>
              <w:rPr>
                <w:rFonts w:ascii="宋体" w:hAnsi="宋体" w:eastAsia="宋体" w:cs="宋体"/>
                <w:b w:val="0"/>
                <w:i w:val="0"/>
                <w:color w:val="000000"/>
                <w:sz w:val="19"/>
              </w:rPr>
              <w:t>中</w:t>
            </w:r>
          </w:p>
        </w:tc>
        <w:tc>
          <w:tcPr>
            <w:tcW w:type="dxa" w:w="1826"/>
          </w:tcPr>
          <w:p>
            <w:pPr>
              <w:spacing w:after="0" w:line="276" w:lineRule="auto"/>
            </w:pPr>
            <w:r/>
            <w:r>
              <w:rPr>
                <w:rFonts w:ascii="宋体" w:hAnsi="宋体" w:eastAsia="宋体" w:cs="宋体"/>
                <w:b w:val="0"/>
                <w:i w:val="0"/>
                <w:color w:val="000000"/>
                <w:sz w:val="19"/>
              </w:rPr>
              <w:t>订阅模式不成立</w:t>
            </w:r>
          </w:p>
        </w:tc>
        <w:tc>
          <w:tcPr>
            <w:tcW w:type="dxa" w:w="2966"/>
          </w:tcPr>
          <w:p>
            <w:pPr>
              <w:spacing w:after="0" w:line="276" w:lineRule="auto"/>
            </w:pPr>
            <w:r/>
            <w:r>
              <w:rPr>
                <w:rFonts w:ascii="宋体" w:hAnsi="宋体" w:eastAsia="宋体" w:cs="宋体"/>
                <w:b w:val="0"/>
                <w:i w:val="0"/>
                <w:color w:val="000000"/>
                <w:sz w:val="19"/>
              </w:rPr>
              <w:t>用小样本付费测试验证价格点；以医生背书与随访报告提升订阅价值感</w:t>
            </w:r>
          </w:p>
        </w:tc>
      </w:tr>
      <w:tr>
        <w:tc>
          <w:tcPr>
            <w:tcW w:type="dxa" w:w="1027"/>
            <w:shd w:val="clear" w:color="auto" w:fill="EDF3F9"/>
          </w:tcPr>
          <w:p>
            <w:pPr>
              <w:spacing w:after="0" w:line="276" w:lineRule="auto"/>
            </w:pPr>
            <w:r/>
            <w:r>
              <w:rPr>
                <w:rFonts w:ascii="宋体" w:hAnsi="宋体" w:eastAsia="宋体" w:cs="宋体"/>
                <w:b w:val="0"/>
                <w:i w:val="0"/>
                <w:color w:val="000000"/>
                <w:sz w:val="19"/>
              </w:rPr>
              <w:t>供应链</w:t>
            </w:r>
          </w:p>
        </w:tc>
        <w:tc>
          <w:tcPr>
            <w:tcW w:type="dxa" w:w="2510"/>
            <w:shd w:val="clear" w:color="auto" w:fill="EDF3F9"/>
          </w:tcPr>
          <w:p>
            <w:pPr>
              <w:spacing w:after="0" w:line="276" w:lineRule="auto"/>
            </w:pPr>
            <w:r/>
            <w:r>
              <w:rPr>
                <w:rFonts w:ascii="宋体" w:hAnsi="宋体" w:eastAsia="宋体" w:cs="宋体"/>
                <w:b w:val="0"/>
                <w:i w:val="0"/>
                <w:color w:val="000000"/>
                <w:sz w:val="19"/>
              </w:rPr>
              <w:t>核心板供货或价格波动</w:t>
            </w:r>
          </w:p>
        </w:tc>
        <w:tc>
          <w:tcPr>
            <w:tcW w:type="dxa" w:w="799"/>
            <w:shd w:val="clear" w:color="auto" w:fill="EDF3F9"/>
          </w:tcPr>
          <w:p>
            <w:pPr>
              <w:spacing w:after="0" w:line="276" w:lineRule="auto"/>
            </w:pPr>
            <w:r/>
            <w:r>
              <w:rPr>
                <w:rFonts w:ascii="宋体" w:hAnsi="宋体" w:eastAsia="宋体" w:cs="宋体"/>
                <w:b w:val="0"/>
                <w:i w:val="0"/>
                <w:color w:val="000000"/>
                <w:sz w:val="19"/>
              </w:rPr>
              <w:t>低</w:t>
            </w:r>
          </w:p>
        </w:tc>
        <w:tc>
          <w:tcPr>
            <w:tcW w:type="dxa" w:w="1826"/>
            <w:shd w:val="clear" w:color="auto" w:fill="EDF3F9"/>
          </w:tcPr>
          <w:p>
            <w:pPr>
              <w:spacing w:after="0" w:line="276" w:lineRule="auto"/>
            </w:pPr>
            <w:r/>
            <w:r>
              <w:rPr>
                <w:rFonts w:ascii="宋体" w:hAnsi="宋体" w:eastAsia="宋体" w:cs="宋体"/>
                <w:b w:val="0"/>
                <w:i w:val="0"/>
                <w:color w:val="000000"/>
                <w:sz w:val="19"/>
              </w:rPr>
              <w:t>成本与交付受影响</w:t>
            </w:r>
          </w:p>
        </w:tc>
        <w:tc>
          <w:tcPr>
            <w:tcW w:type="dxa" w:w="2966"/>
            <w:shd w:val="clear" w:color="auto" w:fill="EDF3F9"/>
          </w:tcPr>
          <w:p>
            <w:pPr>
              <w:spacing w:after="0" w:line="276" w:lineRule="auto"/>
            </w:pPr>
            <w:r/>
            <w:r>
              <w:rPr>
                <w:rFonts w:ascii="宋体" w:hAnsi="宋体" w:eastAsia="宋体" w:cs="宋体"/>
                <w:b w:val="0"/>
                <w:i w:val="0"/>
                <w:color w:val="000000"/>
                <w:sz w:val="19"/>
              </w:rPr>
              <w:t>与多家核心板厂商建立合作，预留替代型号；关键器件保持安全库存</w:t>
            </w:r>
          </w:p>
        </w:tc>
      </w:tr>
      <w:tr>
        <w:tc>
          <w:tcPr>
            <w:tcW w:type="dxa" w:w="1027"/>
          </w:tcPr>
          <w:p>
            <w:pPr>
              <w:spacing w:after="0" w:line="276" w:lineRule="auto"/>
            </w:pPr>
            <w:r/>
            <w:r>
              <w:rPr>
                <w:rFonts w:ascii="宋体" w:hAnsi="宋体" w:eastAsia="宋体" w:cs="宋体"/>
                <w:b w:val="0"/>
                <w:i w:val="0"/>
                <w:color w:val="000000"/>
                <w:sz w:val="19"/>
              </w:rPr>
              <w:t>监管</w:t>
            </w:r>
          </w:p>
        </w:tc>
        <w:tc>
          <w:tcPr>
            <w:tcW w:type="dxa" w:w="2510"/>
          </w:tcPr>
          <w:p>
            <w:pPr>
              <w:spacing w:after="0" w:line="276" w:lineRule="auto"/>
            </w:pPr>
            <w:r/>
            <w:r>
              <w:rPr>
                <w:rFonts w:ascii="宋体" w:hAnsi="宋体" w:eastAsia="宋体" w:cs="宋体"/>
                <w:b w:val="0"/>
                <w:i w:val="0"/>
                <w:color w:val="000000"/>
                <w:sz w:val="19"/>
              </w:rPr>
              <w:t>24 小时咳嗽计数的监管地位尚未确立：2023 年 11 月 FDA 顾问委员会以 12:1 投票反对 gefapixant 获批，争议核心是咳嗽频次下降的临床意义</w:t>
            </w:r>
          </w:p>
        </w:tc>
        <w:tc>
          <w:tcPr>
            <w:tcW w:type="dxa" w:w="799"/>
          </w:tcPr>
          <w:p>
            <w:pPr>
              <w:spacing w:after="0" w:line="276" w:lineRule="auto"/>
            </w:pPr>
            <w:r/>
            <w:r>
              <w:rPr>
                <w:rFonts w:ascii="宋体" w:hAnsi="宋体" w:eastAsia="宋体" w:cs="宋体"/>
                <w:b w:val="0"/>
                <w:i w:val="0"/>
                <w:color w:val="000000"/>
                <w:sz w:val="19"/>
              </w:rPr>
              <w:t>中</w:t>
            </w:r>
          </w:p>
        </w:tc>
        <w:tc>
          <w:tcPr>
            <w:tcW w:type="dxa" w:w="1826"/>
          </w:tcPr>
          <w:p>
            <w:pPr>
              <w:spacing w:after="0" w:line="276" w:lineRule="auto"/>
            </w:pPr>
            <w:r/>
            <w:r>
              <w:rPr>
                <w:rFonts w:ascii="宋体" w:hAnsi="宋体" w:eastAsia="宋体" w:cs="宋体"/>
                <w:b w:val="0"/>
                <w:i w:val="0"/>
                <w:color w:val="000000"/>
                <w:sz w:val="19"/>
              </w:rPr>
              <w:t>药企客户对终点工具的信心受挫，注册与商业叙事被质疑</w:t>
            </w:r>
          </w:p>
        </w:tc>
        <w:tc>
          <w:tcPr>
            <w:tcW w:type="dxa" w:w="2966"/>
          </w:tcPr>
          <w:p>
            <w:pPr>
              <w:spacing w:after="0" w:line="276" w:lineRule="auto"/>
            </w:pPr>
            <w:r/>
            <w:r>
              <w:rPr>
                <w:rFonts w:ascii="宋体" w:hAnsi="宋体" w:eastAsia="宋体" w:cs="宋体"/>
                <w:b w:val="0"/>
                <w:i w:val="0"/>
                <w:color w:val="000000"/>
                <w:sz w:val="19"/>
              </w:rPr>
              <w:t>统一应答口径：承认统计学显著不等于临床意义；把咳嗽频次定位为“监测指标”而非“疗效终点”；用 ICC(2,1) 与 Bland-Altman 做一致性验证；持续跟进 FDA 药物开发工具（DDT）/ 临床结局评估（COA）资格认证路径</w:t>
            </w:r>
          </w:p>
        </w:tc>
      </w:tr>
      <w:tr>
        <w:tc>
          <w:tcPr>
            <w:tcW w:type="dxa" w:w="1027"/>
            <w:shd w:val="clear" w:color="auto" w:fill="EDF3F9"/>
          </w:tcPr>
          <w:p>
            <w:pPr>
              <w:spacing w:after="0" w:line="276" w:lineRule="auto"/>
            </w:pPr>
            <w:r/>
            <w:r>
              <w:rPr>
                <w:rFonts w:ascii="宋体" w:hAnsi="宋体" w:eastAsia="宋体" w:cs="宋体"/>
                <w:b w:val="0"/>
                <w:i w:val="0"/>
                <w:color w:val="000000"/>
                <w:sz w:val="19"/>
              </w:rPr>
              <w:t>合规</w:t>
            </w:r>
          </w:p>
        </w:tc>
        <w:tc>
          <w:tcPr>
            <w:tcW w:type="dxa" w:w="2510"/>
            <w:shd w:val="clear" w:color="auto" w:fill="EDF3F9"/>
          </w:tcPr>
          <w:p>
            <w:pPr>
              <w:spacing w:after="0" w:line="276" w:lineRule="auto"/>
            </w:pPr>
            <w:r/>
            <w:r>
              <w:rPr>
                <w:rFonts w:ascii="宋体" w:hAnsi="宋体" w:eastAsia="宋体" w:cs="宋体"/>
                <w:b w:val="0"/>
                <w:i w:val="0"/>
                <w:color w:val="000000"/>
                <w:sz w:val="19"/>
              </w:rPr>
              <w:t>算法更新可能触发变更注册：算法驱动型更新通常属重大软件更新；数据驱动型更新若与前次注册在相同测试集与指标上存在统计学差异也属重大更新</w:t>
            </w:r>
          </w:p>
        </w:tc>
        <w:tc>
          <w:tcPr>
            <w:tcW w:type="dxa" w:w="799"/>
            <w:shd w:val="clear" w:color="auto" w:fill="EDF3F9"/>
          </w:tcPr>
          <w:p>
            <w:pPr>
              <w:spacing w:after="0" w:line="276" w:lineRule="auto"/>
            </w:pPr>
            <w:r/>
            <w:r>
              <w:rPr>
                <w:rFonts w:ascii="宋体" w:hAnsi="宋体" w:eastAsia="宋体" w:cs="宋体"/>
                <w:b w:val="0"/>
                <w:i w:val="0"/>
                <w:color w:val="000000"/>
                <w:sz w:val="19"/>
              </w:rPr>
              <w:t>中</w:t>
            </w:r>
          </w:p>
        </w:tc>
        <w:tc>
          <w:tcPr>
            <w:tcW w:type="dxa" w:w="1826"/>
            <w:shd w:val="clear" w:color="auto" w:fill="EDF3F9"/>
          </w:tcPr>
          <w:p>
            <w:pPr>
              <w:spacing w:after="0" w:line="276" w:lineRule="auto"/>
            </w:pPr>
            <w:r/>
            <w:r>
              <w:rPr>
                <w:rFonts w:ascii="宋体" w:hAnsi="宋体" w:eastAsia="宋体" w:cs="宋体"/>
                <w:b w:val="0"/>
                <w:i w:val="0"/>
                <w:color w:val="000000"/>
                <w:sz w:val="19"/>
              </w:rPr>
              <w:t>已上市版本的算法迭代受限，迭代周期与成本上升</w:t>
            </w:r>
          </w:p>
        </w:tc>
        <w:tc>
          <w:tcPr>
            <w:tcW w:type="dxa" w:w="2966"/>
            <w:shd w:val="clear" w:color="auto" w:fill="EDF3F9"/>
          </w:tcPr>
          <w:p>
            <w:pPr>
              <w:spacing w:after="0" w:line="276" w:lineRule="auto"/>
            </w:pPr>
            <w:r/>
            <w:r>
              <w:rPr>
                <w:rFonts w:ascii="宋体" w:hAnsi="宋体" w:eastAsia="宋体" w:cs="宋体"/>
                <w:b w:val="0"/>
                <w:i w:val="0"/>
                <w:color w:val="000000"/>
                <w:sz w:val="19"/>
              </w:rPr>
              <w:t>采用“锁定模型 + 经验证的离线版本升级 + 回滚机制”策略，禁止在线持续学习；每次迭代按变更注册路径先评估并保留完整评估报告、训练数据版本与算法版本号</w:t>
            </w:r>
          </w:p>
        </w:tc>
      </w:tr>
      <w:tr>
        <w:tc>
          <w:tcPr>
            <w:tcW w:type="dxa" w:w="1027"/>
          </w:tcPr>
          <w:p>
            <w:pPr>
              <w:spacing w:after="0" w:line="276" w:lineRule="auto"/>
            </w:pPr>
            <w:r/>
            <w:r>
              <w:rPr>
                <w:rFonts w:ascii="宋体" w:hAnsi="宋体" w:eastAsia="宋体" w:cs="宋体"/>
                <w:b w:val="0"/>
                <w:i w:val="0"/>
                <w:color w:val="000000"/>
                <w:sz w:val="19"/>
              </w:rPr>
              <w:t>合规</w:t>
            </w:r>
          </w:p>
        </w:tc>
        <w:tc>
          <w:tcPr>
            <w:tcW w:type="dxa" w:w="2510"/>
          </w:tcPr>
          <w:p>
            <w:pPr>
              <w:spacing w:after="0" w:line="276" w:lineRule="auto"/>
            </w:pPr>
            <w:r/>
            <w:r>
              <w:rPr>
                <w:rFonts w:ascii="宋体" w:hAnsi="宋体" w:eastAsia="宋体" w:cs="宋体"/>
                <w:b w:val="0"/>
                <w:i w:val="0"/>
                <w:color w:val="000000"/>
                <w:sz w:val="19"/>
              </w:rPr>
              <w:t>居家连续录音会采集到家属、访客等第三方语音，构成第三方个人信息处理风险</w:t>
            </w:r>
          </w:p>
        </w:tc>
        <w:tc>
          <w:tcPr>
            <w:tcW w:type="dxa" w:w="799"/>
          </w:tcPr>
          <w:p>
            <w:pPr>
              <w:spacing w:after="0" w:line="276" w:lineRule="auto"/>
            </w:pPr>
            <w:r/>
            <w:r>
              <w:rPr>
                <w:rFonts w:ascii="宋体" w:hAnsi="宋体" w:eastAsia="宋体" w:cs="宋体"/>
                <w:b w:val="0"/>
                <w:i w:val="0"/>
                <w:color w:val="000000"/>
                <w:sz w:val="19"/>
              </w:rPr>
              <w:t>中</w:t>
            </w:r>
          </w:p>
        </w:tc>
        <w:tc>
          <w:tcPr>
            <w:tcW w:type="dxa" w:w="1826"/>
          </w:tcPr>
          <w:p>
            <w:pPr>
              <w:spacing w:after="0" w:line="276" w:lineRule="auto"/>
            </w:pPr>
            <w:r/>
            <w:r>
              <w:rPr>
                <w:rFonts w:ascii="宋体" w:hAnsi="宋体" w:eastAsia="宋体" w:cs="宋体"/>
                <w:b w:val="0"/>
                <w:i w:val="0"/>
                <w:color w:val="000000"/>
                <w:sz w:val="19"/>
              </w:rPr>
              <w:t>伦理审查受阻、法律风险与品牌损失</w:t>
            </w:r>
          </w:p>
        </w:tc>
        <w:tc>
          <w:tcPr>
            <w:tcW w:type="dxa" w:w="2966"/>
          </w:tcPr>
          <w:p>
            <w:pPr>
              <w:spacing w:after="0" w:line="276" w:lineRule="auto"/>
            </w:pPr>
            <w:r/>
            <w:r>
              <w:rPr>
                <w:rFonts w:ascii="宋体" w:hAnsi="宋体" w:eastAsia="宋体" w:cs="宋体"/>
                <w:b w:val="0"/>
                <w:i w:val="0"/>
                <w:color w:val="000000"/>
                <w:sz w:val="19"/>
              </w:rPr>
              <w:t>在伦理方案与知情同意中设专章处理（家庭内告知、可随时暂停录音、第三方删除请求流程）；技术上以边缘端本地特征提取、原始音频不出设备、事件片段人声抑制与语音滤波缓解，并做个人信息保护影响评估</w:t>
            </w:r>
          </w:p>
        </w:tc>
      </w:tr>
      <w:tr>
        <w:tc>
          <w:tcPr>
            <w:tcW w:type="dxa" w:w="1027"/>
            <w:shd w:val="clear" w:color="auto" w:fill="EDF3F9"/>
          </w:tcPr>
          <w:p>
            <w:pPr>
              <w:spacing w:after="0" w:line="276" w:lineRule="auto"/>
            </w:pPr>
            <w:r/>
            <w:r>
              <w:rPr>
                <w:rFonts w:ascii="宋体" w:hAnsi="宋体" w:eastAsia="宋体" w:cs="宋体"/>
                <w:b w:val="0"/>
                <w:i w:val="0"/>
                <w:color w:val="000000"/>
                <w:sz w:val="19"/>
              </w:rPr>
              <w:t>临床</w:t>
            </w:r>
          </w:p>
        </w:tc>
        <w:tc>
          <w:tcPr>
            <w:tcW w:type="dxa" w:w="2510"/>
            <w:shd w:val="clear" w:color="auto" w:fill="EDF3F9"/>
          </w:tcPr>
          <w:p>
            <w:pPr>
              <w:spacing w:after="0" w:line="276" w:lineRule="auto"/>
            </w:pPr>
            <w:r/>
            <w:r>
              <w:rPr>
                <w:rFonts w:ascii="宋体" w:hAnsi="宋体" w:eastAsia="宋体" w:cs="宋体"/>
                <w:b w:val="0"/>
                <w:i w:val="0"/>
                <w:color w:val="000000"/>
                <w:sz w:val="19"/>
              </w:rPr>
              <w:t>核心算法为全新算法，按 2022 年第 8 号指导原则“全新的功能、算法和用途原则上均需开展临床评价”，辅助决策类更需开展临床试验</w:t>
            </w:r>
          </w:p>
        </w:tc>
        <w:tc>
          <w:tcPr>
            <w:tcW w:type="dxa" w:w="799"/>
            <w:shd w:val="clear" w:color="auto" w:fill="EDF3F9"/>
          </w:tcPr>
          <w:p>
            <w:pPr>
              <w:spacing w:after="0" w:line="276" w:lineRule="auto"/>
            </w:pPr>
            <w:r/>
            <w:r>
              <w:rPr>
                <w:rFonts w:ascii="宋体" w:hAnsi="宋体" w:eastAsia="宋体" w:cs="宋体"/>
                <w:b w:val="0"/>
                <w:i w:val="0"/>
                <w:color w:val="000000"/>
                <w:sz w:val="19"/>
              </w:rPr>
              <w:t>高</w:t>
            </w:r>
          </w:p>
        </w:tc>
        <w:tc>
          <w:tcPr>
            <w:tcW w:type="dxa" w:w="1826"/>
            <w:shd w:val="clear" w:color="auto" w:fill="EDF3F9"/>
          </w:tcPr>
          <w:p>
            <w:pPr>
              <w:spacing w:after="0" w:line="276" w:lineRule="auto"/>
            </w:pPr>
            <w:r/>
            <w:r>
              <w:rPr>
                <w:rFonts w:ascii="宋体" w:hAnsi="宋体" w:eastAsia="宋体" w:cs="宋体"/>
                <w:b w:val="0"/>
                <w:i w:val="0"/>
                <w:color w:val="000000"/>
                <w:sz w:val="19"/>
              </w:rPr>
              <w:t>注册周期拉长、临床与注册费用显著增加</w:t>
            </w:r>
          </w:p>
        </w:tc>
        <w:tc>
          <w:tcPr>
            <w:tcW w:type="dxa" w:w="2966"/>
            <w:shd w:val="clear" w:color="auto" w:fill="EDF3F9"/>
          </w:tcPr>
          <w:p>
            <w:pPr>
              <w:spacing w:after="0" w:line="276" w:lineRule="auto"/>
            </w:pPr>
            <w:r/>
            <w:r>
              <w:rPr>
                <w:rFonts w:ascii="宋体" w:hAnsi="宋体" w:eastAsia="宋体" w:cs="宋体"/>
                <w:b w:val="0"/>
                <w:i w:val="0"/>
                <w:color w:val="000000"/>
                <w:sz w:val="19"/>
              </w:rPr>
              <w:t>把临床评价的费用与周期纳入财务与里程碑计划；先用回顾性研究与阶段 B 一致性研究积累证据，再决定是否申报涉及辅助决策的功能</w:t>
            </w:r>
          </w:p>
        </w:tc>
      </w:tr>
      <w:tr>
        <w:tc>
          <w:tcPr>
            <w:tcW w:type="dxa" w:w="1027"/>
          </w:tcPr>
          <w:p>
            <w:pPr>
              <w:spacing w:after="0" w:line="276" w:lineRule="auto"/>
            </w:pPr>
            <w:r/>
            <w:r>
              <w:rPr>
                <w:rFonts w:ascii="宋体" w:hAnsi="宋体" w:eastAsia="宋体" w:cs="宋体"/>
                <w:b w:val="0"/>
                <w:i w:val="0"/>
                <w:color w:val="000000"/>
                <w:sz w:val="19"/>
              </w:rPr>
              <w:t>临床</w:t>
            </w:r>
          </w:p>
        </w:tc>
        <w:tc>
          <w:tcPr>
            <w:tcW w:type="dxa" w:w="2510"/>
          </w:tcPr>
          <w:p>
            <w:pPr>
              <w:spacing w:after="0" w:line="276" w:lineRule="auto"/>
            </w:pPr>
            <w:r/>
            <w:r>
              <w:rPr>
                <w:rFonts w:ascii="宋体" w:hAnsi="宋体" w:eastAsia="宋体" w:cs="宋体"/>
                <w:b w:val="0"/>
                <w:i w:val="0"/>
                <w:color w:val="000000"/>
                <w:sz w:val="19"/>
              </w:rPr>
              <w:t>训练数据不足，且公开数据库不具封闭性、不能用作测评数据库</w:t>
            </w:r>
          </w:p>
        </w:tc>
        <w:tc>
          <w:tcPr>
            <w:tcW w:type="dxa" w:w="799"/>
          </w:tcPr>
          <w:p>
            <w:pPr>
              <w:spacing w:after="0" w:line="276" w:lineRule="auto"/>
            </w:pPr>
            <w:r/>
            <w:r>
              <w:rPr>
                <w:rFonts w:ascii="宋体" w:hAnsi="宋体" w:eastAsia="宋体" w:cs="宋体"/>
                <w:b w:val="0"/>
                <w:i w:val="0"/>
                <w:color w:val="000000"/>
                <w:sz w:val="19"/>
              </w:rPr>
              <w:t>中</w:t>
            </w:r>
          </w:p>
        </w:tc>
        <w:tc>
          <w:tcPr>
            <w:tcW w:type="dxa" w:w="1826"/>
          </w:tcPr>
          <w:p>
            <w:pPr>
              <w:spacing w:after="0" w:line="276" w:lineRule="auto"/>
            </w:pPr>
            <w:r/>
            <w:r>
              <w:rPr>
                <w:rFonts w:ascii="宋体" w:hAnsi="宋体" w:eastAsia="宋体" w:cs="宋体"/>
                <w:b w:val="0"/>
                <w:i w:val="0"/>
                <w:color w:val="000000"/>
                <w:sz w:val="19"/>
              </w:rPr>
              <w:t>确认测试与外部验证无法通过审评</w:t>
            </w:r>
          </w:p>
        </w:tc>
        <w:tc>
          <w:tcPr>
            <w:tcW w:type="dxa" w:w="2966"/>
          </w:tcPr>
          <w:p>
            <w:pPr>
              <w:spacing w:after="0" w:line="276" w:lineRule="auto"/>
            </w:pPr>
            <w:r/>
            <w:r>
              <w:rPr>
                <w:rFonts w:ascii="宋体" w:hAnsi="宋体" w:eastAsia="宋体" w:cs="宋体"/>
                <w:b w:val="0"/>
                <w:i w:val="0"/>
                <w:color w:val="000000"/>
                <w:sz w:val="19"/>
              </w:rPr>
              <w:t>自建封闭测评集，覆盖多机构、多设备、多地域并包含罕见样本；训练集、调优集、测试集两两无交集并查重，测试集不做数据扩增（对抗测试除外）</w:t>
            </w:r>
          </w:p>
        </w:tc>
      </w:tr>
      <w:tr>
        <w:tc>
          <w:tcPr>
            <w:tcW w:type="dxa" w:w="1027"/>
            <w:shd w:val="clear" w:color="auto" w:fill="EDF3F9"/>
          </w:tcPr>
          <w:p>
            <w:pPr>
              <w:spacing w:after="0" w:line="276" w:lineRule="auto"/>
            </w:pPr>
            <w:r/>
            <w:r>
              <w:rPr>
                <w:rFonts w:ascii="宋体" w:hAnsi="宋体" w:eastAsia="宋体" w:cs="宋体"/>
                <w:b w:val="0"/>
                <w:i w:val="0"/>
                <w:color w:val="000000"/>
                <w:sz w:val="19"/>
              </w:rPr>
              <w:t>市场</w:t>
            </w:r>
          </w:p>
        </w:tc>
        <w:tc>
          <w:tcPr>
            <w:tcW w:type="dxa" w:w="2510"/>
            <w:shd w:val="clear" w:color="auto" w:fill="EDF3F9"/>
          </w:tcPr>
          <w:p>
            <w:pPr>
              <w:spacing w:after="0" w:line="276" w:lineRule="auto"/>
            </w:pPr>
            <w:r/>
            <w:r>
              <w:rPr>
                <w:rFonts w:ascii="宋体" w:hAnsi="宋体" w:eastAsia="宋体" w:cs="宋体"/>
                <w:b w:val="0"/>
                <w:i w:val="0"/>
                <w:color w:val="000000"/>
                <w:sz w:val="19"/>
              </w:rPr>
              <w:t>渠道被头部厂商占据，独立建渠道不现实</w:t>
            </w:r>
          </w:p>
        </w:tc>
        <w:tc>
          <w:tcPr>
            <w:tcW w:type="dxa" w:w="799"/>
            <w:shd w:val="clear" w:color="auto" w:fill="EDF3F9"/>
          </w:tcPr>
          <w:p>
            <w:pPr>
              <w:spacing w:after="0" w:line="276" w:lineRule="auto"/>
            </w:pPr>
            <w:r/>
            <w:r>
              <w:rPr>
                <w:rFonts w:ascii="宋体" w:hAnsi="宋体" w:eastAsia="宋体" w:cs="宋体"/>
                <w:b w:val="0"/>
                <w:i w:val="0"/>
                <w:color w:val="000000"/>
                <w:sz w:val="19"/>
              </w:rPr>
              <w:t>高</w:t>
            </w:r>
          </w:p>
        </w:tc>
        <w:tc>
          <w:tcPr>
            <w:tcW w:type="dxa" w:w="1826"/>
            <w:shd w:val="clear" w:color="auto" w:fill="EDF3F9"/>
          </w:tcPr>
          <w:p>
            <w:pPr>
              <w:spacing w:after="0" w:line="276" w:lineRule="auto"/>
            </w:pPr>
            <w:r/>
            <w:r>
              <w:rPr>
                <w:rFonts w:ascii="宋体" w:hAnsi="宋体" w:eastAsia="宋体" w:cs="宋体"/>
                <w:b w:val="0"/>
                <w:i w:val="0"/>
                <w:color w:val="000000"/>
                <w:sz w:val="19"/>
              </w:rPr>
              <w:t>C 端与院内放量节奏低于预期</w:t>
            </w:r>
          </w:p>
        </w:tc>
        <w:tc>
          <w:tcPr>
            <w:tcW w:type="dxa" w:w="2966"/>
            <w:shd w:val="clear" w:color="auto" w:fill="EDF3F9"/>
          </w:tcPr>
          <w:p>
            <w:pPr>
              <w:spacing w:after="0" w:line="276" w:lineRule="auto"/>
            </w:pPr>
            <w:r/>
            <w:r>
              <w:rPr>
                <w:rFonts w:ascii="宋体" w:hAnsi="宋体" w:eastAsia="宋体" w:cs="宋体"/>
                <w:b w:val="0"/>
                <w:i w:val="0"/>
                <w:color w:val="000000"/>
                <w:sz w:val="19"/>
              </w:rPr>
              <w:t>定位为算法与方案供应商，与鱼跃医疗、怡和嘉业、可孚等渠道商合作或被集成；把药企临床研究服务作为不依赖自有渠道的早期现金流</w:t>
            </w:r>
          </w:p>
        </w:tc>
      </w:tr>
      <w:tr>
        <w:tc>
          <w:tcPr>
            <w:tcW w:type="dxa" w:w="1027"/>
          </w:tcPr>
          <w:p>
            <w:pPr>
              <w:spacing w:after="0" w:line="276" w:lineRule="auto"/>
            </w:pPr>
            <w:r/>
            <w:r>
              <w:rPr>
                <w:rFonts w:ascii="宋体" w:hAnsi="宋体" w:eastAsia="宋体" w:cs="宋体"/>
                <w:b w:val="0"/>
                <w:i w:val="0"/>
                <w:color w:val="000000"/>
                <w:sz w:val="19"/>
              </w:rPr>
              <w:t>市场</w:t>
            </w:r>
          </w:p>
        </w:tc>
        <w:tc>
          <w:tcPr>
            <w:tcW w:type="dxa" w:w="2510"/>
          </w:tcPr>
          <w:p>
            <w:pPr>
              <w:spacing w:after="0" w:line="276" w:lineRule="auto"/>
            </w:pPr>
            <w:r/>
            <w:r>
              <w:rPr>
                <w:rFonts w:ascii="宋体" w:hAnsi="宋体" w:eastAsia="宋体" w:cs="宋体"/>
                <w:b w:val="0"/>
                <w:i w:val="0"/>
                <w:color w:val="000000"/>
                <w:sz w:val="19"/>
              </w:rPr>
              <w:t>Hyfe 已公开主张端侧隐私架构，并具备 733,756 次咳嗽、2,143 名患者、7 国的数据规模</w:t>
            </w:r>
          </w:p>
        </w:tc>
        <w:tc>
          <w:tcPr>
            <w:tcW w:type="dxa" w:w="799"/>
          </w:tcPr>
          <w:p>
            <w:pPr>
              <w:spacing w:after="0" w:line="276" w:lineRule="auto"/>
            </w:pPr>
            <w:r/>
            <w:r>
              <w:rPr>
                <w:rFonts w:ascii="宋体" w:hAnsi="宋体" w:eastAsia="宋体" w:cs="宋体"/>
                <w:b w:val="0"/>
                <w:i w:val="0"/>
                <w:color w:val="000000"/>
                <w:sz w:val="19"/>
              </w:rPr>
              <w:t>中</w:t>
            </w:r>
          </w:p>
        </w:tc>
        <w:tc>
          <w:tcPr>
            <w:tcW w:type="dxa" w:w="1826"/>
          </w:tcPr>
          <w:p>
            <w:pPr>
              <w:spacing w:after="0" w:line="276" w:lineRule="auto"/>
            </w:pPr>
            <w:r/>
            <w:r>
              <w:rPr>
                <w:rFonts w:ascii="宋体" w:hAnsi="宋体" w:eastAsia="宋体" w:cs="宋体"/>
                <w:b w:val="0"/>
                <w:i w:val="0"/>
                <w:color w:val="000000"/>
                <w:sz w:val="19"/>
              </w:rPr>
              <w:t>“端侧隐私”与“数据壁垒”两条差异化叙事被削弱</w:t>
            </w:r>
          </w:p>
        </w:tc>
        <w:tc>
          <w:tcPr>
            <w:tcW w:type="dxa" w:w="2966"/>
          </w:tcPr>
          <w:p>
            <w:pPr>
              <w:spacing w:after="0" w:line="276" w:lineRule="auto"/>
            </w:pPr>
            <w:r/>
            <w:r>
              <w:rPr>
                <w:rFonts w:ascii="宋体" w:hAnsi="宋体" w:eastAsia="宋体" w:cs="宋体"/>
                <w:b w:val="0"/>
                <w:i w:val="0"/>
                <w:color w:val="000000"/>
                <w:sz w:val="19"/>
              </w:rPr>
              <w:t>差异化改落在国产硬件化边缘端（RK3576 独立算力盒）、中文人群适配、多指标融合与成本结构；数据策略聚焦特定人群与特定场景</w:t>
            </w:r>
          </w:p>
        </w:tc>
      </w:tr>
    </w:tbl>
    <w:p>
      <w:pPr>
        <w:spacing w:after="40"/>
      </w:pPr>
    </w:p>
    <w:p>
      <w:pPr>
        <w:pStyle w:val="Heading2"/>
      </w:pPr>
      <w:r>
        <w:rPr>
          <w:rFonts w:ascii="宋体" w:hAnsi="宋体" w:eastAsia="宋体" w:cs="宋体"/>
          <w:b/>
          <w:i w:val="0"/>
          <w:color w:val="2E74B5"/>
          <w:sz w:val="25"/>
        </w:rPr>
        <w:t>10.1 关键假设与敏感性</w:t>
      </w:r>
    </w:p>
    <w:p>
      <w:pPr>
        <w:spacing w:after="40" w:line="324" w:lineRule="auto"/>
        <w:ind w:left="425" w:hanging="283"/>
      </w:pPr>
      <w:r>
        <w:rPr>
          <w:rFonts w:ascii="宋体" w:hAnsi="宋体" w:eastAsia="宋体" w:cs="宋体"/>
          <w:b w:val="0"/>
          <w:i w:val="0"/>
          <w:color w:val="2E74B5"/>
          <w:sz w:val="18"/>
        </w:rPr>
        <w:t xml:space="preserve">● </w:t>
      </w:r>
      <w:r>
        <w:rPr>
          <w:rFonts w:ascii="宋体" w:hAnsi="宋体" w:eastAsia="宋体" w:cs="宋体"/>
          <w:b/>
          <w:i w:val="0"/>
          <w:color w:val="000000"/>
          <w:sz w:val="21"/>
        </w:rPr>
        <w:t>咳嗽检测 F1 是核心假设：</w:t>
      </w:r>
      <w:r>
        <w:rPr>
          <w:rFonts w:ascii="宋体" w:hAnsi="宋体" w:eastAsia="宋体" w:cs="宋体"/>
          <w:b w:val="0"/>
          <w:i w:val="0"/>
          <w:color w:val="000000"/>
          <w:sz w:val="21"/>
        </w:rPr>
        <w:t>若 F1 低于 0.80，产品仅能作为趋势参考，需把定位从「量化监测」调整为「变化提示」，并相应调整宣传与技术路线。</w:t>
      </w:r>
    </w:p>
    <w:p>
      <w:pPr>
        <w:spacing w:after="40" w:line="324" w:lineRule="auto"/>
        <w:ind w:left="425" w:hanging="283"/>
      </w:pPr>
      <w:r>
        <w:rPr>
          <w:rFonts w:ascii="宋体" w:hAnsi="宋体" w:eastAsia="宋体" w:cs="宋体"/>
          <w:b w:val="0"/>
          <w:i w:val="0"/>
          <w:color w:val="2E74B5"/>
          <w:sz w:val="18"/>
        </w:rPr>
        <w:t xml:space="preserve">● </w:t>
      </w:r>
      <w:r>
        <w:rPr>
          <w:rFonts w:ascii="宋体" w:hAnsi="宋体" w:eastAsia="宋体" w:cs="宋体"/>
          <w:b/>
          <w:i w:val="0"/>
          <w:color w:val="000000"/>
          <w:sz w:val="21"/>
        </w:rPr>
        <w:t>用户续费率是订阅模式的关键：</w:t>
      </w:r>
      <w:r>
        <w:rPr>
          <w:rFonts w:ascii="宋体" w:hAnsi="宋体" w:eastAsia="宋体" w:cs="宋体"/>
          <w:b w:val="0"/>
          <w:i w:val="0"/>
          <w:color w:val="000000"/>
          <w:sz w:val="21"/>
        </w:rPr>
        <w:t>续费率从 60% 降至 30%，第 3 年订阅收入将接近减半，需通过医生背书与报告价值提升留存。</w:t>
      </w:r>
    </w:p>
    <w:p>
      <w:pPr>
        <w:spacing w:after="40" w:line="324" w:lineRule="auto"/>
        <w:ind w:left="425" w:hanging="283"/>
      </w:pPr>
      <w:r>
        <w:rPr>
          <w:rFonts w:ascii="宋体" w:hAnsi="宋体" w:eastAsia="宋体" w:cs="宋体"/>
          <w:b w:val="0"/>
          <w:i w:val="0"/>
          <w:color w:val="2E74B5"/>
          <w:sz w:val="18"/>
        </w:rPr>
        <w:t xml:space="preserve">● </w:t>
      </w:r>
      <w:r>
        <w:rPr>
          <w:rFonts w:ascii="宋体" w:hAnsi="宋体" w:eastAsia="宋体" w:cs="宋体"/>
          <w:b/>
          <w:i w:val="0"/>
          <w:color w:val="000000"/>
          <w:sz w:val="21"/>
        </w:rPr>
        <w:t>注册进度影响院内收入启动时间：</w:t>
      </w:r>
      <w:r>
        <w:rPr>
          <w:rFonts w:ascii="宋体" w:hAnsi="宋体" w:eastAsia="宋体" w:cs="宋体"/>
          <w:b w:val="0"/>
          <w:i w:val="0"/>
          <w:color w:val="000000"/>
          <w:sz w:val="21"/>
        </w:rPr>
        <w:t>注册每推迟 6 个月，第 2 年院内收入约推迟一个销售周期，需用 C 端与药企收入对冲现金流风险。</w:t>
      </w:r>
    </w:p>
    <w:p>
      <w:pPr>
        <w:spacing w:after="40" w:line="324" w:lineRule="auto"/>
        <w:ind w:left="425" w:hanging="283"/>
      </w:pPr>
      <w:r>
        <w:rPr>
          <w:rFonts w:ascii="宋体" w:hAnsi="宋体" w:eastAsia="宋体" w:cs="宋体"/>
          <w:b w:val="0"/>
          <w:i w:val="0"/>
          <w:color w:val="2E74B5"/>
          <w:sz w:val="18"/>
        </w:rPr>
        <w:t xml:space="preserve">● </w:t>
      </w:r>
      <w:r>
        <w:rPr>
          <w:rFonts w:ascii="宋体" w:hAnsi="宋体" w:eastAsia="宋体" w:cs="宋体"/>
          <w:b/>
          <w:i w:val="0"/>
          <w:color w:val="000000"/>
          <w:sz w:val="21"/>
        </w:rPr>
        <w:t>硬件成本是下沉市场的门槛：</w:t>
      </w:r>
      <w:r>
        <w:rPr>
          <w:rFonts w:ascii="宋体" w:hAnsi="宋体" w:eastAsia="宋体" w:cs="宋体"/>
          <w:b w:val="0"/>
          <w:i w:val="0"/>
          <w:color w:val="000000"/>
          <w:sz w:val="21"/>
        </w:rPr>
        <w:t>单台成本若无法降至 300 元以内，基层与家庭市场的价格竞争力将明显下降。</w:t>
      </w:r>
    </w:p>
    <w:p>
      <w:pPr>
        <w:spacing w:after="40" w:line="324" w:lineRule="auto"/>
        <w:ind w:left="425" w:hanging="283"/>
      </w:pPr>
      <w:r>
        <w:rPr>
          <w:rFonts w:ascii="宋体" w:hAnsi="宋体" w:eastAsia="宋体" w:cs="宋体"/>
          <w:b w:val="0"/>
          <w:i w:val="0"/>
          <w:color w:val="2E74B5"/>
          <w:sz w:val="18"/>
        </w:rPr>
        <w:t xml:space="preserve">● </w:t>
      </w:r>
      <w:r>
        <w:rPr>
          <w:rFonts w:ascii="宋体" w:hAnsi="宋体" w:eastAsia="宋体" w:cs="宋体"/>
          <w:b/>
          <w:i w:val="0"/>
          <w:color w:val="000000"/>
          <w:sz w:val="21"/>
        </w:rPr>
        <w:t>药企项目是最确定的早期收入：</w:t>
      </w:r>
      <w:r>
        <w:rPr>
          <w:rFonts w:ascii="宋体" w:hAnsi="宋体" w:eastAsia="宋体" w:cs="宋体"/>
          <w:b w:val="0"/>
          <w:i w:val="0"/>
          <w:color w:val="000000"/>
          <w:sz w:val="21"/>
        </w:rPr>
        <w:t>单个项目金额大、决策链条相对短，但依赖临床证据积累，应尽早启动小规模合作建立案例；同时须注意该赛道的客户对终点工具的口径极其敏感，任何“FDA 已批准 24 小时咳嗽计数作为终点”式的过度表述都会直接损害可信度。</w:t>
      </w:r>
    </w:p>
    <w:p>
      <w:pPr>
        <w:spacing w:after="40" w:line="324" w:lineRule="auto"/>
        <w:ind w:left="425" w:hanging="283"/>
      </w:pPr>
      <w:r>
        <w:rPr>
          <w:rFonts w:ascii="宋体" w:hAnsi="宋体" w:eastAsia="宋体" w:cs="宋体"/>
          <w:b w:val="0"/>
          <w:i w:val="0"/>
          <w:color w:val="2E74B5"/>
          <w:sz w:val="18"/>
        </w:rPr>
        <w:t xml:space="preserve">● </w:t>
      </w:r>
      <w:r>
        <w:rPr>
          <w:rFonts w:ascii="宋体" w:hAnsi="宋体" w:eastAsia="宋体" w:cs="宋体"/>
          <w:b/>
          <w:i w:val="0"/>
          <w:color w:val="000000"/>
          <w:sz w:val="21"/>
        </w:rPr>
        <w:t>监管口径是隐性变量：</w:t>
      </w:r>
      <w:r>
        <w:rPr>
          <w:rFonts w:ascii="宋体" w:hAnsi="宋体" w:eastAsia="宋体" w:cs="宋体"/>
          <w:b w:val="0"/>
          <w:i w:val="0"/>
          <w:color w:val="000000"/>
          <w:sz w:val="21"/>
        </w:rPr>
        <w:t>24 小时咳嗽计数虽已被用作注册试验主要终点的测量方法，但其独立支持获批的地位仍在演进（FDA 顾问委员会 12:1 反对 gefapixant 获批）。若客户按“疗效终点工具”采购而监管口径收紧，药企服务收入可能延后；应对方式是把交付物定位为客观测量与一致性证据（ICC、Bland-Altman、假阳性率），而非疗效结论。</w:t>
      </w:r>
    </w:p>
    <w:p>
      <w:pPr>
        <w:spacing w:after="40" w:line="324" w:lineRule="auto"/>
        <w:ind w:left="425" w:hanging="283"/>
      </w:pPr>
      <w:r>
        <w:rPr>
          <w:rFonts w:ascii="宋体" w:hAnsi="宋体" w:eastAsia="宋体" w:cs="宋体"/>
          <w:b w:val="0"/>
          <w:i w:val="0"/>
          <w:color w:val="2E74B5"/>
          <w:sz w:val="18"/>
        </w:rPr>
        <w:t xml:space="preserve">● </w:t>
      </w:r>
      <w:r>
        <w:rPr>
          <w:rFonts w:ascii="宋体" w:hAnsi="宋体" w:eastAsia="宋体" w:cs="宋体"/>
          <w:b/>
          <w:i w:val="0"/>
          <w:color w:val="000000"/>
          <w:sz w:val="21"/>
        </w:rPr>
        <w:t>分类界定结果决定周期与成本：</w:t>
      </w:r>
      <w:r>
        <w:rPr>
          <w:rFonts w:ascii="宋体" w:hAnsi="宋体" w:eastAsia="宋体" w:cs="宋体"/>
          <w:b w:val="0"/>
          <w:i w:val="0"/>
          <w:color w:val="000000"/>
          <w:sz w:val="21"/>
        </w:rPr>
        <w:t>若被界定为第二类数据处理软件，可按注册检验 + 临床评价路径推进；若因加入预警或用药建议表述被界定为第三类决策支持软件，则需开展临床试验，周期与费用将成倍增加。因此宣称边界的管理直接影响财务模型。</w:t>
      </w:r>
    </w:p>
    <w:p>
      <w:pPr>
        <w:spacing w:after="40" w:line="324" w:lineRule="auto"/>
        <w:ind w:left="425" w:hanging="283"/>
      </w:pPr>
      <w:r>
        <w:rPr>
          <w:rFonts w:ascii="宋体" w:hAnsi="宋体" w:eastAsia="宋体" w:cs="宋体"/>
          <w:b w:val="0"/>
          <w:i w:val="0"/>
          <w:color w:val="2E74B5"/>
          <w:sz w:val="18"/>
        </w:rPr>
        <w:t xml:space="preserve">● </w:t>
      </w:r>
      <w:r>
        <w:rPr>
          <w:rFonts w:ascii="宋体" w:hAnsi="宋体" w:eastAsia="宋体" w:cs="宋体"/>
          <w:b/>
          <w:i w:val="0"/>
          <w:color w:val="000000"/>
          <w:sz w:val="21"/>
        </w:rPr>
        <w:t>外部验证能力是差异化能否兑现的关键：</w:t>
      </w:r>
      <w:r>
        <w:rPr>
          <w:rFonts w:ascii="宋体" w:hAnsi="宋体" w:eastAsia="宋体" w:cs="宋体"/>
          <w:b w:val="0"/>
          <w:i w:val="0"/>
          <w:color w:val="000000"/>
          <w:sz w:val="21"/>
        </w:rPr>
        <w:t>行业系统综述显示仅约 11% 的研究开展外部验证、71%–88% 存在高偏倚风险。若本项目无法完成独立外部验证，则“严格验证”这一差异化优势不成立，将退化为与同类算法正面比数据量的不利竞争。</w:t>
      </w:r>
    </w:p>
    <w:p>
      <w:pPr>
        <w:spacing w:after="40" w:line="324" w:lineRule="auto"/>
        <w:ind w:left="425" w:hanging="283"/>
      </w:pPr>
      <w:r>
        <w:rPr>
          <w:rFonts w:ascii="宋体" w:hAnsi="宋体" w:eastAsia="宋体" w:cs="宋体"/>
          <w:b w:val="0"/>
          <w:i w:val="0"/>
          <w:color w:val="2E74B5"/>
          <w:sz w:val="18"/>
        </w:rPr>
        <w:t xml:space="preserve">● </w:t>
      </w:r>
      <w:r>
        <w:rPr>
          <w:rFonts w:ascii="宋体" w:hAnsi="宋体" w:eastAsia="宋体" w:cs="宋体"/>
          <w:b/>
          <w:i w:val="0"/>
          <w:color w:val="000000"/>
          <w:sz w:val="21"/>
        </w:rPr>
        <w:t>渠道依赖度：</w:t>
      </w:r>
      <w:r>
        <w:rPr>
          <w:rFonts w:ascii="宋体" w:hAnsi="宋体" w:eastAsia="宋体" w:cs="宋体"/>
          <w:b w:val="0"/>
          <w:i w:val="0"/>
          <w:color w:val="000000"/>
          <w:sz w:val="21"/>
        </w:rPr>
        <w:t>鱼跃医疗（2024 年营收 75.66 亿元）与怡和嘉业已占据家用呼吸渠道与品牌，本项目独立建渠道的成功概率低。若合作或被集成谈判失败，C 端与院内放量将显著迟于财务预测，需提前准备与区域经销商或互联网医疗平台的备选方案。</w:t>
      </w:r>
    </w:p>
    <w:p>
      <w:r>
        <w:br w:type="page"/>
      </w:r>
    </w:p>
    <w:p>
      <w:pPr>
        <w:pStyle w:val="Heading1"/>
      </w:pPr>
      <w:r>
        <w:rPr>
          <w:rFonts w:ascii="宋体" w:hAnsi="宋体" w:eastAsia="宋体" w:cs="宋体"/>
          <w:b/>
          <w:i w:val="0"/>
          <w:color w:val="1F4E79"/>
          <w:sz w:val="30"/>
        </w:rPr>
        <w:t>附录 A 术语表</w:t>
      </w:r>
    </w:p>
    <w:tbl>
      <w:tblPr>
        <w:tblStyle w:val="TableGrid"/>
        <w:jc w:val="center"/>
        <w:tblLook w:firstColumn="1" w:firstRow="1" w:lastColumn="0" w:lastRow="0" w:noHBand="0" w:noVBand="1" w:val="04A0"/>
        <w:tblCellMar>
          <w:top w:w="60" w:type="dxa"/>
          <w:left w:w="90" w:type="dxa"/>
          <w:bottom w:w="60" w:type="dxa"/>
          <w:right w:w="90" w:type="dxa"/>
        </w:tblCellMar>
        <w:tblW w:w="9129" w:type="dxa"/>
        <w:tblLayout w:type="fixed"/>
      </w:tblPr>
      <w:tblGrid>
        <w:gridCol w:w="1712"/>
        <w:gridCol w:w="2510"/>
        <w:gridCol w:w="4907"/>
      </w:tblGrid>
      <w:tr>
        <w:trPr>
          <w:tblHeader w:val="true"/>
        </w:trPr>
        <w:tc>
          <w:tcPr>
            <w:tcW w:type="dxa" w:w="1711"/>
            <w:shd w:val="clear" w:color="auto" w:fill="1F4E79"/>
          </w:tcPr>
          <w:p>
            <w:pPr>
              <w:spacing w:after="0" w:line="276" w:lineRule="auto"/>
              <w:jc w:val="center"/>
            </w:pPr>
            <w:r/>
            <w:r>
              <w:rPr>
                <w:rFonts w:ascii="宋体" w:hAnsi="宋体" w:eastAsia="宋体" w:cs="宋体"/>
                <w:b/>
                <w:i w:val="0"/>
                <w:color w:val="FFFFFF"/>
                <w:sz w:val="19"/>
              </w:rPr>
              <w:t>术语 / 缩写</w:t>
            </w:r>
          </w:p>
        </w:tc>
        <w:tc>
          <w:tcPr>
            <w:tcW w:type="dxa" w:w="2510"/>
            <w:shd w:val="clear" w:color="auto" w:fill="1F4E79"/>
          </w:tcPr>
          <w:p>
            <w:pPr>
              <w:spacing w:after="0" w:line="276" w:lineRule="auto"/>
              <w:jc w:val="center"/>
            </w:pPr>
            <w:r/>
            <w:r>
              <w:rPr>
                <w:rFonts w:ascii="宋体" w:hAnsi="宋体" w:eastAsia="宋体" w:cs="宋体"/>
                <w:b/>
                <w:i w:val="0"/>
                <w:color w:val="FFFFFF"/>
                <w:sz w:val="19"/>
              </w:rPr>
              <w:t>全称</w:t>
            </w:r>
          </w:p>
        </w:tc>
        <w:tc>
          <w:tcPr>
            <w:tcW w:type="dxa" w:w="4906"/>
            <w:shd w:val="clear" w:color="auto" w:fill="1F4E79"/>
          </w:tcPr>
          <w:p>
            <w:pPr>
              <w:spacing w:after="0" w:line="276" w:lineRule="auto"/>
              <w:jc w:val="center"/>
            </w:pPr>
            <w:r/>
            <w:r>
              <w:rPr>
                <w:rFonts w:ascii="宋体" w:hAnsi="宋体" w:eastAsia="宋体" w:cs="宋体"/>
                <w:b/>
                <w:i w:val="0"/>
                <w:color w:val="FFFFFF"/>
                <w:sz w:val="19"/>
              </w:rPr>
              <w:t>含义说明</w:t>
            </w:r>
          </w:p>
        </w:tc>
      </w:tr>
      <w:tr>
        <w:tc>
          <w:tcPr>
            <w:tcW w:type="dxa" w:w="1711"/>
          </w:tcPr>
          <w:p>
            <w:pPr>
              <w:spacing w:after="0" w:line="276" w:lineRule="auto"/>
            </w:pPr>
            <w:r/>
            <w:r>
              <w:rPr>
                <w:rFonts w:ascii="宋体" w:hAnsi="宋体" w:eastAsia="宋体" w:cs="宋体"/>
                <w:b w:val="0"/>
                <w:i w:val="0"/>
                <w:color w:val="000000"/>
                <w:sz w:val="19"/>
              </w:rPr>
              <w:t>COPD</w:t>
            </w:r>
          </w:p>
        </w:tc>
        <w:tc>
          <w:tcPr>
            <w:tcW w:type="dxa" w:w="2510"/>
          </w:tcPr>
          <w:p>
            <w:pPr>
              <w:spacing w:after="0" w:line="276" w:lineRule="auto"/>
            </w:pPr>
            <w:r/>
            <w:r>
              <w:rPr>
                <w:rFonts w:ascii="宋体" w:hAnsi="宋体" w:eastAsia="宋体" w:cs="宋体"/>
                <w:b w:val="0"/>
                <w:i w:val="0"/>
                <w:color w:val="000000"/>
                <w:sz w:val="19"/>
              </w:rPr>
              <w:t>Chronic Obstructive Pulmonary Disease</w:t>
            </w:r>
          </w:p>
        </w:tc>
        <w:tc>
          <w:tcPr>
            <w:tcW w:type="dxa" w:w="4906"/>
          </w:tcPr>
          <w:p>
            <w:pPr>
              <w:spacing w:after="0" w:line="276" w:lineRule="auto"/>
            </w:pPr>
            <w:r/>
            <w:r>
              <w:rPr>
                <w:rFonts w:ascii="宋体" w:hAnsi="宋体" w:eastAsia="宋体" w:cs="宋体"/>
                <w:b w:val="0"/>
                <w:i w:val="0"/>
                <w:color w:val="000000"/>
                <w:sz w:val="19"/>
              </w:rPr>
              <w:t>慢性阻塞性肺疾病，以持续气流受限为特征</w:t>
            </w:r>
          </w:p>
        </w:tc>
      </w:tr>
      <w:tr>
        <w:tc>
          <w:tcPr>
            <w:tcW w:type="dxa" w:w="1711"/>
            <w:shd w:val="clear" w:color="auto" w:fill="EDF3F9"/>
          </w:tcPr>
          <w:p>
            <w:pPr>
              <w:spacing w:after="0" w:line="276" w:lineRule="auto"/>
            </w:pPr>
            <w:r/>
            <w:r>
              <w:rPr>
                <w:rFonts w:ascii="宋体" w:hAnsi="宋体" w:eastAsia="宋体" w:cs="宋体"/>
                <w:b w:val="0"/>
                <w:i w:val="0"/>
                <w:color w:val="000000"/>
                <w:sz w:val="19"/>
              </w:rPr>
              <w:t>SaMD</w:t>
            </w:r>
          </w:p>
        </w:tc>
        <w:tc>
          <w:tcPr>
            <w:tcW w:type="dxa" w:w="2510"/>
            <w:shd w:val="clear" w:color="auto" w:fill="EDF3F9"/>
          </w:tcPr>
          <w:p>
            <w:pPr>
              <w:spacing w:after="0" w:line="276" w:lineRule="auto"/>
            </w:pPr>
            <w:r/>
            <w:r>
              <w:rPr>
                <w:rFonts w:ascii="宋体" w:hAnsi="宋体" w:eastAsia="宋体" w:cs="宋体"/>
                <w:b w:val="0"/>
                <w:i w:val="0"/>
                <w:color w:val="000000"/>
                <w:sz w:val="19"/>
              </w:rPr>
              <w:t>Software as a Medical Device</w:t>
            </w:r>
          </w:p>
        </w:tc>
        <w:tc>
          <w:tcPr>
            <w:tcW w:type="dxa" w:w="4906"/>
            <w:shd w:val="clear" w:color="auto" w:fill="EDF3F9"/>
          </w:tcPr>
          <w:p>
            <w:pPr>
              <w:spacing w:after="0" w:line="276" w:lineRule="auto"/>
            </w:pPr>
            <w:r/>
            <w:r>
              <w:rPr>
                <w:rFonts w:ascii="宋体" w:hAnsi="宋体" w:eastAsia="宋体" w:cs="宋体"/>
                <w:b w:val="0"/>
                <w:i w:val="0"/>
                <w:color w:val="000000"/>
                <w:sz w:val="19"/>
              </w:rPr>
              <w:t>作为医疗器械的软件，独立软件形态</w:t>
            </w:r>
          </w:p>
        </w:tc>
      </w:tr>
      <w:tr>
        <w:tc>
          <w:tcPr>
            <w:tcW w:type="dxa" w:w="1711"/>
          </w:tcPr>
          <w:p>
            <w:pPr>
              <w:spacing w:after="0" w:line="276" w:lineRule="auto"/>
            </w:pPr>
            <w:r/>
            <w:r>
              <w:rPr>
                <w:rFonts w:ascii="宋体" w:hAnsi="宋体" w:eastAsia="宋体" w:cs="宋体"/>
                <w:b w:val="0"/>
                <w:i w:val="0"/>
                <w:color w:val="000000"/>
                <w:sz w:val="19"/>
              </w:rPr>
              <w:t>NPU</w:t>
            </w:r>
          </w:p>
        </w:tc>
        <w:tc>
          <w:tcPr>
            <w:tcW w:type="dxa" w:w="2510"/>
          </w:tcPr>
          <w:p>
            <w:pPr>
              <w:spacing w:after="0" w:line="276" w:lineRule="auto"/>
            </w:pPr>
            <w:r/>
            <w:r>
              <w:rPr>
                <w:rFonts w:ascii="宋体" w:hAnsi="宋体" w:eastAsia="宋体" w:cs="宋体"/>
                <w:b w:val="0"/>
                <w:i w:val="0"/>
                <w:color w:val="000000"/>
                <w:sz w:val="19"/>
              </w:rPr>
              <w:t>Neural Processing Unit</w:t>
            </w:r>
          </w:p>
        </w:tc>
        <w:tc>
          <w:tcPr>
            <w:tcW w:type="dxa" w:w="4906"/>
          </w:tcPr>
          <w:p>
            <w:pPr>
              <w:spacing w:after="0" w:line="276" w:lineRule="auto"/>
            </w:pPr>
            <w:r/>
            <w:r>
              <w:rPr>
                <w:rFonts w:ascii="宋体" w:hAnsi="宋体" w:eastAsia="宋体" w:cs="宋体"/>
                <w:b w:val="0"/>
                <w:i w:val="0"/>
                <w:color w:val="000000"/>
                <w:sz w:val="19"/>
              </w:rPr>
              <w:t>神经网络处理器，负责 AI 推理加速</w:t>
            </w:r>
          </w:p>
        </w:tc>
      </w:tr>
      <w:tr>
        <w:tc>
          <w:tcPr>
            <w:tcW w:type="dxa" w:w="1711"/>
            <w:shd w:val="clear" w:color="auto" w:fill="EDF3F9"/>
          </w:tcPr>
          <w:p>
            <w:pPr>
              <w:spacing w:after="0" w:line="276" w:lineRule="auto"/>
            </w:pPr>
            <w:r/>
            <w:r>
              <w:rPr>
                <w:rFonts w:ascii="宋体" w:hAnsi="宋体" w:eastAsia="宋体" w:cs="宋体"/>
                <w:b w:val="0"/>
                <w:i w:val="0"/>
                <w:color w:val="000000"/>
                <w:sz w:val="19"/>
              </w:rPr>
              <w:t>RKNN</w:t>
            </w:r>
          </w:p>
        </w:tc>
        <w:tc>
          <w:tcPr>
            <w:tcW w:type="dxa" w:w="2510"/>
            <w:shd w:val="clear" w:color="auto" w:fill="EDF3F9"/>
          </w:tcPr>
          <w:p>
            <w:pPr>
              <w:spacing w:after="0" w:line="276" w:lineRule="auto"/>
            </w:pPr>
            <w:r/>
            <w:r>
              <w:rPr>
                <w:rFonts w:ascii="宋体" w:hAnsi="宋体" w:eastAsia="宋体" w:cs="宋体"/>
                <w:b w:val="0"/>
                <w:i w:val="0"/>
                <w:color w:val="000000"/>
                <w:sz w:val="19"/>
              </w:rPr>
              <w:t>Rockchip Neural Network</w:t>
            </w:r>
          </w:p>
        </w:tc>
        <w:tc>
          <w:tcPr>
            <w:tcW w:type="dxa" w:w="4906"/>
            <w:shd w:val="clear" w:color="auto" w:fill="EDF3F9"/>
          </w:tcPr>
          <w:p>
            <w:pPr>
              <w:spacing w:after="0" w:line="276" w:lineRule="auto"/>
            </w:pPr>
            <w:r/>
            <w:r>
              <w:rPr>
                <w:rFonts w:ascii="宋体" w:hAnsi="宋体" w:eastAsia="宋体" w:cs="宋体"/>
                <w:b w:val="0"/>
                <w:i w:val="0"/>
                <w:color w:val="000000"/>
                <w:sz w:val="19"/>
              </w:rPr>
              <w:t>瑞芯微 NPU 的模型格式与工具链体系</w:t>
            </w:r>
          </w:p>
        </w:tc>
      </w:tr>
      <w:tr>
        <w:tc>
          <w:tcPr>
            <w:tcW w:type="dxa" w:w="1711"/>
          </w:tcPr>
          <w:p>
            <w:pPr>
              <w:spacing w:after="0" w:line="276" w:lineRule="auto"/>
            </w:pPr>
            <w:r/>
            <w:r>
              <w:rPr>
                <w:rFonts w:ascii="宋体" w:hAnsi="宋体" w:eastAsia="宋体" w:cs="宋体"/>
                <w:b w:val="0"/>
                <w:i w:val="0"/>
                <w:color w:val="000000"/>
                <w:sz w:val="19"/>
              </w:rPr>
              <w:t>PTQ / QAT</w:t>
            </w:r>
          </w:p>
        </w:tc>
        <w:tc>
          <w:tcPr>
            <w:tcW w:type="dxa" w:w="2510"/>
          </w:tcPr>
          <w:p>
            <w:pPr>
              <w:spacing w:after="0" w:line="276" w:lineRule="auto"/>
            </w:pPr>
            <w:r/>
            <w:r>
              <w:rPr>
                <w:rFonts w:ascii="宋体" w:hAnsi="宋体" w:eastAsia="宋体" w:cs="宋体"/>
                <w:b w:val="0"/>
                <w:i w:val="0"/>
                <w:color w:val="000000"/>
                <w:sz w:val="19"/>
              </w:rPr>
              <w:t>Post-Training Quantization / Quantization-Aware Training</w:t>
            </w:r>
          </w:p>
        </w:tc>
        <w:tc>
          <w:tcPr>
            <w:tcW w:type="dxa" w:w="4906"/>
          </w:tcPr>
          <w:p>
            <w:pPr>
              <w:spacing w:after="0" w:line="276" w:lineRule="auto"/>
            </w:pPr>
            <w:r/>
            <w:r>
              <w:rPr>
                <w:rFonts w:ascii="宋体" w:hAnsi="宋体" w:eastAsia="宋体" w:cs="宋体"/>
                <w:b w:val="0"/>
                <w:i w:val="0"/>
                <w:color w:val="000000"/>
                <w:sz w:val="19"/>
              </w:rPr>
              <w:t>训练后量化与量化感知训练，两种降低模型精度位宽的方法</w:t>
            </w:r>
          </w:p>
        </w:tc>
      </w:tr>
      <w:tr>
        <w:tc>
          <w:tcPr>
            <w:tcW w:type="dxa" w:w="1711"/>
            <w:shd w:val="clear" w:color="auto" w:fill="EDF3F9"/>
          </w:tcPr>
          <w:p>
            <w:pPr>
              <w:spacing w:after="0" w:line="276" w:lineRule="auto"/>
            </w:pPr>
            <w:r/>
            <w:r>
              <w:rPr>
                <w:rFonts w:ascii="宋体" w:hAnsi="宋体" w:eastAsia="宋体" w:cs="宋体"/>
                <w:b w:val="0"/>
                <w:i w:val="0"/>
                <w:color w:val="000000"/>
                <w:sz w:val="19"/>
              </w:rPr>
              <w:t>INT8 / FP16</w:t>
            </w:r>
          </w:p>
        </w:tc>
        <w:tc>
          <w:tcPr>
            <w:tcW w:type="dxa" w:w="2510"/>
            <w:shd w:val="clear" w:color="auto" w:fill="EDF3F9"/>
          </w:tcPr>
          <w:p>
            <w:pPr>
              <w:spacing w:after="0" w:line="276" w:lineRule="auto"/>
            </w:pPr>
            <w:r/>
            <w:r>
              <w:rPr>
                <w:rFonts w:ascii="宋体" w:hAnsi="宋体" w:eastAsia="宋体" w:cs="宋体"/>
                <w:b w:val="0"/>
                <w:i w:val="0"/>
                <w:color w:val="000000"/>
                <w:sz w:val="19"/>
              </w:rPr>
              <w:t>—</w:t>
            </w:r>
          </w:p>
        </w:tc>
        <w:tc>
          <w:tcPr>
            <w:tcW w:type="dxa" w:w="4906"/>
            <w:shd w:val="clear" w:color="auto" w:fill="EDF3F9"/>
          </w:tcPr>
          <w:p>
            <w:pPr>
              <w:spacing w:after="0" w:line="276" w:lineRule="auto"/>
            </w:pPr>
            <w:r/>
            <w:r>
              <w:rPr>
                <w:rFonts w:ascii="宋体" w:hAnsi="宋体" w:eastAsia="宋体" w:cs="宋体"/>
                <w:b w:val="0"/>
                <w:i w:val="0"/>
                <w:color w:val="000000"/>
                <w:sz w:val="19"/>
              </w:rPr>
              <w:t>8 位整数与 16 位半精度浮点，边缘推理常用数值格式</w:t>
            </w:r>
          </w:p>
        </w:tc>
      </w:tr>
      <w:tr>
        <w:tc>
          <w:tcPr>
            <w:tcW w:type="dxa" w:w="1711"/>
          </w:tcPr>
          <w:p>
            <w:pPr>
              <w:spacing w:after="0" w:line="276" w:lineRule="auto"/>
            </w:pPr>
            <w:r/>
            <w:r>
              <w:rPr>
                <w:rFonts w:ascii="宋体" w:hAnsi="宋体" w:eastAsia="宋体" w:cs="宋体"/>
                <w:b w:val="0"/>
                <w:i w:val="0"/>
                <w:color w:val="000000"/>
                <w:sz w:val="19"/>
              </w:rPr>
              <w:t>梅尔谱</w:t>
            </w:r>
          </w:p>
        </w:tc>
        <w:tc>
          <w:tcPr>
            <w:tcW w:type="dxa" w:w="2510"/>
          </w:tcPr>
          <w:p>
            <w:pPr>
              <w:spacing w:after="0" w:line="276" w:lineRule="auto"/>
            </w:pPr>
            <w:r/>
            <w:r>
              <w:rPr>
                <w:rFonts w:ascii="宋体" w:hAnsi="宋体" w:eastAsia="宋体" w:cs="宋体"/>
                <w:b w:val="0"/>
                <w:i w:val="0"/>
                <w:color w:val="000000"/>
                <w:sz w:val="19"/>
              </w:rPr>
              <w:t>Mel Spectrogram</w:t>
            </w:r>
          </w:p>
        </w:tc>
        <w:tc>
          <w:tcPr>
            <w:tcW w:type="dxa" w:w="4906"/>
          </w:tcPr>
          <w:p>
            <w:pPr>
              <w:spacing w:after="0" w:line="276" w:lineRule="auto"/>
            </w:pPr>
            <w:r/>
            <w:r>
              <w:rPr>
                <w:rFonts w:ascii="宋体" w:hAnsi="宋体" w:eastAsia="宋体" w:cs="宋体"/>
                <w:b w:val="0"/>
                <w:i w:val="0"/>
                <w:color w:val="000000"/>
                <w:sz w:val="19"/>
              </w:rPr>
              <w:t>符合人耳感知特性的时频表示，声学模型常用输入</w:t>
            </w:r>
          </w:p>
        </w:tc>
      </w:tr>
      <w:tr>
        <w:tc>
          <w:tcPr>
            <w:tcW w:type="dxa" w:w="1711"/>
            <w:shd w:val="clear" w:color="auto" w:fill="EDF3F9"/>
          </w:tcPr>
          <w:p>
            <w:pPr>
              <w:spacing w:after="0" w:line="276" w:lineRule="auto"/>
            </w:pPr>
            <w:r/>
            <w:r>
              <w:rPr>
                <w:rFonts w:ascii="宋体" w:hAnsi="宋体" w:eastAsia="宋体" w:cs="宋体"/>
                <w:b w:val="0"/>
                <w:i w:val="0"/>
                <w:color w:val="000000"/>
                <w:sz w:val="19"/>
              </w:rPr>
              <w:t>VAD</w:t>
            </w:r>
          </w:p>
        </w:tc>
        <w:tc>
          <w:tcPr>
            <w:tcW w:type="dxa" w:w="2510"/>
            <w:shd w:val="clear" w:color="auto" w:fill="EDF3F9"/>
          </w:tcPr>
          <w:p>
            <w:pPr>
              <w:spacing w:after="0" w:line="276" w:lineRule="auto"/>
            </w:pPr>
            <w:r/>
            <w:r>
              <w:rPr>
                <w:rFonts w:ascii="宋体" w:hAnsi="宋体" w:eastAsia="宋体" w:cs="宋体"/>
                <w:b w:val="0"/>
                <w:i w:val="0"/>
                <w:color w:val="000000"/>
                <w:sz w:val="19"/>
              </w:rPr>
              <w:t>Voice Activity Detection</w:t>
            </w:r>
          </w:p>
        </w:tc>
        <w:tc>
          <w:tcPr>
            <w:tcW w:type="dxa" w:w="4906"/>
            <w:shd w:val="clear" w:color="auto" w:fill="EDF3F9"/>
          </w:tcPr>
          <w:p>
            <w:pPr>
              <w:spacing w:after="0" w:line="276" w:lineRule="auto"/>
            </w:pPr>
            <w:r/>
            <w:r>
              <w:rPr>
                <w:rFonts w:ascii="宋体" w:hAnsi="宋体" w:eastAsia="宋体" w:cs="宋体"/>
                <w:b w:val="0"/>
                <w:i w:val="0"/>
                <w:color w:val="000000"/>
                <w:sz w:val="19"/>
              </w:rPr>
              <w:t>语音活动检测，用于区分人声与非人声</w:t>
            </w:r>
          </w:p>
        </w:tc>
      </w:tr>
      <w:tr>
        <w:tc>
          <w:tcPr>
            <w:tcW w:type="dxa" w:w="1711"/>
          </w:tcPr>
          <w:p>
            <w:pPr>
              <w:spacing w:after="0" w:line="276" w:lineRule="auto"/>
            </w:pPr>
            <w:r/>
            <w:r>
              <w:rPr>
                <w:rFonts w:ascii="宋体" w:hAnsi="宋体" w:eastAsia="宋体" w:cs="宋体"/>
                <w:b w:val="0"/>
                <w:i w:val="0"/>
                <w:color w:val="000000"/>
                <w:sz w:val="19"/>
              </w:rPr>
              <w:t>喘息</w:t>
            </w:r>
          </w:p>
        </w:tc>
        <w:tc>
          <w:tcPr>
            <w:tcW w:type="dxa" w:w="2510"/>
          </w:tcPr>
          <w:p>
            <w:pPr>
              <w:spacing w:after="0" w:line="276" w:lineRule="auto"/>
            </w:pPr>
            <w:r/>
            <w:r>
              <w:rPr>
                <w:rFonts w:ascii="宋体" w:hAnsi="宋体" w:eastAsia="宋体" w:cs="宋体"/>
                <w:b w:val="0"/>
                <w:i w:val="0"/>
                <w:color w:val="000000"/>
                <w:sz w:val="19"/>
              </w:rPr>
              <w:t>Wheeze</w:t>
            </w:r>
          </w:p>
        </w:tc>
        <w:tc>
          <w:tcPr>
            <w:tcW w:type="dxa" w:w="4906"/>
          </w:tcPr>
          <w:p>
            <w:pPr>
              <w:spacing w:after="0" w:line="276" w:lineRule="auto"/>
            </w:pPr>
            <w:r/>
            <w:r>
              <w:rPr>
                <w:rFonts w:ascii="宋体" w:hAnsi="宋体" w:eastAsia="宋体" w:cs="宋体"/>
                <w:b w:val="0"/>
                <w:i w:val="0"/>
                <w:color w:val="000000"/>
                <w:sz w:val="19"/>
              </w:rPr>
              <w:t>气道狭窄产生的持续性高频附加音，哮喘与慢阻肺常见体征</w:t>
            </w:r>
          </w:p>
        </w:tc>
      </w:tr>
      <w:tr>
        <w:tc>
          <w:tcPr>
            <w:tcW w:type="dxa" w:w="1711"/>
            <w:shd w:val="clear" w:color="auto" w:fill="EDF3F9"/>
          </w:tcPr>
          <w:p>
            <w:pPr>
              <w:spacing w:after="0" w:line="276" w:lineRule="auto"/>
            </w:pPr>
            <w:r/>
            <w:r>
              <w:rPr>
                <w:rFonts w:ascii="宋体" w:hAnsi="宋体" w:eastAsia="宋体" w:cs="宋体"/>
                <w:b w:val="0"/>
                <w:i w:val="0"/>
                <w:color w:val="000000"/>
                <w:sz w:val="19"/>
              </w:rPr>
              <w:t>PSG</w:t>
            </w:r>
          </w:p>
        </w:tc>
        <w:tc>
          <w:tcPr>
            <w:tcW w:type="dxa" w:w="2510"/>
            <w:shd w:val="clear" w:color="auto" w:fill="EDF3F9"/>
          </w:tcPr>
          <w:p>
            <w:pPr>
              <w:spacing w:after="0" w:line="276" w:lineRule="auto"/>
            </w:pPr>
            <w:r/>
            <w:r>
              <w:rPr>
                <w:rFonts w:ascii="宋体" w:hAnsi="宋体" w:eastAsia="宋体" w:cs="宋体"/>
                <w:b w:val="0"/>
                <w:i w:val="0"/>
                <w:color w:val="000000"/>
                <w:sz w:val="19"/>
              </w:rPr>
              <w:t>Polysomnography</w:t>
            </w:r>
          </w:p>
        </w:tc>
        <w:tc>
          <w:tcPr>
            <w:tcW w:type="dxa" w:w="4906"/>
            <w:shd w:val="clear" w:color="auto" w:fill="EDF3F9"/>
          </w:tcPr>
          <w:p>
            <w:pPr>
              <w:spacing w:after="0" w:line="276" w:lineRule="auto"/>
            </w:pPr>
            <w:r/>
            <w:r>
              <w:rPr>
                <w:rFonts w:ascii="宋体" w:hAnsi="宋体" w:eastAsia="宋体" w:cs="宋体"/>
                <w:b w:val="0"/>
                <w:i w:val="0"/>
                <w:color w:val="000000"/>
                <w:sz w:val="19"/>
              </w:rPr>
              <w:t>多导睡眠监测，睡眠呼吸障碍诊断的金标准之一</w:t>
            </w:r>
          </w:p>
        </w:tc>
      </w:tr>
      <w:tr>
        <w:tc>
          <w:tcPr>
            <w:tcW w:type="dxa" w:w="1711"/>
          </w:tcPr>
          <w:p>
            <w:pPr>
              <w:spacing w:after="0" w:line="276" w:lineRule="auto"/>
            </w:pPr>
            <w:r/>
            <w:r>
              <w:rPr>
                <w:rFonts w:ascii="宋体" w:hAnsi="宋体" w:eastAsia="宋体" w:cs="宋体"/>
                <w:b w:val="0"/>
                <w:i w:val="0"/>
                <w:color w:val="000000"/>
                <w:sz w:val="19"/>
              </w:rPr>
              <w:t>FEV1 / PEF</w:t>
            </w:r>
          </w:p>
        </w:tc>
        <w:tc>
          <w:tcPr>
            <w:tcW w:type="dxa" w:w="2510"/>
          </w:tcPr>
          <w:p>
            <w:pPr>
              <w:spacing w:after="0" w:line="276" w:lineRule="auto"/>
            </w:pPr>
            <w:r/>
            <w:r>
              <w:rPr>
                <w:rFonts w:ascii="宋体" w:hAnsi="宋体" w:eastAsia="宋体" w:cs="宋体"/>
                <w:b w:val="0"/>
                <w:i w:val="0"/>
                <w:color w:val="000000"/>
                <w:sz w:val="19"/>
              </w:rPr>
              <w:t>Forced Expiratory Volume in 1 s / Peak Expiratory Flow</w:t>
            </w:r>
          </w:p>
        </w:tc>
        <w:tc>
          <w:tcPr>
            <w:tcW w:type="dxa" w:w="4906"/>
          </w:tcPr>
          <w:p>
            <w:pPr>
              <w:spacing w:after="0" w:line="276" w:lineRule="auto"/>
            </w:pPr>
            <w:r/>
            <w:r>
              <w:rPr>
                <w:rFonts w:ascii="宋体" w:hAnsi="宋体" w:eastAsia="宋体" w:cs="宋体"/>
                <w:b w:val="0"/>
                <w:i w:val="0"/>
                <w:color w:val="000000"/>
                <w:sz w:val="19"/>
              </w:rPr>
              <w:t>第一秒用力呼气容积与呼气峰流速，肺功能核心指标</w:t>
            </w:r>
          </w:p>
        </w:tc>
      </w:tr>
      <w:tr>
        <w:tc>
          <w:tcPr>
            <w:tcW w:type="dxa" w:w="1711"/>
            <w:shd w:val="clear" w:color="auto" w:fill="EDF3F9"/>
          </w:tcPr>
          <w:p>
            <w:pPr>
              <w:spacing w:after="0" w:line="276" w:lineRule="auto"/>
            </w:pPr>
            <w:r/>
            <w:r>
              <w:rPr>
                <w:rFonts w:ascii="宋体" w:hAnsi="宋体" w:eastAsia="宋体" w:cs="宋体"/>
                <w:b w:val="0"/>
                <w:i w:val="0"/>
                <w:color w:val="000000"/>
                <w:sz w:val="19"/>
              </w:rPr>
              <w:t>MAE</w:t>
            </w:r>
          </w:p>
        </w:tc>
        <w:tc>
          <w:tcPr>
            <w:tcW w:type="dxa" w:w="2510"/>
            <w:shd w:val="clear" w:color="auto" w:fill="EDF3F9"/>
          </w:tcPr>
          <w:p>
            <w:pPr>
              <w:spacing w:after="0" w:line="276" w:lineRule="auto"/>
            </w:pPr>
            <w:r/>
            <w:r>
              <w:rPr>
                <w:rFonts w:ascii="宋体" w:hAnsi="宋体" w:eastAsia="宋体" w:cs="宋体"/>
                <w:b w:val="0"/>
                <w:i w:val="0"/>
                <w:color w:val="000000"/>
                <w:sz w:val="19"/>
              </w:rPr>
              <w:t>Mean Absolute Error</w:t>
            </w:r>
          </w:p>
        </w:tc>
        <w:tc>
          <w:tcPr>
            <w:tcW w:type="dxa" w:w="4906"/>
            <w:shd w:val="clear" w:color="auto" w:fill="EDF3F9"/>
          </w:tcPr>
          <w:p>
            <w:pPr>
              <w:spacing w:after="0" w:line="276" w:lineRule="auto"/>
            </w:pPr>
            <w:r/>
            <w:r>
              <w:rPr>
                <w:rFonts w:ascii="宋体" w:hAnsi="宋体" w:eastAsia="宋体" w:cs="宋体"/>
                <w:b w:val="0"/>
                <w:i w:val="0"/>
                <w:color w:val="000000"/>
                <w:sz w:val="19"/>
              </w:rPr>
              <w:t>平均绝对误差</w:t>
            </w:r>
          </w:p>
        </w:tc>
      </w:tr>
      <w:tr>
        <w:tc>
          <w:tcPr>
            <w:tcW w:type="dxa" w:w="1711"/>
          </w:tcPr>
          <w:p>
            <w:pPr>
              <w:spacing w:after="0" w:line="276" w:lineRule="auto"/>
            </w:pPr>
            <w:r/>
            <w:r>
              <w:rPr>
                <w:rFonts w:ascii="宋体" w:hAnsi="宋体" w:eastAsia="宋体" w:cs="宋体"/>
                <w:b w:val="0"/>
                <w:i w:val="0"/>
                <w:color w:val="000000"/>
                <w:sz w:val="19"/>
              </w:rPr>
              <w:t>ICC</w:t>
            </w:r>
          </w:p>
        </w:tc>
        <w:tc>
          <w:tcPr>
            <w:tcW w:type="dxa" w:w="2510"/>
          </w:tcPr>
          <w:p>
            <w:pPr>
              <w:spacing w:after="0" w:line="276" w:lineRule="auto"/>
            </w:pPr>
            <w:r/>
            <w:r>
              <w:rPr>
                <w:rFonts w:ascii="宋体" w:hAnsi="宋体" w:eastAsia="宋体" w:cs="宋体"/>
                <w:b w:val="0"/>
                <w:i w:val="0"/>
                <w:color w:val="000000"/>
                <w:sz w:val="19"/>
              </w:rPr>
              <w:t>Intraclass Correlation Coefficient</w:t>
            </w:r>
          </w:p>
        </w:tc>
        <w:tc>
          <w:tcPr>
            <w:tcW w:type="dxa" w:w="4906"/>
          </w:tcPr>
          <w:p>
            <w:pPr>
              <w:spacing w:after="0" w:line="276" w:lineRule="auto"/>
            </w:pPr>
            <w:r/>
            <w:r>
              <w:rPr>
                <w:rFonts w:ascii="宋体" w:hAnsi="宋体" w:eastAsia="宋体" w:cs="宋体"/>
                <w:b w:val="0"/>
                <w:i w:val="0"/>
                <w:color w:val="000000"/>
                <w:sz w:val="19"/>
              </w:rPr>
              <w:t>组内相关系数，用于一致性评价</w:t>
            </w:r>
          </w:p>
        </w:tc>
      </w:tr>
      <w:tr>
        <w:tc>
          <w:tcPr>
            <w:tcW w:type="dxa" w:w="1711"/>
            <w:shd w:val="clear" w:color="auto" w:fill="EDF3F9"/>
          </w:tcPr>
          <w:p>
            <w:pPr>
              <w:spacing w:after="0" w:line="276" w:lineRule="auto"/>
            </w:pPr>
            <w:r/>
            <w:r>
              <w:rPr>
                <w:rFonts w:ascii="宋体" w:hAnsi="宋体" w:eastAsia="宋体" w:cs="宋体"/>
                <w:b w:val="0"/>
                <w:i w:val="0"/>
                <w:color w:val="000000"/>
                <w:sz w:val="19"/>
              </w:rPr>
              <w:t>ACT / CAT</w:t>
            </w:r>
          </w:p>
        </w:tc>
        <w:tc>
          <w:tcPr>
            <w:tcW w:type="dxa" w:w="2510"/>
            <w:shd w:val="clear" w:color="auto" w:fill="EDF3F9"/>
          </w:tcPr>
          <w:p>
            <w:pPr>
              <w:spacing w:after="0" w:line="276" w:lineRule="auto"/>
            </w:pPr>
            <w:r/>
            <w:r>
              <w:rPr>
                <w:rFonts w:ascii="宋体" w:hAnsi="宋体" w:eastAsia="宋体" w:cs="宋体"/>
                <w:b w:val="0"/>
                <w:i w:val="0"/>
                <w:color w:val="000000"/>
                <w:sz w:val="19"/>
              </w:rPr>
              <w:t>Asthma Control Test / COPD Assessment Test</w:t>
            </w:r>
          </w:p>
        </w:tc>
        <w:tc>
          <w:tcPr>
            <w:tcW w:type="dxa" w:w="4906"/>
            <w:shd w:val="clear" w:color="auto" w:fill="EDF3F9"/>
          </w:tcPr>
          <w:p>
            <w:pPr>
              <w:spacing w:after="0" w:line="276" w:lineRule="auto"/>
            </w:pPr>
            <w:r/>
            <w:r>
              <w:rPr>
                <w:rFonts w:ascii="宋体" w:hAnsi="宋体" w:eastAsia="宋体" w:cs="宋体"/>
                <w:b w:val="0"/>
                <w:i w:val="0"/>
                <w:color w:val="000000"/>
                <w:sz w:val="19"/>
              </w:rPr>
              <w:t>哮喘与慢阻肺的症状评估量表</w:t>
            </w:r>
          </w:p>
        </w:tc>
      </w:tr>
      <w:tr>
        <w:tc>
          <w:tcPr>
            <w:tcW w:type="dxa" w:w="1711"/>
          </w:tcPr>
          <w:p>
            <w:pPr>
              <w:spacing w:after="0" w:line="276" w:lineRule="auto"/>
            </w:pPr>
            <w:r/>
            <w:r>
              <w:rPr>
                <w:rFonts w:ascii="宋体" w:hAnsi="宋体" w:eastAsia="宋体" w:cs="宋体"/>
                <w:b w:val="0"/>
                <w:i w:val="0"/>
                <w:color w:val="000000"/>
                <w:sz w:val="19"/>
              </w:rPr>
              <w:t>HL7 / FHIR</w:t>
            </w:r>
          </w:p>
        </w:tc>
        <w:tc>
          <w:tcPr>
            <w:tcW w:type="dxa" w:w="2510"/>
          </w:tcPr>
          <w:p>
            <w:pPr>
              <w:spacing w:after="0" w:line="276" w:lineRule="auto"/>
            </w:pPr>
            <w:r/>
            <w:r>
              <w:rPr>
                <w:rFonts w:ascii="宋体" w:hAnsi="宋体" w:eastAsia="宋体" w:cs="宋体"/>
                <w:b w:val="0"/>
                <w:i w:val="0"/>
                <w:color w:val="000000"/>
                <w:sz w:val="19"/>
              </w:rPr>
              <w:t>Health Level 7 / Fast Healthcare Interoperability Resources</w:t>
            </w:r>
          </w:p>
        </w:tc>
        <w:tc>
          <w:tcPr>
            <w:tcW w:type="dxa" w:w="4906"/>
          </w:tcPr>
          <w:p>
            <w:pPr>
              <w:spacing w:after="0" w:line="276" w:lineRule="auto"/>
            </w:pPr>
            <w:r/>
            <w:r>
              <w:rPr>
                <w:rFonts w:ascii="宋体" w:hAnsi="宋体" w:eastAsia="宋体" w:cs="宋体"/>
                <w:b w:val="0"/>
                <w:i w:val="0"/>
                <w:color w:val="000000"/>
                <w:sz w:val="19"/>
              </w:rPr>
              <w:t>医疗信息系统互联互通标准</w:t>
            </w:r>
          </w:p>
        </w:tc>
      </w:tr>
      <w:tr>
        <w:tc>
          <w:tcPr>
            <w:tcW w:type="dxa" w:w="1711"/>
            <w:shd w:val="clear" w:color="auto" w:fill="EDF3F9"/>
          </w:tcPr>
          <w:p>
            <w:pPr>
              <w:spacing w:after="0" w:line="276" w:lineRule="auto"/>
            </w:pPr>
            <w:r/>
            <w:r>
              <w:rPr>
                <w:rFonts w:ascii="宋体" w:hAnsi="宋体" w:eastAsia="宋体" w:cs="宋体"/>
                <w:b w:val="0"/>
                <w:i w:val="0"/>
                <w:color w:val="000000"/>
                <w:sz w:val="19"/>
              </w:rPr>
              <w:t>CRO</w:t>
            </w:r>
          </w:p>
        </w:tc>
        <w:tc>
          <w:tcPr>
            <w:tcW w:type="dxa" w:w="2510"/>
            <w:shd w:val="clear" w:color="auto" w:fill="EDF3F9"/>
          </w:tcPr>
          <w:p>
            <w:pPr>
              <w:spacing w:after="0" w:line="276" w:lineRule="auto"/>
            </w:pPr>
            <w:r/>
            <w:r>
              <w:rPr>
                <w:rFonts w:ascii="宋体" w:hAnsi="宋体" w:eastAsia="宋体" w:cs="宋体"/>
                <w:b w:val="0"/>
                <w:i w:val="0"/>
                <w:color w:val="000000"/>
                <w:sz w:val="19"/>
              </w:rPr>
              <w:t>Contract Research Organization</w:t>
            </w:r>
          </w:p>
        </w:tc>
        <w:tc>
          <w:tcPr>
            <w:tcW w:type="dxa" w:w="4906"/>
            <w:shd w:val="clear" w:color="auto" w:fill="EDF3F9"/>
          </w:tcPr>
          <w:p>
            <w:pPr>
              <w:spacing w:after="0" w:line="276" w:lineRule="auto"/>
            </w:pPr>
            <w:r/>
            <w:r>
              <w:rPr>
                <w:rFonts w:ascii="宋体" w:hAnsi="宋体" w:eastAsia="宋体" w:cs="宋体"/>
                <w:b w:val="0"/>
                <w:i w:val="0"/>
                <w:color w:val="000000"/>
                <w:sz w:val="19"/>
              </w:rPr>
              <w:t>合同研究组织，承接药企临床试验服务</w:t>
            </w:r>
          </w:p>
        </w:tc>
      </w:tr>
      <w:tr>
        <w:tc>
          <w:tcPr>
            <w:tcW w:type="dxa" w:w="1711"/>
          </w:tcPr>
          <w:p>
            <w:pPr>
              <w:spacing w:after="0" w:line="276" w:lineRule="auto"/>
            </w:pPr>
            <w:r/>
            <w:r>
              <w:rPr>
                <w:rFonts w:ascii="宋体" w:hAnsi="宋体" w:eastAsia="宋体" w:cs="宋体"/>
                <w:b w:val="0"/>
                <w:i w:val="0"/>
                <w:color w:val="000000"/>
                <w:sz w:val="19"/>
              </w:rPr>
              <w:t>AUC</w:t>
            </w:r>
          </w:p>
        </w:tc>
        <w:tc>
          <w:tcPr>
            <w:tcW w:type="dxa" w:w="2510"/>
          </w:tcPr>
          <w:p>
            <w:pPr>
              <w:spacing w:after="0" w:line="276" w:lineRule="auto"/>
            </w:pPr>
            <w:r/>
            <w:r>
              <w:rPr>
                <w:rFonts w:ascii="宋体" w:hAnsi="宋体" w:eastAsia="宋体" w:cs="宋体"/>
                <w:b w:val="0"/>
                <w:i w:val="0"/>
                <w:color w:val="000000"/>
                <w:sz w:val="19"/>
              </w:rPr>
              <w:t>Area Under the ROC Curve</w:t>
            </w:r>
          </w:p>
        </w:tc>
        <w:tc>
          <w:tcPr>
            <w:tcW w:type="dxa" w:w="4906"/>
          </w:tcPr>
          <w:p>
            <w:pPr>
              <w:spacing w:after="0" w:line="276" w:lineRule="auto"/>
            </w:pPr>
            <w:r/>
            <w:r>
              <w:rPr>
                <w:rFonts w:ascii="宋体" w:hAnsi="宋体" w:eastAsia="宋体" w:cs="宋体"/>
                <w:b w:val="0"/>
                <w:i w:val="0"/>
                <w:color w:val="000000"/>
                <w:sz w:val="19"/>
              </w:rPr>
              <w:t>受试者工作特征曲线下面积，二分类判别能力的综合指标（中国 Cough Search 研究外部 AUC 0.94）</w:t>
            </w:r>
          </w:p>
        </w:tc>
      </w:tr>
      <w:tr>
        <w:tc>
          <w:tcPr>
            <w:tcW w:type="dxa" w:w="1711"/>
            <w:shd w:val="clear" w:color="auto" w:fill="EDF3F9"/>
          </w:tcPr>
          <w:p>
            <w:pPr>
              <w:spacing w:after="0" w:line="276" w:lineRule="auto"/>
            </w:pPr>
            <w:r/>
            <w:r>
              <w:rPr>
                <w:rFonts w:ascii="宋体" w:hAnsi="宋体" w:eastAsia="宋体" w:cs="宋体"/>
                <w:b w:val="0"/>
                <w:i w:val="0"/>
                <w:color w:val="000000"/>
                <w:sz w:val="19"/>
              </w:rPr>
              <w:t>PPV</w:t>
            </w:r>
          </w:p>
        </w:tc>
        <w:tc>
          <w:tcPr>
            <w:tcW w:type="dxa" w:w="2510"/>
            <w:shd w:val="clear" w:color="auto" w:fill="EDF3F9"/>
          </w:tcPr>
          <w:p>
            <w:pPr>
              <w:spacing w:after="0" w:line="276" w:lineRule="auto"/>
            </w:pPr>
            <w:r/>
            <w:r>
              <w:rPr>
                <w:rFonts w:ascii="宋体" w:hAnsi="宋体" w:eastAsia="宋体" w:cs="宋体"/>
                <w:b w:val="0"/>
                <w:i w:val="0"/>
                <w:color w:val="000000"/>
                <w:sz w:val="19"/>
              </w:rPr>
              <w:t>Positive Predictive Value</w:t>
            </w:r>
          </w:p>
        </w:tc>
        <w:tc>
          <w:tcPr>
            <w:tcW w:type="dxa" w:w="4906"/>
            <w:shd w:val="clear" w:color="auto" w:fill="EDF3F9"/>
          </w:tcPr>
          <w:p>
            <w:pPr>
              <w:spacing w:after="0" w:line="276" w:lineRule="auto"/>
            </w:pPr>
            <w:r/>
            <w:r>
              <w:rPr>
                <w:rFonts w:ascii="宋体" w:hAnsi="宋体" w:eastAsia="宋体" w:cs="宋体"/>
                <w:b w:val="0"/>
                <w:i w:val="0"/>
                <w:color w:val="000000"/>
                <w:sz w:val="19"/>
              </w:rPr>
              <w:t>阳性预测值，算法判为阳性者中真正为阳性的比例</w:t>
            </w:r>
          </w:p>
        </w:tc>
      </w:tr>
      <w:tr>
        <w:tc>
          <w:tcPr>
            <w:tcW w:type="dxa" w:w="1711"/>
          </w:tcPr>
          <w:p>
            <w:pPr>
              <w:spacing w:after="0" w:line="276" w:lineRule="auto"/>
            </w:pPr>
            <w:r/>
            <w:r>
              <w:rPr>
                <w:rFonts w:ascii="宋体" w:hAnsi="宋体" w:eastAsia="宋体" w:cs="宋体"/>
                <w:b w:val="0"/>
                <w:i w:val="0"/>
                <w:color w:val="000000"/>
                <w:sz w:val="19"/>
              </w:rPr>
              <w:t>BAC</w:t>
            </w:r>
          </w:p>
        </w:tc>
        <w:tc>
          <w:tcPr>
            <w:tcW w:type="dxa" w:w="2510"/>
          </w:tcPr>
          <w:p>
            <w:pPr>
              <w:spacing w:after="0" w:line="276" w:lineRule="auto"/>
            </w:pPr>
            <w:r/>
            <w:r>
              <w:rPr>
                <w:rFonts w:ascii="宋体" w:hAnsi="宋体" w:eastAsia="宋体" w:cs="宋体"/>
                <w:b w:val="0"/>
                <w:i w:val="0"/>
                <w:color w:val="000000"/>
                <w:sz w:val="19"/>
              </w:rPr>
              <w:t>Balance Accuracy</w:t>
            </w:r>
          </w:p>
        </w:tc>
        <w:tc>
          <w:tcPr>
            <w:tcW w:type="dxa" w:w="4906"/>
          </w:tcPr>
          <w:p>
            <w:pPr>
              <w:spacing w:after="0" w:line="276" w:lineRule="auto"/>
            </w:pPr>
            <w:r/>
            <w:r>
              <w:rPr>
                <w:rFonts w:ascii="宋体" w:hAnsi="宋体" w:eastAsia="宋体" w:cs="宋体"/>
                <w:b w:val="0"/>
                <w:i w:val="0"/>
                <w:color w:val="000000"/>
                <w:sz w:val="19"/>
              </w:rPr>
              <w:t>平衡准确率，（敏感度 + 特异度）/ 2；类别不平衡时比总体准确率更稳健（Tinschert 研究报告 BAC 71%）</w:t>
            </w:r>
          </w:p>
        </w:tc>
      </w:tr>
      <w:tr>
        <w:tc>
          <w:tcPr>
            <w:tcW w:type="dxa" w:w="1711"/>
            <w:shd w:val="clear" w:color="auto" w:fill="EDF3F9"/>
          </w:tcPr>
          <w:p>
            <w:pPr>
              <w:spacing w:after="0" w:line="276" w:lineRule="auto"/>
            </w:pPr>
            <w:r/>
            <w:r>
              <w:rPr>
                <w:rFonts w:ascii="宋体" w:hAnsi="宋体" w:eastAsia="宋体" w:cs="宋体"/>
                <w:b w:val="0"/>
                <w:i w:val="0"/>
                <w:color w:val="000000"/>
                <w:sz w:val="19"/>
              </w:rPr>
              <w:t>MCC</w:t>
            </w:r>
          </w:p>
        </w:tc>
        <w:tc>
          <w:tcPr>
            <w:tcW w:type="dxa" w:w="2510"/>
            <w:shd w:val="clear" w:color="auto" w:fill="EDF3F9"/>
          </w:tcPr>
          <w:p>
            <w:pPr>
              <w:spacing w:after="0" w:line="276" w:lineRule="auto"/>
            </w:pPr>
            <w:r/>
            <w:r>
              <w:rPr>
                <w:rFonts w:ascii="宋体" w:hAnsi="宋体" w:eastAsia="宋体" w:cs="宋体"/>
                <w:b w:val="0"/>
                <w:i w:val="0"/>
                <w:color w:val="000000"/>
                <w:sz w:val="19"/>
              </w:rPr>
              <w:t>Matthews Correlation Coefficient</w:t>
            </w:r>
          </w:p>
        </w:tc>
        <w:tc>
          <w:tcPr>
            <w:tcW w:type="dxa" w:w="4906"/>
            <w:shd w:val="clear" w:color="auto" w:fill="EDF3F9"/>
          </w:tcPr>
          <w:p>
            <w:pPr>
              <w:spacing w:after="0" w:line="276" w:lineRule="auto"/>
            </w:pPr>
            <w:r/>
            <w:r>
              <w:rPr>
                <w:rFonts w:ascii="宋体" w:hAnsi="宋体" w:eastAsia="宋体" w:cs="宋体"/>
                <w:b w:val="0"/>
                <w:i w:val="0"/>
                <w:color w:val="000000"/>
                <w:sz w:val="19"/>
              </w:rPr>
              <w:t>马修斯相关系数，取值范围 -1 至 1，类别不平衡条件下的综合判别指标</w:t>
            </w:r>
          </w:p>
        </w:tc>
      </w:tr>
      <w:tr>
        <w:tc>
          <w:tcPr>
            <w:tcW w:type="dxa" w:w="1711"/>
          </w:tcPr>
          <w:p>
            <w:pPr>
              <w:spacing w:after="0" w:line="276" w:lineRule="auto"/>
            </w:pPr>
            <w:r/>
            <w:r>
              <w:rPr>
                <w:rFonts w:ascii="宋体" w:hAnsi="宋体" w:eastAsia="宋体" w:cs="宋体"/>
                <w:b w:val="0"/>
                <w:i w:val="0"/>
                <w:color w:val="000000"/>
                <w:sz w:val="19"/>
              </w:rPr>
              <w:t>Cohen's κ</w:t>
            </w:r>
          </w:p>
        </w:tc>
        <w:tc>
          <w:tcPr>
            <w:tcW w:type="dxa" w:w="2510"/>
          </w:tcPr>
          <w:p>
            <w:pPr>
              <w:spacing w:after="0" w:line="276" w:lineRule="auto"/>
            </w:pPr>
            <w:r/>
            <w:r>
              <w:rPr>
                <w:rFonts w:ascii="宋体" w:hAnsi="宋体" w:eastAsia="宋体" w:cs="宋体"/>
                <w:b w:val="0"/>
                <w:i w:val="0"/>
                <w:color w:val="000000"/>
                <w:sz w:val="19"/>
              </w:rPr>
              <w:t>Cohen's Kappa</w:t>
            </w:r>
          </w:p>
        </w:tc>
        <w:tc>
          <w:tcPr>
            <w:tcW w:type="dxa" w:w="4906"/>
          </w:tcPr>
          <w:p>
            <w:pPr>
              <w:spacing w:after="0" w:line="276" w:lineRule="auto"/>
            </w:pPr>
            <w:r/>
            <w:r>
              <w:rPr>
                <w:rFonts w:ascii="宋体" w:hAnsi="宋体" w:eastAsia="宋体" w:cs="宋体"/>
                <w:b w:val="0"/>
                <w:i w:val="0"/>
                <w:color w:val="000000"/>
                <w:sz w:val="19"/>
              </w:rPr>
              <w:t>校正偶然一致后的标注者间或方法间一致性统计量（家长报告与录音实测的一致性仅 κ = 0.30）</w:t>
            </w:r>
          </w:p>
        </w:tc>
      </w:tr>
      <w:tr>
        <w:tc>
          <w:tcPr>
            <w:tcW w:type="dxa" w:w="1711"/>
            <w:shd w:val="clear" w:color="auto" w:fill="EDF3F9"/>
          </w:tcPr>
          <w:p>
            <w:pPr>
              <w:spacing w:after="0" w:line="276" w:lineRule="auto"/>
            </w:pPr>
            <w:r/>
            <w:r>
              <w:rPr>
                <w:rFonts w:ascii="宋体" w:hAnsi="宋体" w:eastAsia="宋体" w:cs="宋体"/>
                <w:b w:val="0"/>
                <w:i w:val="0"/>
                <w:color w:val="000000"/>
                <w:sz w:val="19"/>
              </w:rPr>
              <w:t>ICC(2,1)</w:t>
            </w:r>
          </w:p>
        </w:tc>
        <w:tc>
          <w:tcPr>
            <w:tcW w:type="dxa" w:w="2510"/>
            <w:shd w:val="clear" w:color="auto" w:fill="EDF3F9"/>
          </w:tcPr>
          <w:p>
            <w:pPr>
              <w:spacing w:after="0" w:line="276" w:lineRule="auto"/>
            </w:pPr>
            <w:r/>
            <w:r>
              <w:rPr>
                <w:rFonts w:ascii="宋体" w:hAnsi="宋体" w:eastAsia="宋体" w:cs="宋体"/>
                <w:b w:val="0"/>
                <w:i w:val="0"/>
                <w:color w:val="000000"/>
                <w:sz w:val="19"/>
              </w:rPr>
              <w:t>Intraclass Correlation Coefficient（two-way random effects, single measurement）</w:t>
            </w:r>
          </w:p>
        </w:tc>
        <w:tc>
          <w:tcPr>
            <w:tcW w:type="dxa" w:w="4906"/>
            <w:shd w:val="clear" w:color="auto" w:fill="EDF3F9"/>
          </w:tcPr>
          <w:p>
            <w:pPr>
              <w:spacing w:after="0" w:line="276" w:lineRule="auto"/>
            </w:pPr>
            <w:r/>
            <w:r>
              <w:rPr>
                <w:rFonts w:ascii="宋体" w:hAnsi="宋体" w:eastAsia="宋体" w:cs="宋体"/>
                <w:b w:val="0"/>
                <w:i w:val="0"/>
                <w:color w:val="000000"/>
                <w:sz w:val="19"/>
              </w:rPr>
              <w:t>组内相关系数（双向随机效应、单次测量），用于连续量的重测信度与一致性评价；莱斯特咳嗽监测仪个体内 ICC = 0.9</w:t>
            </w:r>
          </w:p>
        </w:tc>
      </w:tr>
      <w:tr>
        <w:tc>
          <w:tcPr>
            <w:tcW w:type="dxa" w:w="1711"/>
          </w:tcPr>
          <w:p>
            <w:pPr>
              <w:spacing w:after="0" w:line="276" w:lineRule="auto"/>
            </w:pPr>
            <w:r/>
            <w:r>
              <w:rPr>
                <w:rFonts w:ascii="宋体" w:hAnsi="宋体" w:eastAsia="宋体" w:cs="宋体"/>
                <w:b w:val="0"/>
                <w:i w:val="0"/>
                <w:color w:val="000000"/>
                <w:sz w:val="19"/>
              </w:rPr>
              <w:t>Bland-Altman 分析</w:t>
            </w:r>
          </w:p>
        </w:tc>
        <w:tc>
          <w:tcPr>
            <w:tcW w:type="dxa" w:w="2510"/>
          </w:tcPr>
          <w:p>
            <w:pPr>
              <w:spacing w:after="0" w:line="276" w:lineRule="auto"/>
            </w:pPr>
            <w:r/>
            <w:r>
              <w:rPr>
                <w:rFonts w:ascii="宋体" w:hAnsi="宋体" w:eastAsia="宋体" w:cs="宋体"/>
                <w:b w:val="0"/>
                <w:i w:val="0"/>
                <w:color w:val="000000"/>
                <w:sz w:val="19"/>
              </w:rPr>
              <w:t>Bland-Altman Analysis</w:t>
            </w:r>
          </w:p>
        </w:tc>
        <w:tc>
          <w:tcPr>
            <w:tcW w:type="dxa" w:w="4906"/>
          </w:tcPr>
          <w:p>
            <w:pPr>
              <w:spacing w:after="0" w:line="276" w:lineRule="auto"/>
            </w:pPr>
            <w:r/>
            <w:r>
              <w:rPr>
                <w:rFonts w:ascii="宋体" w:hAnsi="宋体" w:eastAsia="宋体" w:cs="宋体"/>
                <w:b w:val="0"/>
                <w:i w:val="0"/>
                <w:color w:val="000000"/>
                <w:sz w:val="19"/>
              </w:rPr>
              <w:t>以均值差与一致性界限评价两种测量方法一致性的方法，可暴露系统性偏差</w:t>
            </w:r>
          </w:p>
        </w:tc>
      </w:tr>
      <w:tr>
        <w:tc>
          <w:tcPr>
            <w:tcW w:type="dxa" w:w="1711"/>
            <w:shd w:val="clear" w:color="auto" w:fill="EDF3F9"/>
          </w:tcPr>
          <w:p>
            <w:pPr>
              <w:spacing w:after="0" w:line="276" w:lineRule="auto"/>
            </w:pPr>
            <w:r/>
            <w:r>
              <w:rPr>
                <w:rFonts w:ascii="宋体" w:hAnsi="宋体" w:eastAsia="宋体" w:cs="宋体"/>
                <w:b w:val="0"/>
                <w:i w:val="0"/>
                <w:color w:val="000000"/>
                <w:sz w:val="19"/>
              </w:rPr>
              <w:t>RMSD</w:t>
            </w:r>
          </w:p>
        </w:tc>
        <w:tc>
          <w:tcPr>
            <w:tcW w:type="dxa" w:w="2510"/>
            <w:shd w:val="clear" w:color="auto" w:fill="EDF3F9"/>
          </w:tcPr>
          <w:p>
            <w:pPr>
              <w:spacing w:after="0" w:line="276" w:lineRule="auto"/>
            </w:pPr>
            <w:r/>
            <w:r>
              <w:rPr>
                <w:rFonts w:ascii="宋体" w:hAnsi="宋体" w:eastAsia="宋体" w:cs="宋体"/>
                <w:b w:val="0"/>
                <w:i w:val="0"/>
                <w:color w:val="000000"/>
                <w:sz w:val="19"/>
              </w:rPr>
              <w:t>Root Mean Square Deviation</w:t>
            </w:r>
          </w:p>
        </w:tc>
        <w:tc>
          <w:tcPr>
            <w:tcW w:type="dxa" w:w="4906"/>
            <w:shd w:val="clear" w:color="auto" w:fill="EDF3F9"/>
          </w:tcPr>
          <w:p>
            <w:pPr>
              <w:spacing w:after="0" w:line="276" w:lineRule="auto"/>
            </w:pPr>
            <w:r/>
            <w:r>
              <w:rPr>
                <w:rFonts w:ascii="宋体" w:hAnsi="宋体" w:eastAsia="宋体" w:cs="宋体"/>
                <w:b w:val="0"/>
                <w:i w:val="0"/>
                <w:color w:val="000000"/>
                <w:sz w:val="19"/>
              </w:rPr>
              <w:t>均方根偏差，连续量误差的综合性指标</w:t>
            </w:r>
          </w:p>
        </w:tc>
      </w:tr>
      <w:tr>
        <w:tc>
          <w:tcPr>
            <w:tcW w:type="dxa" w:w="1711"/>
          </w:tcPr>
          <w:p>
            <w:pPr>
              <w:spacing w:after="0" w:line="276" w:lineRule="auto"/>
            </w:pPr>
            <w:r/>
            <w:r>
              <w:rPr>
                <w:rFonts w:ascii="宋体" w:hAnsi="宋体" w:eastAsia="宋体" w:cs="宋体"/>
                <w:b w:val="0"/>
                <w:i w:val="0"/>
                <w:color w:val="000000"/>
                <w:sz w:val="19"/>
              </w:rPr>
              <w:t>DDT / COA</w:t>
            </w:r>
          </w:p>
        </w:tc>
        <w:tc>
          <w:tcPr>
            <w:tcW w:type="dxa" w:w="2510"/>
          </w:tcPr>
          <w:p>
            <w:pPr>
              <w:spacing w:after="0" w:line="276" w:lineRule="auto"/>
            </w:pPr>
            <w:r/>
            <w:r>
              <w:rPr>
                <w:rFonts w:ascii="宋体" w:hAnsi="宋体" w:eastAsia="宋体" w:cs="宋体"/>
                <w:b w:val="0"/>
                <w:i w:val="0"/>
                <w:color w:val="000000"/>
                <w:sz w:val="19"/>
              </w:rPr>
              <w:t>Drug Development Tool / Clinical Outcome Assessment</w:t>
            </w:r>
          </w:p>
        </w:tc>
        <w:tc>
          <w:tcPr>
            <w:tcW w:type="dxa" w:w="4906"/>
          </w:tcPr>
          <w:p>
            <w:pPr>
              <w:spacing w:after="0" w:line="276" w:lineRule="auto"/>
            </w:pPr>
            <w:r/>
            <w:r>
              <w:rPr>
                <w:rFonts w:ascii="宋体" w:hAnsi="宋体" w:eastAsia="宋体" w:cs="宋体"/>
                <w:b w:val="0"/>
                <w:i w:val="0"/>
                <w:color w:val="000000"/>
                <w:sz w:val="19"/>
              </w:rPr>
              <w:t>FDA 药物开发工具与临床结局评估；客观咳嗽计数正通过该资格认证路径推进监管认可</w:t>
            </w:r>
          </w:p>
        </w:tc>
      </w:tr>
      <w:tr>
        <w:tc>
          <w:tcPr>
            <w:tcW w:type="dxa" w:w="1711"/>
            <w:shd w:val="clear" w:color="auto" w:fill="EDF3F9"/>
          </w:tcPr>
          <w:p>
            <w:pPr>
              <w:spacing w:after="0" w:line="276" w:lineRule="auto"/>
            </w:pPr>
            <w:r/>
            <w:r>
              <w:rPr>
                <w:rFonts w:ascii="宋体" w:hAnsi="宋体" w:eastAsia="宋体" w:cs="宋体"/>
                <w:b w:val="0"/>
                <w:i w:val="0"/>
                <w:color w:val="000000"/>
                <w:sz w:val="19"/>
              </w:rPr>
              <w:t>TRIPOD+AI</w:t>
            </w:r>
          </w:p>
        </w:tc>
        <w:tc>
          <w:tcPr>
            <w:tcW w:type="dxa" w:w="2510"/>
            <w:shd w:val="clear" w:color="auto" w:fill="EDF3F9"/>
          </w:tcPr>
          <w:p>
            <w:pPr>
              <w:spacing w:after="0" w:line="276" w:lineRule="auto"/>
            </w:pPr>
            <w:r/>
            <w:r>
              <w:rPr>
                <w:rFonts w:ascii="宋体" w:hAnsi="宋体" w:eastAsia="宋体" w:cs="宋体"/>
                <w:b w:val="0"/>
                <w:i w:val="0"/>
                <w:color w:val="000000"/>
                <w:sz w:val="19"/>
              </w:rPr>
              <w:t>Transparent Reporting of a multivariable prediction model for Individual Prognosis Or Diagnosis（AI extension）</w:t>
            </w:r>
          </w:p>
        </w:tc>
        <w:tc>
          <w:tcPr>
            <w:tcW w:type="dxa" w:w="4906"/>
            <w:shd w:val="clear" w:color="auto" w:fill="EDF3F9"/>
          </w:tcPr>
          <w:p>
            <w:pPr>
              <w:spacing w:after="0" w:line="276" w:lineRule="auto"/>
            </w:pPr>
            <w:r/>
            <w:r>
              <w:rPr>
                <w:rFonts w:ascii="宋体" w:hAnsi="宋体" w:eastAsia="宋体" w:cs="宋体"/>
                <w:b w:val="0"/>
                <w:i w:val="0"/>
                <w:color w:val="000000"/>
                <w:sz w:val="19"/>
              </w:rPr>
              <w:t>个体预后或诊断多变量预测模型的透明报告规范（AI 扩展版），建议作为本研究报告规范</w:t>
            </w:r>
          </w:p>
        </w:tc>
      </w:tr>
      <w:tr>
        <w:tc>
          <w:tcPr>
            <w:tcW w:type="dxa" w:w="1711"/>
          </w:tcPr>
          <w:p>
            <w:pPr>
              <w:spacing w:after="0" w:line="276" w:lineRule="auto"/>
            </w:pPr>
            <w:r/>
            <w:r>
              <w:rPr>
                <w:rFonts w:ascii="宋体" w:hAnsi="宋体" w:eastAsia="宋体" w:cs="宋体"/>
                <w:b w:val="0"/>
                <w:i w:val="0"/>
                <w:color w:val="000000"/>
                <w:sz w:val="19"/>
              </w:rPr>
              <w:t>STARD-AI</w:t>
            </w:r>
          </w:p>
        </w:tc>
        <w:tc>
          <w:tcPr>
            <w:tcW w:type="dxa" w:w="2510"/>
          </w:tcPr>
          <w:p>
            <w:pPr>
              <w:spacing w:after="0" w:line="276" w:lineRule="auto"/>
            </w:pPr>
            <w:r/>
            <w:r>
              <w:rPr>
                <w:rFonts w:ascii="宋体" w:hAnsi="宋体" w:eastAsia="宋体" w:cs="宋体"/>
                <w:b w:val="0"/>
                <w:i w:val="0"/>
                <w:color w:val="000000"/>
                <w:sz w:val="19"/>
              </w:rPr>
              <w:t>Standards for Reporting of Diagnostic Accuracy Studies（AI extension）</w:t>
            </w:r>
          </w:p>
        </w:tc>
        <w:tc>
          <w:tcPr>
            <w:tcW w:type="dxa" w:w="4906"/>
          </w:tcPr>
          <w:p>
            <w:pPr>
              <w:spacing w:after="0" w:line="276" w:lineRule="auto"/>
            </w:pPr>
            <w:r/>
            <w:r>
              <w:rPr>
                <w:rFonts w:ascii="宋体" w:hAnsi="宋体" w:eastAsia="宋体" w:cs="宋体"/>
                <w:b w:val="0"/>
                <w:i w:val="0"/>
                <w:color w:val="000000"/>
                <w:sz w:val="19"/>
              </w:rPr>
              <w:t>诊断准确性研究报告规范（AI 扩展版）</w:t>
            </w:r>
          </w:p>
        </w:tc>
      </w:tr>
      <w:tr>
        <w:tc>
          <w:tcPr>
            <w:tcW w:type="dxa" w:w="1711"/>
            <w:shd w:val="clear" w:color="auto" w:fill="EDF3F9"/>
          </w:tcPr>
          <w:p>
            <w:pPr>
              <w:spacing w:after="0" w:line="276" w:lineRule="auto"/>
            </w:pPr>
            <w:r/>
            <w:r>
              <w:rPr>
                <w:rFonts w:ascii="宋体" w:hAnsi="宋体" w:eastAsia="宋体" w:cs="宋体"/>
                <w:b w:val="0"/>
                <w:i w:val="0"/>
                <w:color w:val="000000"/>
                <w:sz w:val="19"/>
              </w:rPr>
              <w:t>PROBAST-AI</w:t>
            </w:r>
          </w:p>
        </w:tc>
        <w:tc>
          <w:tcPr>
            <w:tcW w:type="dxa" w:w="2510"/>
            <w:shd w:val="clear" w:color="auto" w:fill="EDF3F9"/>
          </w:tcPr>
          <w:p>
            <w:pPr>
              <w:spacing w:after="0" w:line="276" w:lineRule="auto"/>
            </w:pPr>
            <w:r/>
            <w:r>
              <w:rPr>
                <w:rFonts w:ascii="宋体" w:hAnsi="宋体" w:eastAsia="宋体" w:cs="宋体"/>
                <w:b w:val="0"/>
                <w:i w:val="0"/>
                <w:color w:val="000000"/>
                <w:sz w:val="19"/>
              </w:rPr>
              <w:t>Prediction model Risk Of Bias ASsessment Tool（AI extension）</w:t>
            </w:r>
          </w:p>
        </w:tc>
        <w:tc>
          <w:tcPr>
            <w:tcW w:type="dxa" w:w="4906"/>
            <w:shd w:val="clear" w:color="auto" w:fill="EDF3F9"/>
          </w:tcPr>
          <w:p>
            <w:pPr>
              <w:spacing w:after="0" w:line="276" w:lineRule="auto"/>
            </w:pPr>
            <w:r/>
            <w:r>
              <w:rPr>
                <w:rFonts w:ascii="宋体" w:hAnsi="宋体" w:eastAsia="宋体" w:cs="宋体"/>
                <w:b w:val="0"/>
                <w:i w:val="0"/>
                <w:color w:val="000000"/>
                <w:sz w:val="19"/>
              </w:rPr>
              <w:t>预测模型偏倚风险评估工具（AI 扩展版），用于评价研究偏倚风险</w:t>
            </w:r>
          </w:p>
        </w:tc>
      </w:tr>
      <w:tr>
        <w:tc>
          <w:tcPr>
            <w:tcW w:type="dxa" w:w="1711"/>
          </w:tcPr>
          <w:p>
            <w:pPr>
              <w:spacing w:after="0" w:line="276" w:lineRule="auto"/>
            </w:pPr>
            <w:r/>
            <w:r>
              <w:rPr>
                <w:rFonts w:ascii="宋体" w:hAnsi="宋体" w:eastAsia="宋体" w:cs="宋体"/>
                <w:b w:val="0"/>
                <w:i w:val="0"/>
                <w:color w:val="000000"/>
                <w:sz w:val="19"/>
              </w:rPr>
              <w:t>IPF</w:t>
            </w:r>
          </w:p>
        </w:tc>
        <w:tc>
          <w:tcPr>
            <w:tcW w:type="dxa" w:w="2510"/>
          </w:tcPr>
          <w:p>
            <w:pPr>
              <w:spacing w:after="0" w:line="276" w:lineRule="auto"/>
            </w:pPr>
            <w:r/>
            <w:r>
              <w:rPr>
                <w:rFonts w:ascii="宋体" w:hAnsi="宋体" w:eastAsia="宋体" w:cs="宋体"/>
                <w:b w:val="0"/>
                <w:i w:val="0"/>
                <w:color w:val="000000"/>
                <w:sz w:val="19"/>
              </w:rPr>
              <w:t>Idiopathic Pulmonary Fibrosis</w:t>
            </w:r>
          </w:p>
        </w:tc>
        <w:tc>
          <w:tcPr>
            <w:tcW w:type="dxa" w:w="4906"/>
          </w:tcPr>
          <w:p>
            <w:pPr>
              <w:spacing w:after="0" w:line="276" w:lineRule="auto"/>
            </w:pPr>
            <w:r/>
            <w:r>
              <w:rPr>
                <w:rFonts w:ascii="宋体" w:hAnsi="宋体" w:eastAsia="宋体" w:cs="宋体"/>
                <w:b w:val="0"/>
                <w:i w:val="0"/>
                <w:color w:val="000000"/>
                <w:sz w:val="19"/>
              </w:rPr>
              <w:t>特发性肺纤维化；咳嗽是其疾病进展的独立预测因子，也是药企咳嗽终点研究的主要适应症之一</w:t>
            </w:r>
          </w:p>
        </w:tc>
      </w:tr>
      <w:tr>
        <w:tc>
          <w:tcPr>
            <w:tcW w:type="dxa" w:w="1711"/>
            <w:shd w:val="clear" w:color="auto" w:fill="EDF3F9"/>
          </w:tcPr>
          <w:p>
            <w:pPr>
              <w:spacing w:after="0" w:line="276" w:lineRule="auto"/>
            </w:pPr>
            <w:r/>
            <w:r>
              <w:rPr>
                <w:rFonts w:ascii="宋体" w:hAnsi="宋体" w:eastAsia="宋体" w:cs="宋体"/>
                <w:b w:val="0"/>
                <w:i w:val="0"/>
                <w:color w:val="000000"/>
                <w:sz w:val="19"/>
              </w:rPr>
              <w:t>ICS</w:t>
            </w:r>
          </w:p>
        </w:tc>
        <w:tc>
          <w:tcPr>
            <w:tcW w:type="dxa" w:w="2510"/>
            <w:shd w:val="clear" w:color="auto" w:fill="EDF3F9"/>
          </w:tcPr>
          <w:p>
            <w:pPr>
              <w:spacing w:after="0" w:line="276" w:lineRule="auto"/>
            </w:pPr>
            <w:r/>
            <w:r>
              <w:rPr>
                <w:rFonts w:ascii="宋体" w:hAnsi="宋体" w:eastAsia="宋体" w:cs="宋体"/>
                <w:b w:val="0"/>
                <w:i w:val="0"/>
                <w:color w:val="000000"/>
                <w:sz w:val="19"/>
              </w:rPr>
              <w:t>Inhaled Corticosteroid</w:t>
            </w:r>
          </w:p>
        </w:tc>
        <w:tc>
          <w:tcPr>
            <w:tcW w:type="dxa" w:w="4906"/>
            <w:shd w:val="clear" w:color="auto" w:fill="EDF3F9"/>
          </w:tcPr>
          <w:p>
            <w:pPr>
              <w:spacing w:after="0" w:line="276" w:lineRule="auto"/>
            </w:pPr>
            <w:r/>
            <w:r>
              <w:rPr>
                <w:rFonts w:ascii="宋体" w:hAnsi="宋体" w:eastAsia="宋体" w:cs="宋体"/>
                <w:b w:val="0"/>
                <w:i w:val="0"/>
                <w:color w:val="000000"/>
                <w:sz w:val="19"/>
              </w:rPr>
              <w:t>吸入性糖皮质激素，哮喘长期控制的基石治疗；我国仅 5.6% 哮喘患者接受规范 ICS 治疗</w:t>
            </w:r>
          </w:p>
        </w:tc>
      </w:tr>
      <w:tr>
        <w:tc>
          <w:tcPr>
            <w:tcW w:type="dxa" w:w="1711"/>
          </w:tcPr>
          <w:p>
            <w:pPr>
              <w:spacing w:after="0" w:line="276" w:lineRule="auto"/>
            </w:pPr>
            <w:r/>
            <w:r>
              <w:rPr>
                <w:rFonts w:ascii="宋体" w:hAnsi="宋体" w:eastAsia="宋体" w:cs="宋体"/>
                <w:b w:val="0"/>
                <w:i w:val="0"/>
                <w:color w:val="000000"/>
                <w:sz w:val="19"/>
              </w:rPr>
              <w:t>GOLD</w:t>
            </w:r>
          </w:p>
        </w:tc>
        <w:tc>
          <w:tcPr>
            <w:tcW w:type="dxa" w:w="2510"/>
          </w:tcPr>
          <w:p>
            <w:pPr>
              <w:spacing w:after="0" w:line="276" w:lineRule="auto"/>
            </w:pPr>
            <w:r/>
            <w:r>
              <w:rPr>
                <w:rFonts w:ascii="宋体" w:hAnsi="宋体" w:eastAsia="宋体" w:cs="宋体"/>
                <w:b w:val="0"/>
                <w:i w:val="0"/>
                <w:color w:val="000000"/>
                <w:sz w:val="19"/>
              </w:rPr>
              <w:t>Global Initiative for Chronic Obstructive Lung Disease</w:t>
            </w:r>
          </w:p>
        </w:tc>
        <w:tc>
          <w:tcPr>
            <w:tcW w:type="dxa" w:w="4906"/>
          </w:tcPr>
          <w:p>
            <w:pPr>
              <w:spacing w:after="0" w:line="276" w:lineRule="auto"/>
            </w:pPr>
            <w:r/>
            <w:r>
              <w:rPr>
                <w:rFonts w:ascii="宋体" w:hAnsi="宋体" w:eastAsia="宋体" w:cs="宋体"/>
                <w:b w:val="0"/>
                <w:i w:val="0"/>
                <w:color w:val="000000"/>
                <w:sz w:val="19"/>
              </w:rPr>
              <w:t>慢性阻塞性肺疾病全球倡议；其 GOLD 1–4 级用于评价气流受限严重程度</w:t>
            </w:r>
          </w:p>
        </w:tc>
      </w:tr>
      <w:tr>
        <w:tc>
          <w:tcPr>
            <w:tcW w:type="dxa" w:w="1711"/>
            <w:shd w:val="clear" w:color="auto" w:fill="EDF3F9"/>
          </w:tcPr>
          <w:p>
            <w:pPr>
              <w:spacing w:after="0" w:line="276" w:lineRule="auto"/>
            </w:pPr>
            <w:r/>
            <w:r>
              <w:rPr>
                <w:rFonts w:ascii="宋体" w:hAnsi="宋体" w:eastAsia="宋体" w:cs="宋体"/>
                <w:b w:val="0"/>
                <w:i w:val="0"/>
                <w:color w:val="000000"/>
                <w:sz w:val="19"/>
              </w:rPr>
              <w:t>capnography</w:t>
            </w:r>
          </w:p>
        </w:tc>
        <w:tc>
          <w:tcPr>
            <w:tcW w:type="dxa" w:w="2510"/>
            <w:shd w:val="clear" w:color="auto" w:fill="EDF3F9"/>
          </w:tcPr>
          <w:p>
            <w:pPr>
              <w:spacing w:after="0" w:line="276" w:lineRule="auto"/>
            </w:pPr>
            <w:r/>
            <w:r>
              <w:rPr>
                <w:rFonts w:ascii="宋体" w:hAnsi="宋体" w:eastAsia="宋体" w:cs="宋体"/>
                <w:b w:val="0"/>
                <w:i w:val="0"/>
                <w:color w:val="000000"/>
                <w:sz w:val="19"/>
              </w:rPr>
              <w:t>Capnography</w:t>
            </w:r>
          </w:p>
        </w:tc>
        <w:tc>
          <w:tcPr>
            <w:tcW w:type="dxa" w:w="4906"/>
            <w:shd w:val="clear" w:color="auto" w:fill="EDF3F9"/>
          </w:tcPr>
          <w:p>
            <w:pPr>
              <w:spacing w:after="0" w:line="276" w:lineRule="auto"/>
            </w:pPr>
            <w:r/>
            <w:r>
              <w:rPr>
                <w:rFonts w:ascii="宋体" w:hAnsi="宋体" w:eastAsia="宋体" w:cs="宋体"/>
                <w:b w:val="0"/>
                <w:i w:val="0"/>
                <w:color w:val="000000"/>
                <w:sz w:val="19"/>
              </w:rPr>
              <w:t>二氧化碳描记法，通过呼气末二氧化碳波形测量呼吸率，常作为呼吸率监测的对照金标准</w:t>
            </w:r>
          </w:p>
        </w:tc>
      </w:tr>
      <w:tr>
        <w:tc>
          <w:tcPr>
            <w:tcW w:type="dxa" w:w="1711"/>
          </w:tcPr>
          <w:p>
            <w:pPr>
              <w:spacing w:after="0" w:line="276" w:lineRule="auto"/>
            </w:pPr>
            <w:r/>
            <w:r>
              <w:rPr>
                <w:rFonts w:ascii="宋体" w:hAnsi="宋体" w:eastAsia="宋体" w:cs="宋体"/>
                <w:b w:val="0"/>
                <w:i w:val="0"/>
                <w:color w:val="000000"/>
                <w:sz w:val="19"/>
              </w:rPr>
              <w:t>PIPL</w:t>
            </w:r>
          </w:p>
        </w:tc>
        <w:tc>
          <w:tcPr>
            <w:tcW w:type="dxa" w:w="2510"/>
          </w:tcPr>
          <w:p>
            <w:pPr>
              <w:spacing w:after="0" w:line="276" w:lineRule="auto"/>
            </w:pPr>
            <w:r/>
            <w:r>
              <w:rPr>
                <w:rFonts w:ascii="宋体" w:hAnsi="宋体" w:eastAsia="宋体" w:cs="宋体"/>
                <w:b w:val="0"/>
                <w:i w:val="0"/>
                <w:color w:val="000000"/>
                <w:sz w:val="19"/>
              </w:rPr>
              <w:t>Personal Information Protection Law</w:t>
            </w:r>
          </w:p>
        </w:tc>
        <w:tc>
          <w:tcPr>
            <w:tcW w:type="dxa" w:w="4906"/>
          </w:tcPr>
          <w:p>
            <w:pPr>
              <w:spacing w:after="0" w:line="276" w:lineRule="auto"/>
            </w:pPr>
            <w:r/>
            <w:r>
              <w:rPr>
                <w:rFonts w:ascii="宋体" w:hAnsi="宋体" w:eastAsia="宋体" w:cs="宋体"/>
                <w:b w:val="0"/>
                <w:i w:val="0"/>
                <w:color w:val="000000"/>
                <w:sz w:val="19"/>
              </w:rPr>
              <w:t>《中华人民共和国个人信息保护法》；医疗健康信息属其规定的敏感个人信息</w:t>
            </w:r>
          </w:p>
        </w:tc>
      </w:tr>
      <w:tr>
        <w:tc>
          <w:tcPr>
            <w:tcW w:type="dxa" w:w="1711"/>
            <w:shd w:val="clear" w:color="auto" w:fill="EDF3F9"/>
          </w:tcPr>
          <w:p>
            <w:pPr>
              <w:spacing w:after="0" w:line="276" w:lineRule="auto"/>
            </w:pPr>
            <w:r/>
            <w:r>
              <w:rPr>
                <w:rFonts w:ascii="宋体" w:hAnsi="宋体" w:eastAsia="宋体" w:cs="宋体"/>
                <w:b w:val="0"/>
                <w:i w:val="0"/>
                <w:color w:val="000000"/>
                <w:sz w:val="19"/>
              </w:rPr>
              <w:t>PIA</w:t>
            </w:r>
          </w:p>
        </w:tc>
        <w:tc>
          <w:tcPr>
            <w:tcW w:type="dxa" w:w="2510"/>
            <w:shd w:val="clear" w:color="auto" w:fill="EDF3F9"/>
          </w:tcPr>
          <w:p>
            <w:pPr>
              <w:spacing w:after="0" w:line="276" w:lineRule="auto"/>
            </w:pPr>
            <w:r/>
            <w:r>
              <w:rPr>
                <w:rFonts w:ascii="宋体" w:hAnsi="宋体" w:eastAsia="宋体" w:cs="宋体"/>
                <w:b w:val="0"/>
                <w:i w:val="0"/>
                <w:color w:val="000000"/>
                <w:sz w:val="19"/>
              </w:rPr>
              <w:t>Personal Information Protection Impact Assessment</w:t>
            </w:r>
          </w:p>
        </w:tc>
        <w:tc>
          <w:tcPr>
            <w:tcW w:type="dxa" w:w="4906"/>
            <w:shd w:val="clear" w:color="auto" w:fill="EDF3F9"/>
          </w:tcPr>
          <w:p>
            <w:pPr>
              <w:spacing w:after="0" w:line="276" w:lineRule="auto"/>
            </w:pPr>
            <w:r/>
            <w:r>
              <w:rPr>
                <w:rFonts w:ascii="宋体" w:hAnsi="宋体" w:eastAsia="宋体" w:cs="宋体"/>
                <w:b w:val="0"/>
                <w:i w:val="0"/>
                <w:color w:val="000000"/>
                <w:sz w:val="19"/>
              </w:rPr>
              <w:t>个人信息保护影响评估，处理敏感个人信息前必须开展，报告至少保存 3 年</w:t>
            </w:r>
          </w:p>
        </w:tc>
      </w:tr>
      <w:tr>
        <w:tc>
          <w:tcPr>
            <w:tcW w:type="dxa" w:w="1711"/>
          </w:tcPr>
          <w:p>
            <w:pPr>
              <w:spacing w:after="0" w:line="276" w:lineRule="auto"/>
            </w:pPr>
            <w:r/>
            <w:r>
              <w:rPr>
                <w:rFonts w:ascii="宋体" w:hAnsi="宋体" w:eastAsia="宋体" w:cs="宋体"/>
                <w:b w:val="0"/>
                <w:i w:val="0"/>
                <w:color w:val="000000"/>
                <w:sz w:val="19"/>
              </w:rPr>
              <w:t>OEM</w:t>
            </w:r>
          </w:p>
        </w:tc>
        <w:tc>
          <w:tcPr>
            <w:tcW w:type="dxa" w:w="2510"/>
          </w:tcPr>
          <w:p>
            <w:pPr>
              <w:spacing w:after="0" w:line="276" w:lineRule="auto"/>
            </w:pPr>
            <w:r/>
            <w:r>
              <w:rPr>
                <w:rFonts w:ascii="宋体" w:hAnsi="宋体" w:eastAsia="宋体" w:cs="宋体"/>
                <w:b w:val="0"/>
                <w:i w:val="0"/>
                <w:color w:val="000000"/>
                <w:sz w:val="19"/>
              </w:rPr>
              <w:t>Original Equipment Manufacturer</w:t>
            </w:r>
          </w:p>
        </w:tc>
        <w:tc>
          <w:tcPr>
            <w:tcW w:type="dxa" w:w="4906"/>
          </w:tcPr>
          <w:p>
            <w:pPr>
              <w:spacing w:after="0" w:line="276" w:lineRule="auto"/>
            </w:pPr>
            <w:r/>
            <w:r>
              <w:rPr>
                <w:rFonts w:ascii="宋体" w:hAnsi="宋体" w:eastAsia="宋体" w:cs="宋体"/>
                <w:b w:val="0"/>
                <w:i w:val="0"/>
                <w:color w:val="000000"/>
                <w:sz w:val="19"/>
              </w:rPr>
              <w:t>原始设备制造商；此处指以算法与整机方案授权给渠道品牌的合作模式</w:t>
            </w:r>
          </w:p>
        </w:tc>
      </w:tr>
    </w:tbl>
    <w:p>
      <w:pPr>
        <w:spacing w:after="40"/>
      </w:pPr>
    </w:p>
    <w:p>
      <w:pPr>
        <w:pStyle w:val="Heading1"/>
      </w:pPr>
      <w:r>
        <w:rPr>
          <w:rFonts w:ascii="宋体" w:hAnsi="宋体" w:eastAsia="宋体" w:cs="宋体"/>
          <w:b/>
          <w:i w:val="0"/>
          <w:color w:val="1F4E79"/>
          <w:sz w:val="30"/>
        </w:rPr>
        <w:t>附录 B 数据与资料来源说明</w:t>
      </w:r>
    </w:p>
    <w:p>
      <w:pPr>
        <w:spacing w:after="80"/>
        <w:ind w:firstLine="420"/>
      </w:pPr>
      <w:r>
        <w:rPr>
          <w:rFonts w:ascii="宋体" w:hAnsi="宋体" w:eastAsia="宋体" w:cs="宋体"/>
          <w:b w:val="0"/>
          <w:i w:val="0"/>
          <w:color w:val="000000"/>
          <w:sz w:val="21"/>
        </w:rPr>
        <w:t>本文档中的数据分三类，引用与答辩时应区分对待，避免把设计目标当作实测结果、把二手引用当作原始来源：</w:t>
      </w:r>
    </w:p>
    <w:tbl>
      <w:tblPr>
        <w:tblStyle w:val="TableGrid"/>
        <w:jc w:val="center"/>
        <w:tblLook w:firstColumn="1" w:firstRow="1" w:lastColumn="0" w:lastRow="0" w:noHBand="0" w:noVBand="1" w:val="04A0"/>
        <w:tblCellMar>
          <w:top w:w="60" w:type="dxa"/>
          <w:left w:w="90" w:type="dxa"/>
          <w:bottom w:w="60" w:type="dxa"/>
          <w:right w:w="90" w:type="dxa"/>
        </w:tblCellMar>
        <w:tblW w:w="9129" w:type="dxa"/>
        <w:tblLayout w:type="fixed"/>
      </w:tblPr>
      <w:tblGrid>
        <w:gridCol w:w="1826"/>
        <w:gridCol w:w="2282"/>
        <w:gridCol w:w="5021"/>
      </w:tblGrid>
      <w:tr>
        <w:trPr>
          <w:tblHeader w:val="true"/>
        </w:trPr>
        <w:tc>
          <w:tcPr>
            <w:tcW w:type="dxa" w:w="1826"/>
            <w:shd w:val="clear" w:color="auto" w:fill="1F4E79"/>
          </w:tcPr>
          <w:p>
            <w:pPr>
              <w:spacing w:after="0" w:line="276" w:lineRule="auto"/>
              <w:jc w:val="center"/>
            </w:pPr>
            <w:r/>
            <w:r>
              <w:rPr>
                <w:rFonts w:ascii="宋体" w:hAnsi="宋体" w:eastAsia="宋体" w:cs="宋体"/>
                <w:b/>
                <w:i w:val="0"/>
                <w:color w:val="FFFFFF"/>
                <w:sz w:val="19"/>
              </w:rPr>
              <w:t>数据类别</w:t>
            </w:r>
          </w:p>
        </w:tc>
        <w:tc>
          <w:tcPr>
            <w:tcW w:type="dxa" w:w="2282"/>
            <w:shd w:val="clear" w:color="auto" w:fill="1F4E79"/>
          </w:tcPr>
          <w:p>
            <w:pPr>
              <w:spacing w:after="0" w:line="276" w:lineRule="auto"/>
              <w:jc w:val="center"/>
            </w:pPr>
            <w:r/>
            <w:r>
              <w:rPr>
                <w:rFonts w:ascii="宋体" w:hAnsi="宋体" w:eastAsia="宋体" w:cs="宋体"/>
                <w:b/>
                <w:i w:val="0"/>
                <w:color w:val="FFFFFF"/>
                <w:sz w:val="19"/>
              </w:rPr>
              <w:t>本文档中的位置</w:t>
            </w:r>
          </w:p>
        </w:tc>
        <w:tc>
          <w:tcPr>
            <w:tcW w:type="dxa" w:w="5020"/>
            <w:shd w:val="clear" w:color="auto" w:fill="1F4E79"/>
          </w:tcPr>
          <w:p>
            <w:pPr>
              <w:spacing w:after="0" w:line="276" w:lineRule="auto"/>
              <w:jc w:val="center"/>
            </w:pPr>
            <w:r/>
            <w:r>
              <w:rPr>
                <w:rFonts w:ascii="宋体" w:hAnsi="宋体" w:eastAsia="宋体" w:cs="宋体"/>
                <w:b/>
                <w:i w:val="0"/>
                <w:color w:val="FFFFFF"/>
                <w:sz w:val="19"/>
              </w:rPr>
              <w:t>性质与使用建议</w:t>
            </w:r>
          </w:p>
        </w:tc>
      </w:tr>
      <w:tr>
        <w:tc>
          <w:tcPr>
            <w:tcW w:type="dxa" w:w="1826"/>
          </w:tcPr>
          <w:p>
            <w:pPr>
              <w:spacing w:after="0" w:line="276" w:lineRule="auto"/>
            </w:pPr>
            <w:r/>
            <w:r>
              <w:rPr>
                <w:rFonts w:ascii="宋体" w:hAnsi="宋体" w:eastAsia="宋体" w:cs="宋体"/>
                <w:b w:val="0"/>
                <w:i w:val="0"/>
                <w:color w:val="000000"/>
                <w:sz w:val="19"/>
              </w:rPr>
              <w:t>平台与器件规格</w:t>
            </w:r>
          </w:p>
        </w:tc>
        <w:tc>
          <w:tcPr>
            <w:tcW w:type="dxa" w:w="2282"/>
          </w:tcPr>
          <w:p>
            <w:pPr>
              <w:spacing w:after="0" w:line="276" w:lineRule="auto"/>
            </w:pPr>
            <w:r/>
            <w:r>
              <w:rPr>
                <w:rFonts w:ascii="宋体" w:hAnsi="宋体" w:eastAsia="宋体" w:cs="宋体"/>
                <w:b w:val="0"/>
                <w:i w:val="0"/>
                <w:color w:val="000000"/>
                <w:sz w:val="19"/>
              </w:rPr>
              <w:t>4.1.2 RK3576 参数</w:t>
            </w:r>
          </w:p>
        </w:tc>
        <w:tc>
          <w:tcPr>
            <w:tcW w:type="dxa" w:w="5020"/>
          </w:tcPr>
          <w:p>
            <w:pPr>
              <w:spacing w:after="0" w:line="276" w:lineRule="auto"/>
            </w:pPr>
            <w:r/>
            <w:r>
              <w:rPr>
                <w:rFonts w:ascii="宋体" w:hAnsi="宋体" w:eastAsia="宋体" w:cs="宋体"/>
                <w:b w:val="0"/>
                <w:i w:val="0"/>
                <w:color w:val="000000"/>
                <w:sz w:val="19"/>
              </w:rPr>
              <w:t>来自芯片原厂公开规格页，属客观事实，可直接引用；引用链接：www.rock-chips.com 产品页</w:t>
            </w:r>
          </w:p>
        </w:tc>
      </w:tr>
      <w:tr>
        <w:tc>
          <w:tcPr>
            <w:tcW w:type="dxa" w:w="1826"/>
            <w:shd w:val="clear" w:color="auto" w:fill="EDF3F9"/>
          </w:tcPr>
          <w:p>
            <w:pPr>
              <w:spacing w:after="0" w:line="276" w:lineRule="auto"/>
            </w:pPr>
            <w:r/>
            <w:r>
              <w:rPr>
                <w:rFonts w:ascii="宋体" w:hAnsi="宋体" w:eastAsia="宋体" w:cs="宋体"/>
                <w:b w:val="0"/>
                <w:i w:val="0"/>
                <w:color w:val="000000"/>
                <w:sz w:val="19"/>
              </w:rPr>
              <w:t>文献报道性能指标</w:t>
            </w:r>
          </w:p>
        </w:tc>
        <w:tc>
          <w:tcPr>
            <w:tcW w:type="dxa" w:w="2282"/>
            <w:shd w:val="clear" w:color="auto" w:fill="EDF3F9"/>
          </w:tcPr>
          <w:p>
            <w:pPr>
              <w:spacing w:after="0" w:line="276" w:lineRule="auto"/>
            </w:pPr>
            <w:r/>
            <w:r>
              <w:rPr>
                <w:rFonts w:ascii="宋体" w:hAnsi="宋体" w:eastAsia="宋体" w:cs="宋体"/>
                <w:b w:val="0"/>
                <w:i w:val="0"/>
                <w:color w:val="000000"/>
                <w:sz w:val="19"/>
              </w:rPr>
              <w:t>7.1 临床证据基础、2.4</w:t>
            </w:r>
          </w:p>
        </w:tc>
        <w:tc>
          <w:tcPr>
            <w:tcW w:type="dxa" w:w="5020"/>
            <w:shd w:val="clear" w:color="auto" w:fill="EDF3F9"/>
          </w:tcPr>
          <w:p>
            <w:pPr>
              <w:spacing w:after="0" w:line="276" w:lineRule="auto"/>
            </w:pPr>
            <w:r/>
            <w:r>
              <w:rPr>
                <w:rFonts w:ascii="宋体" w:hAnsi="宋体" w:eastAsia="宋体" w:cs="宋体"/>
                <w:b w:val="0"/>
                <w:i w:val="0"/>
                <w:color w:val="000000"/>
                <w:sz w:val="19"/>
              </w:rPr>
              <w:t>为文献报道值，用于论证方向可行性；正式使用请在附录登记文献出处（作者、期刊、年份、DOI）并核对原文口径</w:t>
            </w:r>
          </w:p>
        </w:tc>
      </w:tr>
      <w:tr>
        <w:tc>
          <w:tcPr>
            <w:tcW w:type="dxa" w:w="1826"/>
          </w:tcPr>
          <w:p>
            <w:pPr>
              <w:spacing w:after="0" w:line="276" w:lineRule="auto"/>
            </w:pPr>
            <w:r/>
            <w:r>
              <w:rPr>
                <w:rFonts w:ascii="宋体" w:hAnsi="宋体" w:eastAsia="宋体" w:cs="宋体"/>
                <w:b w:val="0"/>
                <w:i w:val="0"/>
                <w:color w:val="000000"/>
                <w:sz w:val="19"/>
              </w:rPr>
              <w:t>流行病学与市场规模</w:t>
            </w:r>
          </w:p>
        </w:tc>
        <w:tc>
          <w:tcPr>
            <w:tcW w:type="dxa" w:w="2282"/>
          </w:tcPr>
          <w:p>
            <w:pPr>
              <w:spacing w:after="0" w:line="276" w:lineRule="auto"/>
            </w:pPr>
            <w:r/>
            <w:r>
              <w:rPr>
                <w:rFonts w:ascii="宋体" w:hAnsi="宋体" w:eastAsia="宋体" w:cs="宋体"/>
                <w:b w:val="0"/>
                <w:i w:val="0"/>
                <w:color w:val="000000"/>
                <w:sz w:val="19"/>
              </w:rPr>
              <w:t>8.1、7.1</w:t>
            </w:r>
          </w:p>
        </w:tc>
        <w:tc>
          <w:tcPr>
            <w:tcW w:type="dxa" w:w="5020"/>
          </w:tcPr>
          <w:p>
            <w:pPr>
              <w:spacing w:after="0" w:line="276" w:lineRule="auto"/>
            </w:pPr>
            <w:r/>
            <w:r>
              <w:rPr>
                <w:rFonts w:ascii="宋体" w:hAnsi="宋体" w:eastAsia="宋体" w:cs="宋体"/>
                <w:b w:val="0"/>
                <w:i w:val="0"/>
                <w:color w:val="000000"/>
                <w:sz w:val="19"/>
              </w:rPr>
              <w:t>请以最新权威文献与国家统计口径为准，本文档数值仅作量级参考</w:t>
            </w:r>
          </w:p>
        </w:tc>
      </w:tr>
      <w:tr>
        <w:tc>
          <w:tcPr>
            <w:tcW w:type="dxa" w:w="1826"/>
            <w:shd w:val="clear" w:color="auto" w:fill="EDF3F9"/>
          </w:tcPr>
          <w:p>
            <w:pPr>
              <w:spacing w:after="0" w:line="276" w:lineRule="auto"/>
            </w:pPr>
            <w:r/>
            <w:r>
              <w:rPr>
                <w:rFonts w:ascii="宋体" w:hAnsi="宋体" w:eastAsia="宋体" w:cs="宋体"/>
                <w:b w:val="0"/>
                <w:i w:val="0"/>
                <w:color w:val="000000"/>
                <w:sz w:val="19"/>
              </w:rPr>
              <w:t>设计目标与预测值</w:t>
            </w:r>
          </w:p>
        </w:tc>
        <w:tc>
          <w:tcPr>
            <w:tcW w:type="dxa" w:w="2282"/>
            <w:shd w:val="clear" w:color="auto" w:fill="EDF3F9"/>
          </w:tcPr>
          <w:p>
            <w:pPr>
              <w:spacing w:after="0" w:line="276" w:lineRule="auto"/>
            </w:pPr>
            <w:r/>
            <w:r>
              <w:rPr>
                <w:rFonts w:ascii="宋体" w:hAnsi="宋体" w:eastAsia="宋体" w:cs="宋体"/>
                <w:b w:val="0"/>
                <w:i w:val="0"/>
                <w:color w:val="000000"/>
                <w:sz w:val="19"/>
              </w:rPr>
              <w:t>1.3、5.5、9.5</w:t>
            </w:r>
          </w:p>
        </w:tc>
        <w:tc>
          <w:tcPr>
            <w:tcW w:type="dxa" w:w="5020"/>
            <w:shd w:val="clear" w:color="auto" w:fill="EDF3F9"/>
          </w:tcPr>
          <w:p>
            <w:pPr>
              <w:spacing w:after="0" w:line="276" w:lineRule="auto"/>
            </w:pPr>
            <w:r/>
            <w:r>
              <w:rPr>
                <w:rFonts w:ascii="宋体" w:hAnsi="宋体" w:eastAsia="宋体" w:cs="宋体"/>
                <w:b w:val="0"/>
                <w:i w:val="0"/>
                <w:color w:val="000000"/>
                <w:sz w:val="19"/>
              </w:rPr>
              <w:t>为项目设计目标与假设性预测，非实测结果、非承诺性财务数据</w:t>
            </w:r>
          </w:p>
        </w:tc>
      </w:tr>
    </w:tbl>
    <w:p>
      <w:pPr>
        <w:spacing w:after="40"/>
      </w:pPr>
    </w:p>
    <w:p>
      <w:pPr>
        <w:pStyle w:val="Heading1"/>
      </w:pPr>
      <w:r>
        <w:rPr>
          <w:rFonts w:ascii="宋体" w:hAnsi="宋体" w:eastAsia="宋体" w:cs="宋体"/>
          <w:b/>
          <w:i w:val="0"/>
          <w:color w:val="1F4E79"/>
          <w:sz w:val="30"/>
        </w:rPr>
        <w:t>附录 B-1 建议核实的原始来源</w:t>
      </w:r>
    </w:p>
    <w:p>
      <w:pPr>
        <w:spacing w:after="40" w:line="324" w:lineRule="auto"/>
        <w:ind w:left="425" w:hanging="283"/>
      </w:pPr>
      <w:r>
        <w:rPr>
          <w:rFonts w:ascii="宋体" w:hAnsi="宋体" w:eastAsia="宋体" w:cs="宋体"/>
          <w:b w:val="0"/>
          <w:i w:val="0"/>
          <w:color w:val="2E74B5"/>
          <w:sz w:val="18"/>
        </w:rPr>
        <w:t xml:space="preserve">● </w:t>
      </w:r>
      <w:r>
        <w:rPr>
          <w:rFonts w:ascii="宋体" w:hAnsi="宋体" w:eastAsia="宋体" w:cs="宋体"/>
          <w:b/>
          <w:i w:val="0"/>
          <w:color w:val="000000"/>
          <w:sz w:val="21"/>
        </w:rPr>
        <w:t>芯片与平台｜瑞芯微 RK3576 产品页：</w:t>
      </w:r>
      <w:r>
        <w:rPr>
          <w:rFonts w:ascii="宋体" w:hAnsi="宋体" w:eastAsia="宋体" w:cs="宋体"/>
          <w:b w:val="0"/>
          <w:i w:val="0"/>
          <w:color w:val="000000"/>
          <w:sz w:val="21"/>
        </w:rPr>
        <w:t>八核 4×Cortex-A72 + 4×Cortex-A53、6 TOPS NPU、5 路 SAI（7 发 7 收，每路 8 通道 I2S/PCM/TDM）、2 路 PCM、USB 3.0 DRD、PCIe 2.1、SATA3 等规格。来源：瑞芯微官网 www.rock-chips.com 产品页（引用前请登记访问日期）。</w:t>
      </w:r>
    </w:p>
    <w:p>
      <w:pPr>
        <w:spacing w:after="40" w:line="324" w:lineRule="auto"/>
        <w:ind w:left="425" w:hanging="283"/>
      </w:pPr>
      <w:r>
        <w:rPr>
          <w:rFonts w:ascii="宋体" w:hAnsi="宋体" w:eastAsia="宋体" w:cs="宋体"/>
          <w:b w:val="0"/>
          <w:i w:val="0"/>
          <w:color w:val="2E74B5"/>
          <w:sz w:val="18"/>
        </w:rPr>
        <w:t xml:space="preserve">● </w:t>
      </w:r>
      <w:r>
        <w:rPr>
          <w:rFonts w:ascii="宋体" w:hAnsi="宋体" w:eastAsia="宋体" w:cs="宋体"/>
          <w:b w:val="0"/>
          <w:i w:val="0"/>
          <w:color w:val="000000"/>
          <w:sz w:val="21"/>
        </w:rPr>
        <w:t>芯片与平台｜RK3576 模组与 6 TOPS 算力参数：Banana Pi BPI-CM5 Pro 产品页，https://banana-pi.eu/produit/banana-pi-bpi-cm5-pro-module-compute-rk3576-ia-6-tops-8-go/</w:t>
      </w:r>
    </w:p>
    <w:p>
      <w:pPr>
        <w:spacing w:after="40" w:line="324" w:lineRule="auto"/>
        <w:ind w:left="425" w:hanging="283"/>
      </w:pPr>
      <w:r>
        <w:rPr>
          <w:rFonts w:ascii="宋体" w:hAnsi="宋体" w:eastAsia="宋体" w:cs="宋体"/>
          <w:b w:val="0"/>
          <w:i w:val="0"/>
          <w:color w:val="2E74B5"/>
          <w:sz w:val="18"/>
        </w:rPr>
        <w:t xml:space="preserve">● </w:t>
      </w:r>
      <w:r>
        <w:rPr>
          <w:rFonts w:ascii="宋体" w:hAnsi="宋体" w:eastAsia="宋体" w:cs="宋体"/>
          <w:b/>
          <w:i w:val="0"/>
          <w:color w:val="000000"/>
          <w:sz w:val="21"/>
        </w:rPr>
        <w:t>流行病学｜中国成人肺部健康研究（哮喘部分）：</w:t>
      </w:r>
      <w:r>
        <w:rPr>
          <w:rFonts w:ascii="宋体" w:hAnsi="宋体" w:eastAsia="宋体" w:cs="宋体"/>
          <w:b w:val="0"/>
          <w:i w:val="0"/>
          <w:color w:val="000000"/>
          <w:sz w:val="21"/>
        </w:rPr>
        <w:t>《柳叶刀》2019 年，DOI 10.1016/S0140-6736(19)31147-X。关键内容：20 岁及以上哮喘患病率 4.2%、患者 4,570 万、71.2% 从未被医生诊断、仅 5.6% 接受规范 ICS 治疗、26.2% 伴肺功能气流受限。</w:t>
      </w:r>
    </w:p>
    <w:p>
      <w:pPr>
        <w:spacing w:after="40" w:line="324" w:lineRule="auto"/>
        <w:ind w:left="425" w:hanging="283"/>
      </w:pPr>
      <w:r>
        <w:rPr>
          <w:rFonts w:ascii="宋体" w:hAnsi="宋体" w:eastAsia="宋体" w:cs="宋体"/>
          <w:b w:val="0"/>
          <w:i w:val="0"/>
          <w:color w:val="2E74B5"/>
          <w:sz w:val="18"/>
        </w:rPr>
        <w:t xml:space="preserve">● </w:t>
      </w:r>
      <w:r>
        <w:rPr>
          <w:rFonts w:ascii="宋体" w:hAnsi="宋体" w:eastAsia="宋体" w:cs="宋体"/>
          <w:b/>
          <w:i w:val="0"/>
          <w:color w:val="000000"/>
          <w:sz w:val="21"/>
        </w:rPr>
        <w:t>流行病学｜中国成人肺部健康研究（慢阻肺部分）：</w:t>
      </w:r>
      <w:r>
        <w:rPr>
          <w:rFonts w:ascii="宋体" w:hAnsi="宋体" w:eastAsia="宋体" w:cs="宋体"/>
          <w:b w:val="0"/>
          <w:i w:val="0"/>
          <w:color w:val="000000"/>
          <w:sz w:val="21"/>
        </w:rPr>
        <w:t>《柳叶刀》2018 年。关键内容：20 岁及以上患病率 8.6%、40 岁及以上 13.7%、60 岁及以上超过 27%；患者 9,990 万；不足 3% 知晓自己患病、90% 从未获明确诊断、约 60% 无明显咳嗽咳痰喘息症状。</w:t>
      </w:r>
    </w:p>
    <w:p>
      <w:pPr>
        <w:spacing w:after="40" w:line="324" w:lineRule="auto"/>
        <w:ind w:left="425" w:hanging="283"/>
      </w:pPr>
      <w:r>
        <w:rPr>
          <w:rFonts w:ascii="宋体" w:hAnsi="宋体" w:eastAsia="宋体" w:cs="宋体"/>
          <w:b w:val="0"/>
          <w:i w:val="0"/>
          <w:color w:val="2E74B5"/>
          <w:sz w:val="18"/>
        </w:rPr>
        <w:t xml:space="preserve">● </w:t>
      </w:r>
      <w:r>
        <w:rPr>
          <w:rFonts w:ascii="宋体" w:hAnsi="宋体" w:eastAsia="宋体" w:cs="宋体"/>
          <w:b/>
          <w:i w:val="0"/>
          <w:color w:val="000000"/>
          <w:sz w:val="21"/>
        </w:rPr>
        <w:t>流行病学｜儿童哮喘：</w:t>
      </w:r>
      <w:r>
        <w:rPr>
          <w:rFonts w:ascii="宋体" w:hAnsi="宋体" w:eastAsia="宋体" w:cs="宋体"/>
          <w:b w:val="0"/>
          <w:i w:val="0"/>
          <w:color w:val="000000"/>
          <w:sz w:val="21"/>
        </w:rPr>
        <w:t>申昆玲（国家儿童医学中心 / 北京儿童医院）《儿童支气管哮喘防治及管理策略：迈向“零死亡”的科学路径》，中华医学信息导报 2025 年 5 月；科普中国转载 https://cloud.kepuchina.cn/h5/detail?id=7319398728012251136 。关键内容：中国儿童哮喘患者超过 1,000 万、整体控制率不足 50%；PEF 早晚变异率超过 13% 可能预示哮喘发作风险。</w:t>
      </w:r>
    </w:p>
    <w:p>
      <w:pPr>
        <w:spacing w:after="40" w:line="324" w:lineRule="auto"/>
        <w:ind w:left="425" w:hanging="283"/>
      </w:pPr>
      <w:r>
        <w:rPr>
          <w:rFonts w:ascii="宋体" w:hAnsi="宋体" w:eastAsia="宋体" w:cs="宋体"/>
          <w:b w:val="0"/>
          <w:i w:val="0"/>
          <w:color w:val="2E74B5"/>
          <w:sz w:val="18"/>
        </w:rPr>
        <w:t xml:space="preserve">● </w:t>
      </w:r>
      <w:r>
        <w:rPr>
          <w:rFonts w:ascii="宋体" w:hAnsi="宋体" w:eastAsia="宋体" w:cs="宋体"/>
          <w:b w:val="0"/>
          <w:i w:val="0"/>
          <w:color w:val="000000"/>
          <w:sz w:val="21"/>
        </w:rPr>
        <w:t>流行病学｜第二次中国城市儿童哮喘流行病学调查，https://rs.yiigle.com/cmaid/33609 ；中国 16 城市儿童哮喘患病率 20 年对比研究，《中国实用儿科杂志》2015，https://journal.wf.pub/article:zgsyekzz201508009 。【儿童哮喘患病率的具体百分比与最新全国流调数值待核实】</w:t>
      </w:r>
    </w:p>
    <w:p>
      <w:pPr>
        <w:spacing w:after="40" w:line="324" w:lineRule="auto"/>
        <w:ind w:left="425" w:hanging="283"/>
      </w:pPr>
      <w:r>
        <w:rPr>
          <w:rFonts w:ascii="宋体" w:hAnsi="宋体" w:eastAsia="宋体" w:cs="宋体"/>
          <w:b w:val="0"/>
          <w:i w:val="0"/>
          <w:color w:val="2E74B5"/>
          <w:sz w:val="18"/>
        </w:rPr>
        <w:t xml:space="preserve">● </w:t>
      </w:r>
      <w:r>
        <w:rPr>
          <w:rFonts w:ascii="宋体" w:hAnsi="宋体" w:eastAsia="宋体" w:cs="宋体"/>
          <w:b w:val="0"/>
          <w:i w:val="0"/>
          <w:color w:val="000000"/>
          <w:sz w:val="21"/>
        </w:rPr>
        <w:t>流行病学｜吸烟人群（3 亿以上）与国家卫生健康部门公开发布口径；慢阻肺疾病负担顺位引自全球疾病负担研究（GBD）口径。【具体年份与顺位待核实】</w:t>
      </w:r>
    </w:p>
    <w:p>
      <w:pPr>
        <w:spacing w:after="40" w:line="324" w:lineRule="auto"/>
        <w:ind w:left="425" w:hanging="283"/>
      </w:pPr>
      <w:r>
        <w:rPr>
          <w:rFonts w:ascii="宋体" w:hAnsi="宋体" w:eastAsia="宋体" w:cs="宋体"/>
          <w:b w:val="0"/>
          <w:i w:val="0"/>
          <w:color w:val="2E74B5"/>
          <w:sz w:val="18"/>
        </w:rPr>
        <w:t xml:space="preserve">● </w:t>
      </w:r>
      <w:r>
        <w:rPr>
          <w:rFonts w:ascii="宋体" w:hAnsi="宋体" w:eastAsia="宋体" w:cs="宋体"/>
          <w:b w:val="0"/>
          <w:i w:val="0"/>
          <w:color w:val="000000"/>
          <w:sz w:val="21"/>
        </w:rPr>
        <w:t>临床证据｜中国 Cough Search 研究（NCT06082791）：上海交通大学医学院附属瑞金医院等与阿斯利康等合作，基于 transformer 的手机自主咳嗽音模型检出慢阻肺。训练 406 例慢阻肺 / 1,631 例非慢阻肺；外部验证 105 例慢阻肺 / 617 例非慢阻肺（四家医院）；内部 AUC 0.92、外部 AUC 0.94、外部敏感度 92%、特异度 86%；GOLD 3–4 级敏感度 ＞93%。文献标识：ClinicalTrials.gov NCT06082791（正式论文出处与卷期【待核实】）。</w:t>
      </w:r>
    </w:p>
    <w:p>
      <w:pPr>
        <w:spacing w:after="40" w:line="324" w:lineRule="auto"/>
        <w:ind w:left="425" w:hanging="283"/>
      </w:pPr>
      <w:r>
        <w:rPr>
          <w:rFonts w:ascii="宋体" w:hAnsi="宋体" w:eastAsia="宋体" w:cs="宋体"/>
          <w:b w:val="0"/>
          <w:i w:val="0"/>
          <w:color w:val="2E74B5"/>
          <w:sz w:val="18"/>
        </w:rPr>
        <w:t xml:space="preserve">● </w:t>
      </w:r>
      <w:r>
        <w:rPr>
          <w:rFonts w:ascii="宋体" w:hAnsi="宋体" w:eastAsia="宋体" w:cs="宋体"/>
          <w:b w:val="0"/>
          <w:i w:val="0"/>
          <w:color w:val="000000"/>
          <w:sz w:val="21"/>
        </w:rPr>
        <w:t>临床证据｜Hyfe CoughMonitor 多中心验证：《Scientific Reports》2025 年，https://www.nature.com/articles/s41598-025-85341-3 。关键内容：546 小时连续录音、4,454 次咳嗽事件、多观察者人工标注；敏感度 90.4%（95%CI 88.3–92.2）；假阳性 1.03 次/小时；逐小时咳嗽计数 Pearson r = 0.99。</w:t>
      </w:r>
    </w:p>
    <w:p>
      <w:pPr>
        <w:spacing w:after="40" w:line="324" w:lineRule="auto"/>
        <w:ind w:left="425" w:hanging="283"/>
      </w:pPr>
      <w:r>
        <w:rPr>
          <w:rFonts w:ascii="宋体" w:hAnsi="宋体" w:eastAsia="宋体" w:cs="宋体"/>
          <w:b w:val="0"/>
          <w:i w:val="0"/>
          <w:color w:val="2E74B5"/>
          <w:sz w:val="18"/>
        </w:rPr>
        <w:t xml:space="preserve">● </w:t>
      </w:r>
      <w:r>
        <w:rPr>
          <w:rFonts w:ascii="宋体" w:hAnsi="宋体" w:eastAsia="宋体" w:cs="宋体"/>
          <w:b w:val="0"/>
          <w:i w:val="0"/>
          <w:color w:val="000000"/>
          <w:sz w:val="21"/>
        </w:rPr>
        <w:t>临床证据｜Hyfe Cough Tracker 手机 App 性能：F1000Research。关键内容：49 名受试者，敏感度 91%、特异度 98%，咳嗽率 Pearson 相关 0.968。</w:t>
      </w:r>
    </w:p>
    <w:p>
      <w:pPr>
        <w:spacing w:after="40" w:line="324" w:lineRule="auto"/>
        <w:ind w:left="425" w:hanging="283"/>
      </w:pPr>
      <w:r>
        <w:rPr>
          <w:rFonts w:ascii="宋体" w:hAnsi="宋体" w:eastAsia="宋体" w:cs="宋体"/>
          <w:b w:val="0"/>
          <w:i w:val="0"/>
          <w:color w:val="2E74B5"/>
          <w:sz w:val="18"/>
        </w:rPr>
        <w:t xml:space="preserve">● </w:t>
      </w:r>
      <w:r>
        <w:rPr>
          <w:rFonts w:ascii="宋体" w:hAnsi="宋体" w:eastAsia="宋体" w:cs="宋体"/>
          <w:b w:val="0"/>
          <w:i w:val="0"/>
          <w:color w:val="000000"/>
          <w:sz w:val="21"/>
        </w:rPr>
        <w:t>临床证据｜莱斯特咳嗽监测仪（Leicester Cough Monitor）：Eur Respir J 2008。关键内容：24 小时自动咳嗽监测，敏感度 91%、特异度 99%、假阳性 2.5 次/小时；患者 48±9 次/小时 vs 健康对照 2±1 次/小时；组内 ICC = 0.9；日间 25 次/小时 vs 夜间 10 次/小时。</w:t>
      </w:r>
    </w:p>
    <w:p>
      <w:pPr>
        <w:spacing w:after="40" w:line="324" w:lineRule="auto"/>
        <w:ind w:left="425" w:hanging="283"/>
      </w:pPr>
      <w:r>
        <w:rPr>
          <w:rFonts w:ascii="宋体" w:hAnsi="宋体" w:eastAsia="宋体" w:cs="宋体"/>
          <w:b w:val="0"/>
          <w:i w:val="0"/>
          <w:color w:val="2E74B5"/>
          <w:sz w:val="18"/>
        </w:rPr>
        <w:t xml:space="preserve">● </w:t>
      </w:r>
      <w:r>
        <w:rPr>
          <w:rFonts w:ascii="宋体" w:hAnsi="宋体" w:eastAsia="宋体" w:cs="宋体"/>
          <w:b w:val="0"/>
          <w:i w:val="0"/>
          <w:color w:val="000000"/>
          <w:sz w:val="21"/>
        </w:rPr>
        <w:t>临床证据｜呼吸率声学估计（帝国理工 AcuPebble）：J Clin Med 2024。关键内容：对照 capnography（金标准），前瞻 15 名健康志愿者 + 回顾 150 例 OSA 患者；RMSD ＜ 3 次/分，平均误差 1.83 / 1.4 次/分。</w:t>
      </w:r>
    </w:p>
    <w:p>
      <w:pPr>
        <w:spacing w:after="40" w:line="324" w:lineRule="auto"/>
        <w:ind w:left="425" w:hanging="283"/>
      </w:pPr>
      <w:r>
        <w:rPr>
          <w:rFonts w:ascii="宋体" w:hAnsi="宋体" w:eastAsia="宋体" w:cs="宋体"/>
          <w:b w:val="0"/>
          <w:i w:val="0"/>
          <w:color w:val="2E74B5"/>
          <w:sz w:val="18"/>
        </w:rPr>
        <w:t xml:space="preserve">● </w:t>
      </w:r>
      <w:r>
        <w:rPr>
          <w:rFonts w:ascii="宋体" w:hAnsi="宋体" w:eastAsia="宋体" w:cs="宋体"/>
          <w:b/>
          <w:i w:val="0"/>
          <w:color w:val="000000"/>
          <w:sz w:val="21"/>
        </w:rPr>
        <w:t>临床证据｜儿童肺音 AI 荟萃分析（首尔大学）：</w:t>
      </w:r>
      <w:r>
        <w:rPr>
          <w:rFonts w:ascii="宋体" w:hAnsi="宋体" w:eastAsia="宋体" w:cs="宋体"/>
          <w:b w:val="0"/>
          <w:i w:val="0"/>
          <w:color w:val="000000"/>
          <w:sz w:val="21"/>
        </w:rPr>
        <w:t>JMIR 2025，41 项研究。关键内容：喘息检出合并敏感度 0.902、特异度 0.955；异常肺音检出敏感度 0.907、特异度 0.877。</w:t>
      </w:r>
    </w:p>
    <w:p>
      <w:pPr>
        <w:spacing w:after="40" w:line="324" w:lineRule="auto"/>
        <w:ind w:left="425" w:hanging="283"/>
      </w:pPr>
      <w:r>
        <w:rPr>
          <w:rFonts w:ascii="宋体" w:hAnsi="宋体" w:eastAsia="宋体" w:cs="宋体"/>
          <w:b w:val="0"/>
          <w:i w:val="0"/>
          <w:color w:val="2E74B5"/>
          <w:sz w:val="18"/>
        </w:rPr>
        <w:t xml:space="preserve">● </w:t>
      </w:r>
      <w:r>
        <w:rPr>
          <w:rFonts w:ascii="宋体" w:hAnsi="宋体" w:eastAsia="宋体" w:cs="宋体"/>
          <w:b/>
          <w:i w:val="0"/>
          <w:color w:val="000000"/>
          <w:sz w:val="21"/>
        </w:rPr>
        <w:t>临床证据｜呼吸音 AI 筛查哮喘 / 慢阻肺：</w:t>
      </w:r>
      <w:r>
        <w:rPr>
          <w:rFonts w:ascii="宋体" w:hAnsi="宋体" w:eastAsia="宋体" w:cs="宋体"/>
          <w:b w:val="0"/>
          <w:i w:val="0"/>
          <w:color w:val="000000"/>
          <w:sz w:val="21"/>
        </w:rPr>
        <w:t>多特征融合 + CatBoost，Scientific Reports。关键内容：总体准确率 90.3%；健康 / 哮喘 / 慢阻肺 F1 为 0.945 / 0.915 / 0.842；MCC 0.856、Cohen's κ 0.849。【卷期与在线发表状态待核实】</w:t>
      </w:r>
    </w:p>
    <w:p>
      <w:pPr>
        <w:spacing w:after="40" w:line="324" w:lineRule="auto"/>
        <w:ind w:left="425" w:hanging="283"/>
      </w:pPr>
      <w:r>
        <w:rPr>
          <w:rFonts w:ascii="宋体" w:hAnsi="宋体" w:eastAsia="宋体" w:cs="宋体"/>
          <w:b w:val="0"/>
          <w:i w:val="0"/>
          <w:color w:val="2E74B5"/>
          <w:sz w:val="18"/>
        </w:rPr>
        <w:t xml:space="preserve">● </w:t>
      </w:r>
      <w:r>
        <w:rPr>
          <w:rFonts w:ascii="宋体" w:hAnsi="宋体" w:eastAsia="宋体" w:cs="宋体"/>
          <w:b/>
          <w:i w:val="0"/>
          <w:color w:val="000000"/>
          <w:sz w:val="21"/>
        </w:rPr>
        <w:t>临床证据｜夜间咳嗽的客观特征：</w:t>
      </w:r>
      <w:r>
        <w:rPr>
          <w:rFonts w:ascii="宋体" w:hAnsi="宋体" w:eastAsia="宋体" w:cs="宋体"/>
          <w:b w:val="0"/>
          <w:i w:val="0"/>
          <w:color w:val="000000"/>
          <w:sz w:val="21"/>
        </w:rPr>
        <w:t>Rassouli 2020，94 例成人哮喘、2,212 个夜晚。关键内容：53% 的夜晚有咳嗽；86% 的咳嗽成簇出现；躺下后前 30 分钟咳嗽频次是其余夜间时段的 4.5 倍。</w:t>
      </w:r>
    </w:p>
    <w:p>
      <w:pPr>
        <w:spacing w:after="40" w:line="324" w:lineRule="auto"/>
        <w:ind w:left="425" w:hanging="283"/>
      </w:pPr>
      <w:r>
        <w:rPr>
          <w:rFonts w:ascii="宋体" w:hAnsi="宋体" w:eastAsia="宋体" w:cs="宋体"/>
          <w:b w:val="0"/>
          <w:i w:val="0"/>
          <w:color w:val="2E74B5"/>
          <w:sz w:val="18"/>
        </w:rPr>
        <w:t xml:space="preserve">● </w:t>
      </w:r>
      <w:r>
        <w:rPr>
          <w:rFonts w:ascii="宋体" w:hAnsi="宋体" w:eastAsia="宋体" w:cs="宋体"/>
          <w:b/>
          <w:i w:val="0"/>
          <w:color w:val="000000"/>
          <w:sz w:val="21"/>
        </w:rPr>
        <w:t>临床证据｜夜间咳嗽预测哮喘急性发作：</w:t>
      </w:r>
      <w:r>
        <w:rPr>
          <w:rFonts w:ascii="宋体" w:hAnsi="宋体" w:eastAsia="宋体" w:cs="宋体"/>
          <w:b w:val="0"/>
          <w:i w:val="0"/>
          <w:color w:val="000000"/>
          <w:sz w:val="21"/>
        </w:rPr>
        <w:t>Tinschert 2020，79 例成人哮喘、29 天居家手机监测。关键内容：识别“哮喘控制恶化周”的 BAC 71%；可提前最多 5 天预测急性发作；敏感度 75%–88%、特异度 57%–72%。</w:t>
      </w:r>
    </w:p>
    <w:p>
      <w:pPr>
        <w:spacing w:after="40" w:line="324" w:lineRule="auto"/>
        <w:ind w:left="425" w:hanging="283"/>
      </w:pPr>
      <w:r>
        <w:rPr>
          <w:rFonts w:ascii="宋体" w:hAnsi="宋体" w:eastAsia="宋体" w:cs="宋体"/>
          <w:b w:val="0"/>
          <w:i w:val="0"/>
          <w:color w:val="2E74B5"/>
          <w:sz w:val="18"/>
        </w:rPr>
        <w:t xml:space="preserve">● </w:t>
      </w:r>
      <w:r>
        <w:rPr>
          <w:rFonts w:ascii="宋体" w:hAnsi="宋体" w:eastAsia="宋体" w:cs="宋体"/>
          <w:b/>
          <w:i w:val="0"/>
          <w:color w:val="000000"/>
          <w:sz w:val="21"/>
        </w:rPr>
        <w:t>临床证据｜主观报告与客观录音的差距：</w:t>
      </w:r>
      <w:r>
        <w:rPr>
          <w:rFonts w:ascii="宋体" w:hAnsi="宋体" w:eastAsia="宋体" w:cs="宋体"/>
          <w:b w:val="0"/>
          <w:i w:val="0"/>
          <w:color w:val="000000"/>
          <w:sz w:val="21"/>
        </w:rPr>
        <w:t>Falconer 1993，15 例常年性哮喘儿童连续 7 夜。关键内容：家长报告 66% 的夜晚有咳嗽，录音实测 90%；一致性 Cohen's κ 仅 0.30。</w:t>
      </w:r>
    </w:p>
    <w:p>
      <w:pPr>
        <w:spacing w:after="40" w:line="324" w:lineRule="auto"/>
        <w:ind w:left="425" w:hanging="283"/>
      </w:pPr>
      <w:r>
        <w:rPr>
          <w:rFonts w:ascii="宋体" w:hAnsi="宋体" w:eastAsia="宋体" w:cs="宋体"/>
          <w:b w:val="0"/>
          <w:i w:val="0"/>
          <w:color w:val="2E74B5"/>
          <w:sz w:val="18"/>
        </w:rPr>
        <w:t xml:space="preserve">● </w:t>
      </w:r>
      <w:r>
        <w:rPr>
          <w:rFonts w:ascii="宋体" w:hAnsi="宋体" w:eastAsia="宋体" w:cs="宋体"/>
          <w:b/>
          <w:i w:val="0"/>
          <w:color w:val="000000"/>
          <w:sz w:val="21"/>
        </w:rPr>
        <w:t>临床证据｜咳嗽与慢阻肺急性加重：</w:t>
      </w:r>
      <w:r>
        <w:rPr>
          <w:rFonts w:ascii="宋体" w:hAnsi="宋体" w:eastAsia="宋体" w:cs="宋体"/>
          <w:b w:val="0"/>
          <w:i w:val="0"/>
          <w:color w:val="000000"/>
          <w:sz w:val="21"/>
        </w:rPr>
        <w:t>Burgel 2009，法国 433 例慢阻肺。关键内容：有慢性咳嗽咳痰者年均急性加重 2.20 次 vs 0.97 次；需住院的重度加重 0.43 vs 0.22 次/年；频繁加重比例 55% vs 22%。</w:t>
      </w:r>
    </w:p>
    <w:p>
      <w:pPr>
        <w:spacing w:after="40" w:line="324" w:lineRule="auto"/>
        <w:ind w:left="425" w:hanging="283"/>
      </w:pPr>
      <w:r>
        <w:rPr>
          <w:rFonts w:ascii="宋体" w:hAnsi="宋体" w:eastAsia="宋体" w:cs="宋体"/>
          <w:b w:val="0"/>
          <w:i w:val="0"/>
          <w:color w:val="2E74B5"/>
          <w:sz w:val="18"/>
        </w:rPr>
        <w:t xml:space="preserve">● </w:t>
      </w:r>
      <w:r>
        <w:rPr>
          <w:rFonts w:ascii="宋体" w:hAnsi="宋体" w:eastAsia="宋体" w:cs="宋体"/>
          <w:b/>
          <w:i w:val="0"/>
          <w:color w:val="000000"/>
          <w:sz w:val="21"/>
        </w:rPr>
        <w:t>临床证据｜客观计数与主观评分的分歧：</w:t>
      </w:r>
      <w:r>
        <w:rPr>
          <w:rFonts w:ascii="宋体" w:hAnsi="宋体" w:eastAsia="宋体" w:cs="宋体"/>
          <w:b w:val="0"/>
          <w:i w:val="0"/>
          <w:color w:val="000000"/>
          <w:sz w:val="21"/>
        </w:rPr>
        <w:t>Smith 2006，26 例稳定期慢阻肺。关键内容：咳嗽时间中位 7.5 咳嗽秒/小时（日间 12.4、夜间 1.9）；主观评分与客观计数相关仅 r = 0.37–0.50。</w:t>
      </w:r>
    </w:p>
    <w:p>
      <w:pPr>
        <w:spacing w:after="40" w:line="324" w:lineRule="auto"/>
        <w:ind w:left="425" w:hanging="283"/>
      </w:pPr>
      <w:r>
        <w:rPr>
          <w:rFonts w:ascii="宋体" w:hAnsi="宋体" w:eastAsia="宋体" w:cs="宋体"/>
          <w:b w:val="0"/>
          <w:i w:val="0"/>
          <w:color w:val="2E74B5"/>
          <w:sz w:val="18"/>
        </w:rPr>
        <w:t xml:space="preserve">● </w:t>
      </w:r>
      <w:r>
        <w:rPr>
          <w:rFonts w:ascii="宋体" w:hAnsi="宋体" w:eastAsia="宋体" w:cs="宋体"/>
          <w:b/>
          <w:i w:val="0"/>
          <w:color w:val="000000"/>
          <w:sz w:val="21"/>
        </w:rPr>
        <w:t>临床证据｜24 小时咳嗽计数的监管地位：</w:t>
      </w:r>
      <w:r>
        <w:rPr>
          <w:rFonts w:ascii="宋体" w:hAnsi="宋体" w:eastAsia="宋体" w:cs="宋体"/>
          <w:b w:val="0"/>
          <w:i w:val="0"/>
          <w:color w:val="000000"/>
          <w:sz w:val="21"/>
        </w:rPr>
        <w:t>默沙东 gefapixant，COUGH-1（n=730）与 COUGH-2（n=1,314）III 期试验以 24 小时动态录音设备客观测量的 24 小时咳嗽频次为主要终点；45 mg 组第 12 周较安慰剂降低 18.45%（p=0.041）、第 24 周降低 14.64%（p=0.031）；2023 年 11 月 FDA 顾问委员会以 12:1 投票反对获批，随后 FDA 发出完整回复函。【试验会议文件与正式文献出处待核实】</w:t>
      </w:r>
    </w:p>
    <w:p>
      <w:pPr>
        <w:spacing w:after="40" w:line="324" w:lineRule="auto"/>
        <w:ind w:left="425" w:hanging="283"/>
      </w:pPr>
      <w:r>
        <w:rPr>
          <w:rFonts w:ascii="宋体" w:hAnsi="宋体" w:eastAsia="宋体" w:cs="宋体"/>
          <w:b w:val="0"/>
          <w:i w:val="0"/>
          <w:color w:val="2E74B5"/>
          <w:sz w:val="18"/>
        </w:rPr>
        <w:t xml:space="preserve">● </w:t>
      </w:r>
      <w:r>
        <w:rPr>
          <w:rFonts w:ascii="宋体" w:hAnsi="宋体" w:eastAsia="宋体" w:cs="宋体"/>
          <w:b/>
          <w:i w:val="0"/>
          <w:color w:val="000000"/>
          <w:sz w:val="21"/>
        </w:rPr>
        <w:t>临床证据｜咳嗽声学标志物系统综述：</w:t>
      </w:r>
      <w:r>
        <w:rPr>
          <w:rFonts w:ascii="宋体" w:hAnsi="宋体" w:eastAsia="宋体" w:cs="宋体"/>
          <w:b w:val="0"/>
          <w:i w:val="0"/>
          <w:color w:val="000000"/>
          <w:sz w:val="21"/>
        </w:rPr>
        <w:t>89 项研究、34 个国家。关键内容：敏感度与特异度常 ≥ 90%，但仅约 11% 的研究开展了外部验证、71%–88% 的研究存在高偏倚风险。【具体期刊、年份与纳入标准待核实】</w:t>
      </w:r>
    </w:p>
    <w:p>
      <w:pPr>
        <w:spacing w:after="40" w:line="324" w:lineRule="auto"/>
        <w:ind w:left="425" w:hanging="283"/>
      </w:pPr>
      <w:r>
        <w:rPr>
          <w:rFonts w:ascii="宋体" w:hAnsi="宋体" w:eastAsia="宋体" w:cs="宋体"/>
          <w:b w:val="0"/>
          <w:i w:val="0"/>
          <w:color w:val="2E74B5"/>
          <w:sz w:val="18"/>
        </w:rPr>
        <w:t xml:space="preserve">● </w:t>
      </w:r>
      <w:r>
        <w:rPr>
          <w:rFonts w:ascii="宋体" w:hAnsi="宋体" w:eastAsia="宋体" w:cs="宋体"/>
          <w:b/>
          <w:i w:val="0"/>
          <w:color w:val="000000"/>
          <w:sz w:val="21"/>
        </w:rPr>
        <w:t>临床证据｜儿童稳定期哮喘的夜间咳嗽与严重程度：</w:t>
      </w:r>
      <w:r>
        <w:rPr>
          <w:rFonts w:ascii="宋体" w:hAnsi="宋体" w:eastAsia="宋体" w:cs="宋体"/>
          <w:b w:val="0"/>
          <w:i w:val="0"/>
          <w:color w:val="000000"/>
          <w:sz w:val="21"/>
        </w:rPr>
        <w:t>PubMed 7607286，https://pubmed.ncbi.nlm.nih.gov/7607286/</w:t>
      </w:r>
    </w:p>
    <w:p>
      <w:pPr>
        <w:spacing w:after="40" w:line="324" w:lineRule="auto"/>
        <w:ind w:left="425" w:hanging="283"/>
      </w:pPr>
      <w:r>
        <w:rPr>
          <w:rFonts w:ascii="宋体" w:hAnsi="宋体" w:eastAsia="宋体" w:cs="宋体"/>
          <w:b w:val="0"/>
          <w:i w:val="0"/>
          <w:color w:val="2E74B5"/>
          <w:sz w:val="18"/>
        </w:rPr>
        <w:t xml:space="preserve">● </w:t>
      </w:r>
      <w:r>
        <w:rPr>
          <w:rFonts w:ascii="宋体" w:hAnsi="宋体" w:eastAsia="宋体" w:cs="宋体"/>
          <w:b w:val="0"/>
          <w:i w:val="0"/>
          <w:color w:val="000000"/>
          <w:sz w:val="21"/>
        </w:rPr>
        <w:t>监管与合规｜《健康中国行动——慢性呼吸系统疾病防治行动实施方案（2024—2030 年）》，国家卫生健康委 2024 年 7 月：推进分级诊疗、加强早期筛查与早诊早治、提升基层防治服务能力、加强监测与评估。解读来源 https://cdcp.gd.gov.cn/zzzq/zcjd/content/mpost_4465581.html</w:t>
      </w:r>
    </w:p>
    <w:p>
      <w:pPr>
        <w:spacing w:after="40" w:line="324" w:lineRule="auto"/>
        <w:ind w:left="425" w:hanging="283"/>
      </w:pPr>
      <w:r>
        <w:rPr>
          <w:rFonts w:ascii="宋体" w:hAnsi="宋体" w:eastAsia="宋体" w:cs="宋体"/>
          <w:b w:val="0"/>
          <w:i w:val="0"/>
          <w:color w:val="2E74B5"/>
          <w:sz w:val="18"/>
        </w:rPr>
        <w:t xml:space="preserve">● </w:t>
      </w:r>
      <w:r>
        <w:rPr>
          <w:rFonts w:ascii="宋体" w:hAnsi="宋体" w:eastAsia="宋体" w:cs="宋体"/>
          <w:b w:val="0"/>
          <w:i w:val="0"/>
          <w:color w:val="000000"/>
          <w:sz w:val="21"/>
        </w:rPr>
        <w:t>监管与合规｜《“十四五”医疗装备产业发展规划》，工业和信息化部等十部门 2021 年 12 月：「推进 5G+ 医疗健康，居家社区、医养康养一体化等新模式，促进医疗服务从院中诊疗向院前家庭健康管理、院间资源共享、院后康复的连续性服务方向拓展」。工信部解读 https://www.miit.gov.cn/zwgk/zcjd/art/2021/art_c02b5ddec6ec4d9e9fa5d9d779e0e833.html</w:t>
      </w:r>
    </w:p>
    <w:p>
      <w:pPr>
        <w:spacing w:after="40" w:line="324" w:lineRule="auto"/>
        <w:ind w:left="425" w:hanging="283"/>
      </w:pPr>
      <w:r>
        <w:rPr>
          <w:rFonts w:ascii="宋体" w:hAnsi="宋体" w:eastAsia="宋体" w:cs="宋体"/>
          <w:b w:val="0"/>
          <w:i w:val="0"/>
          <w:color w:val="2E74B5"/>
          <w:sz w:val="18"/>
        </w:rPr>
        <w:t xml:space="preserve">● </w:t>
      </w:r>
      <w:r>
        <w:rPr>
          <w:rFonts w:ascii="宋体" w:hAnsi="宋体" w:eastAsia="宋体" w:cs="宋体"/>
          <w:b w:val="0"/>
          <w:i w:val="0"/>
          <w:color w:val="000000"/>
          <w:sz w:val="21"/>
        </w:rPr>
        <w:t>监管与合规｜医保发〔2020〕45 号《关于积极推进“互联网+”医疗服务医保支付工作的指导意见》，国家医保局 2020 年 10 月：优先保障门诊慢特病等复诊续方需求，线上线下一致。http://www.nhsa.gov.cn/art/2020/11/2/art_53_3802.html</w:t>
      </w:r>
    </w:p>
    <w:p>
      <w:pPr>
        <w:spacing w:after="40" w:line="324" w:lineRule="auto"/>
        <w:ind w:left="425" w:hanging="283"/>
      </w:pPr>
      <w:r>
        <w:rPr>
          <w:rFonts w:ascii="宋体" w:hAnsi="宋体" w:eastAsia="宋体" w:cs="宋体"/>
          <w:b w:val="0"/>
          <w:i w:val="0"/>
          <w:color w:val="2E74B5"/>
          <w:sz w:val="18"/>
        </w:rPr>
        <w:t xml:space="preserve">● </w:t>
      </w:r>
      <w:r>
        <w:rPr>
          <w:rFonts w:ascii="宋体" w:hAnsi="宋体" w:eastAsia="宋体" w:cs="宋体"/>
          <w:b w:val="0"/>
          <w:i w:val="0"/>
          <w:color w:val="000000"/>
          <w:sz w:val="21"/>
        </w:rPr>
        <w:t>监管与合规｜《人工智能医用软件产品分类界定指导原则》，国家药监局 2021 年第 47 号通告：判定依据是预期用途而非技术本身；仅用于数据处理或测量、只提供临床参考信息、不涉及治疗相关决策 → 倾向第二类（对应《医疗器械分类目录》21-03 数据处理软件）；提供病灶识别、病变性质判定、用药指导等支持治疗相关决策的建议且算法成熟度低 → 第三类。【引用前请核对通告原文条款】</w:t>
      </w:r>
    </w:p>
    <w:p>
      <w:pPr>
        <w:spacing w:after="40" w:line="324" w:lineRule="auto"/>
        <w:ind w:left="425" w:hanging="283"/>
      </w:pPr>
      <w:r>
        <w:rPr>
          <w:rFonts w:ascii="宋体" w:hAnsi="宋体" w:eastAsia="宋体" w:cs="宋体"/>
          <w:b w:val="0"/>
          <w:i w:val="0"/>
          <w:color w:val="2E74B5"/>
          <w:sz w:val="18"/>
        </w:rPr>
        <w:t xml:space="preserve">● </w:t>
      </w:r>
      <w:r>
        <w:rPr>
          <w:rFonts w:ascii="宋体" w:hAnsi="宋体" w:eastAsia="宋体" w:cs="宋体"/>
          <w:b w:val="0"/>
          <w:i w:val="0"/>
          <w:color w:val="000000"/>
          <w:sz w:val="21"/>
        </w:rPr>
        <w:t>监管与合规｜《人工智能医疗器械注册审查指导原则》，国家药监局器审中心 2022 年第 8 号：算法驱动型更新通常属重大软件更新需申请变更注册；数据驱动型更新以性能评估结果为准，与前次注册在相同测试集与指标上存在统计学差异也属重大更新；训练集、调优集、测试集必须两两无交集并查重，测试集原则上不得做数据扩增；公开数据库不能用作测评数据库；需考虑引入回滚机制并持续开展算法泛化能力研究；全新的功能、算法和用途原则上均需开展临床评价。https://www.cmde.org.cn/xwdt/zxyw/20220309090800158.html</w:t>
      </w:r>
    </w:p>
    <w:p>
      <w:pPr>
        <w:spacing w:after="40" w:line="324" w:lineRule="auto"/>
        <w:ind w:left="425" w:hanging="283"/>
      </w:pPr>
      <w:r>
        <w:rPr>
          <w:rFonts w:ascii="宋体" w:hAnsi="宋体" w:eastAsia="宋体" w:cs="宋体"/>
          <w:b w:val="0"/>
          <w:i w:val="0"/>
          <w:color w:val="2E74B5"/>
          <w:sz w:val="18"/>
        </w:rPr>
        <w:t xml:space="preserve">● </w:t>
      </w:r>
      <w:r>
        <w:rPr>
          <w:rFonts w:ascii="宋体" w:hAnsi="宋体" w:eastAsia="宋体" w:cs="宋体"/>
          <w:b/>
          <w:i w:val="0"/>
          <w:color w:val="000000"/>
          <w:sz w:val="21"/>
        </w:rPr>
        <w:t>监管与合规｜软件与网络安全配套文件：</w:t>
      </w:r>
      <w:r>
        <w:rPr>
          <w:rFonts w:ascii="宋体" w:hAnsi="宋体" w:eastAsia="宋体" w:cs="宋体"/>
          <w:b w:val="0"/>
          <w:i w:val="0"/>
          <w:color w:val="000000"/>
          <w:sz w:val="21"/>
        </w:rPr>
        <w:t>《医疗器械软件注册审查指导原则（2022 年修订版）》（2022 年第 9 号）、《医疗器械网络安全注册审查指导原则（2022 年修订版）》（2022 年第 7 号，适用于具备电子数据交换、远程访问与控制、用户访问功能的第二、三类独立软件）、《移动医疗器械注册技术审查指导原则》（2017 年第 222 号）、《医疗器械生产质量管理规范附录独立软件》。【引用前请核对文号与施行日期】</w:t>
      </w:r>
    </w:p>
    <w:p>
      <w:pPr>
        <w:spacing w:after="40" w:line="324" w:lineRule="auto"/>
        <w:ind w:left="425" w:hanging="283"/>
      </w:pPr>
      <w:r>
        <w:rPr>
          <w:rFonts w:ascii="宋体" w:hAnsi="宋体" w:eastAsia="宋体" w:cs="宋体"/>
          <w:b w:val="0"/>
          <w:i w:val="0"/>
          <w:color w:val="2E74B5"/>
          <w:sz w:val="18"/>
        </w:rPr>
        <w:t xml:space="preserve">● </w:t>
      </w:r>
      <w:r>
        <w:rPr>
          <w:rFonts w:ascii="宋体" w:hAnsi="宋体" w:eastAsia="宋体" w:cs="宋体"/>
          <w:b/>
          <w:i w:val="0"/>
          <w:color w:val="000000"/>
          <w:sz w:val="21"/>
        </w:rPr>
        <w:t>监管与合规｜国内肺音 AI 注册先例：</w:t>
      </w:r>
      <w:r>
        <w:rPr>
          <w:rFonts w:ascii="宋体" w:hAnsi="宋体" w:eastAsia="宋体" w:cs="宋体"/>
          <w:b w:val="0"/>
          <w:i w:val="0"/>
          <w:color w:val="000000"/>
          <w:sz w:val="21"/>
        </w:rPr>
        <w:t>山东朗朗智能科技“肺音数据处理软件”，第二类医疗器械注册证 鲁械注准 20222210799；适用范围为对患者肺音数据进行分析，给出湿罗音、干罗音、呼吸音粗糙或增强的信息，以供临床参考；B/S 架构软件、无居家长期监测产品。【我国是否存在呼吸音 / 咳嗽音监测软件的专门分类界定先例待核实】</w:t>
      </w:r>
    </w:p>
    <w:p>
      <w:pPr>
        <w:spacing w:after="40" w:line="324" w:lineRule="auto"/>
        <w:ind w:left="425" w:hanging="283"/>
      </w:pPr>
      <w:r>
        <w:rPr>
          <w:rFonts w:ascii="宋体" w:hAnsi="宋体" w:eastAsia="宋体" w:cs="宋体"/>
          <w:b w:val="0"/>
          <w:i w:val="0"/>
          <w:color w:val="2E74B5"/>
          <w:sz w:val="18"/>
        </w:rPr>
        <w:t xml:space="preserve">● </w:t>
      </w:r>
      <w:r>
        <w:rPr>
          <w:rFonts w:ascii="宋体" w:hAnsi="宋体" w:eastAsia="宋体" w:cs="宋体"/>
          <w:b/>
          <w:i w:val="0"/>
          <w:color w:val="000000"/>
          <w:sz w:val="21"/>
        </w:rPr>
        <w:t>监管与合规｜AI 医疗器械审评进展：</w:t>
      </w:r>
      <w:r>
        <w:rPr>
          <w:rFonts w:ascii="宋体" w:hAnsi="宋体" w:eastAsia="宋体" w:cs="宋体"/>
          <w:b w:val="0"/>
          <w:i w:val="0"/>
          <w:color w:val="000000"/>
          <w:sz w:val="21"/>
        </w:rPr>
        <w:t>截至 2024 年 6 月已有 92 款人工智能医学影像辅助诊断软件获 NMPA 三类注册证（中信建投《医药及大健康行业 2025 年十大展望》，2025 年 2 月）。【最新总数请核对年度医疗器械注册工作报告】</w:t>
      </w:r>
    </w:p>
    <w:p>
      <w:pPr>
        <w:spacing w:after="40" w:line="324" w:lineRule="auto"/>
        <w:ind w:left="425" w:hanging="283"/>
      </w:pPr>
      <w:r>
        <w:rPr>
          <w:rFonts w:ascii="宋体" w:hAnsi="宋体" w:eastAsia="宋体" w:cs="宋体"/>
          <w:b w:val="0"/>
          <w:i w:val="0"/>
          <w:color w:val="2E74B5"/>
          <w:sz w:val="18"/>
        </w:rPr>
        <w:t xml:space="preserve">● </w:t>
      </w:r>
      <w:r>
        <w:rPr>
          <w:rFonts w:ascii="宋体" w:hAnsi="宋体" w:eastAsia="宋体" w:cs="宋体"/>
          <w:b w:val="0"/>
          <w:i w:val="0"/>
          <w:color w:val="000000"/>
          <w:sz w:val="21"/>
        </w:rPr>
        <w:t>监管与合规｜《人类遗传资源管理条例实施细则》（科技部令第 21 号，2023 年 7 月 1 日施行）第 2 条：人类遗传资源信息不包括临床数据、影像数据、蛋白质数据和代谢数据。据此，纯呼吸音 / 咳嗽音数据通常不落入人类遗传资源监管（除非同时采集基因或生物样本）。</w:t>
      </w:r>
    </w:p>
    <w:p>
      <w:pPr>
        <w:spacing w:after="40" w:line="324" w:lineRule="auto"/>
        <w:ind w:left="425" w:hanging="283"/>
      </w:pPr>
      <w:r>
        <w:rPr>
          <w:rFonts w:ascii="宋体" w:hAnsi="宋体" w:eastAsia="宋体" w:cs="宋体"/>
          <w:b w:val="0"/>
          <w:i w:val="0"/>
          <w:color w:val="2E74B5"/>
          <w:sz w:val="18"/>
        </w:rPr>
        <w:t xml:space="preserve">● </w:t>
      </w:r>
      <w:r>
        <w:rPr>
          <w:rFonts w:ascii="宋体" w:hAnsi="宋体" w:eastAsia="宋体" w:cs="宋体"/>
          <w:b/>
          <w:i w:val="0"/>
          <w:color w:val="000000"/>
          <w:sz w:val="21"/>
        </w:rPr>
        <w:t>数据合规｜《中华人民共和国个人信息保护法》：</w:t>
      </w:r>
      <w:r>
        <w:rPr>
          <w:rFonts w:ascii="宋体" w:hAnsi="宋体" w:eastAsia="宋体" w:cs="宋体"/>
          <w:b w:val="0"/>
          <w:i w:val="0"/>
          <w:color w:val="000000"/>
          <w:sz w:val="21"/>
        </w:rPr>
        <w:t>第 28 条（医疗健康信息属敏感个人信息）、第 29 条（处理敏感个人信息须取得单独同意）、第 31 条（不满 14 周岁须取得监护人同意并制定专门处理规则）、第 38–40 条（跨境提供需通过安全评估 / 认证 / 标准合同）、第 55–56 条（处理敏感个人信息须事前开展个人信息保护影响评估，评估报告与处理记录至少保存 3 年）。</w:t>
      </w:r>
    </w:p>
    <w:p>
      <w:pPr>
        <w:spacing w:after="40" w:line="324" w:lineRule="auto"/>
        <w:ind w:left="425" w:hanging="283"/>
      </w:pPr>
      <w:r>
        <w:rPr>
          <w:rFonts w:ascii="宋体" w:hAnsi="宋体" w:eastAsia="宋体" w:cs="宋体"/>
          <w:b w:val="0"/>
          <w:i w:val="0"/>
          <w:color w:val="2E74B5"/>
          <w:sz w:val="18"/>
        </w:rPr>
        <w:t xml:space="preserve">● </w:t>
      </w:r>
      <w:r>
        <w:rPr>
          <w:rFonts w:ascii="宋体" w:hAnsi="宋体" w:eastAsia="宋体" w:cs="宋体"/>
          <w:b w:val="0"/>
          <w:i w:val="0"/>
          <w:color w:val="000000"/>
          <w:sz w:val="21"/>
        </w:rPr>
        <w:t>数据合规｜《中华人民共和国数据安全法》，以及医疗器械网络安全相关指导原则中对数据防护、审计与应急处置的要求。</w:t>
      </w:r>
    </w:p>
    <w:p>
      <w:pPr>
        <w:spacing w:after="40" w:line="324" w:lineRule="auto"/>
        <w:ind w:left="425" w:hanging="283"/>
      </w:pPr>
      <w:r>
        <w:rPr>
          <w:rFonts w:ascii="宋体" w:hAnsi="宋体" w:eastAsia="宋体" w:cs="宋体"/>
          <w:b w:val="0"/>
          <w:i w:val="0"/>
          <w:color w:val="2E74B5"/>
          <w:sz w:val="18"/>
        </w:rPr>
        <w:t xml:space="preserve">● </w:t>
      </w:r>
      <w:r>
        <w:rPr>
          <w:rFonts w:ascii="宋体" w:hAnsi="宋体" w:eastAsia="宋体" w:cs="宋体"/>
          <w:b w:val="0"/>
          <w:i w:val="0"/>
          <w:color w:val="000000"/>
          <w:sz w:val="21"/>
        </w:rPr>
        <w:t>数据合规｜呼吸音声学数据是否被列入“重要数据”目录【待核实】，需在项目合规评审与伦理申报时向合作机构法务确认。</w:t>
      </w:r>
    </w:p>
    <w:p>
      <w:pPr>
        <w:spacing w:after="40" w:line="324" w:lineRule="auto"/>
        <w:ind w:left="425" w:hanging="283"/>
      </w:pPr>
      <w:r>
        <w:rPr>
          <w:rFonts w:ascii="宋体" w:hAnsi="宋体" w:eastAsia="宋体" w:cs="宋体"/>
          <w:b w:val="0"/>
          <w:i w:val="0"/>
          <w:color w:val="2E74B5"/>
          <w:sz w:val="18"/>
        </w:rPr>
        <w:t xml:space="preserve">● </w:t>
      </w:r>
      <w:r>
        <w:rPr>
          <w:rFonts w:ascii="宋体" w:hAnsi="宋体" w:eastAsia="宋体" w:cs="宋体"/>
          <w:b/>
          <w:i w:val="0"/>
          <w:color w:val="000000"/>
          <w:sz w:val="21"/>
        </w:rPr>
        <w:t>数据合规｜第三方语音问题：</w:t>
      </w:r>
      <w:r>
        <w:rPr>
          <w:rFonts w:ascii="宋体" w:hAnsi="宋体" w:eastAsia="宋体" w:cs="宋体"/>
          <w:b w:val="0"/>
          <w:i w:val="0"/>
          <w:color w:val="000000"/>
          <w:sz w:val="21"/>
        </w:rPr>
        <w:t>居家连续录音可能采集到家属、访客的语音，属第三方个人信息，须在伦理方案与知情同意中专门处理；技术缓解措施参见临床试验级贴片式声学传感器的既有隐私方案（不含开放气室麦克风、不采集语音、端侧加密、片段切分小于 60 秒、施加语音滤波）。</w:t>
      </w:r>
    </w:p>
    <w:p>
      <w:pPr>
        <w:spacing w:after="40" w:line="324" w:lineRule="auto"/>
        <w:ind w:left="425" w:hanging="283"/>
      </w:pPr>
      <w:r>
        <w:rPr>
          <w:rFonts w:ascii="宋体" w:hAnsi="宋体" w:eastAsia="宋体" w:cs="宋体"/>
          <w:b w:val="0"/>
          <w:i w:val="0"/>
          <w:color w:val="2E74B5"/>
          <w:sz w:val="18"/>
        </w:rPr>
        <w:t xml:space="preserve">● </w:t>
      </w:r>
      <w:r>
        <w:rPr>
          <w:rFonts w:ascii="宋体" w:hAnsi="宋体" w:eastAsia="宋体" w:cs="宋体"/>
          <w:b/>
          <w:i w:val="0"/>
          <w:color w:val="000000"/>
          <w:sz w:val="21"/>
        </w:rPr>
        <w:t>市场与竞品｜中国慢病管理市场：</w:t>
      </w:r>
      <w:r>
        <w:rPr>
          <w:rFonts w:ascii="宋体" w:hAnsi="宋体" w:eastAsia="宋体" w:cs="宋体"/>
          <w:b w:val="0"/>
          <w:i w:val="0"/>
          <w:color w:val="000000"/>
          <w:sz w:val="21"/>
        </w:rPr>
        <w:t>2015 年 20,535 亿元 → 2024 年约 59,986 亿元（CAGR 12.6%），其中线上 466 亿元 → 5,540 亿元。智研咨询 2024 年 11 月 25 日，https://www.chyxx.com/industry/1203693.html （广义口径，含药品与诊疗）。</w:t>
      </w:r>
    </w:p>
    <w:p>
      <w:pPr>
        <w:spacing w:after="40" w:line="324" w:lineRule="auto"/>
        <w:ind w:left="425" w:hanging="283"/>
      </w:pPr>
      <w:r>
        <w:rPr>
          <w:rFonts w:ascii="宋体" w:hAnsi="宋体" w:eastAsia="宋体" w:cs="宋体"/>
          <w:b w:val="0"/>
          <w:i w:val="0"/>
          <w:color w:val="2E74B5"/>
          <w:sz w:val="18"/>
        </w:rPr>
        <w:t xml:space="preserve">● </w:t>
      </w:r>
      <w:r>
        <w:rPr>
          <w:rFonts w:ascii="宋体" w:hAnsi="宋体" w:eastAsia="宋体" w:cs="宋体"/>
          <w:b/>
          <w:i w:val="0"/>
          <w:color w:val="000000"/>
          <w:sz w:val="21"/>
        </w:rPr>
        <w:t>市场与竞品｜中国家用医疗器械市场：</w:t>
      </w:r>
      <w:r>
        <w:rPr>
          <w:rFonts w:ascii="宋体" w:hAnsi="宋体" w:eastAsia="宋体" w:cs="宋体"/>
          <w:b w:val="0"/>
          <w:i w:val="0"/>
          <w:color w:val="000000"/>
          <w:sz w:val="21"/>
        </w:rPr>
        <w:t>2019 年 1,224 亿元 → 2024 年 1,982 亿元；线上占比由 25% 升至 44.3%，预计 2030 年达 67.1%。思瀚产业研究院转述行业报告口径，http://chinasihan.com/news/cytz/25308.html</w:t>
      </w:r>
    </w:p>
    <w:p>
      <w:pPr>
        <w:spacing w:after="40" w:line="324" w:lineRule="auto"/>
        <w:ind w:left="425" w:hanging="283"/>
      </w:pPr>
      <w:r>
        <w:rPr>
          <w:rFonts w:ascii="宋体" w:hAnsi="宋体" w:eastAsia="宋体" w:cs="宋体"/>
          <w:b w:val="0"/>
          <w:i w:val="0"/>
          <w:color w:val="2E74B5"/>
          <w:sz w:val="18"/>
        </w:rPr>
        <w:t xml:space="preserve">● </w:t>
      </w:r>
      <w:r>
        <w:rPr>
          <w:rFonts w:ascii="宋体" w:hAnsi="宋体" w:eastAsia="宋体" w:cs="宋体"/>
          <w:b/>
          <w:i w:val="0"/>
          <w:color w:val="000000"/>
          <w:sz w:val="21"/>
        </w:rPr>
        <w:t>市场与竞品｜中国数字疗法（DTx）市场：</w:t>
      </w:r>
      <w:r>
        <w:rPr>
          <w:rFonts w:ascii="宋体" w:hAnsi="宋体" w:eastAsia="宋体" w:cs="宋体"/>
          <w:b w:val="0"/>
          <w:i w:val="0"/>
          <w:color w:val="000000"/>
          <w:sz w:val="21"/>
        </w:rPr>
        <w:t>2023 年约 8.2 亿元，说明纯软件订阅在国内尚未跑通。智研咨询 2024 年 9 月 25 日，https://www.chyxx.com/industry/1198096.html</w:t>
      </w:r>
    </w:p>
    <w:p>
      <w:pPr>
        <w:spacing w:after="40" w:line="324" w:lineRule="auto"/>
        <w:ind w:left="425" w:hanging="283"/>
      </w:pPr>
      <w:r>
        <w:rPr>
          <w:rFonts w:ascii="宋体" w:hAnsi="宋体" w:eastAsia="宋体" w:cs="宋体"/>
          <w:b w:val="0"/>
          <w:i w:val="0"/>
          <w:color w:val="2E74B5"/>
          <w:sz w:val="18"/>
        </w:rPr>
        <w:t xml:space="preserve">● </w:t>
      </w:r>
      <w:r>
        <w:rPr>
          <w:rFonts w:ascii="宋体" w:hAnsi="宋体" w:eastAsia="宋体" w:cs="宋体"/>
          <w:b/>
          <w:i w:val="0"/>
          <w:color w:val="000000"/>
          <w:sz w:val="21"/>
        </w:rPr>
        <w:t>市场与竞品｜支付方结构：</w:t>
      </w:r>
      <w:r>
        <w:rPr>
          <w:rFonts w:ascii="宋体" w:hAnsi="宋体" w:eastAsia="宋体" w:cs="宋体"/>
          <w:b w:val="0"/>
          <w:i w:val="0"/>
          <w:color w:val="000000"/>
          <w:sz w:val="21"/>
        </w:rPr>
        <w:t>个人自付 49%、基本医保 44%、商业健康险 7.7%；惠民保覆盖 333 个地市、参保超 7,000 万，但在创新药械支付中占比仅约 1%。第一财经引述《2025 中国创新药械多元支付白皮书》，https://www.yicai.com/news/102530698.html</w:t>
      </w:r>
    </w:p>
    <w:p>
      <w:pPr>
        <w:spacing w:after="40" w:line="324" w:lineRule="auto"/>
        <w:ind w:left="425" w:hanging="283"/>
      </w:pPr>
      <w:r>
        <w:rPr>
          <w:rFonts w:ascii="宋体" w:hAnsi="宋体" w:eastAsia="宋体" w:cs="宋体"/>
          <w:b w:val="0"/>
          <w:i w:val="0"/>
          <w:color w:val="2E74B5"/>
          <w:sz w:val="18"/>
        </w:rPr>
        <w:t xml:space="preserve">● </w:t>
      </w:r>
      <w:r>
        <w:rPr>
          <w:rFonts w:ascii="宋体" w:hAnsi="宋体" w:eastAsia="宋体" w:cs="宋体"/>
          <w:b w:val="0"/>
          <w:i w:val="0"/>
          <w:color w:val="000000"/>
          <w:sz w:val="21"/>
        </w:rPr>
        <w:t>市场与竞品｜勃林格殷格翰特发性肺纤维化（IPF）咳嗽监测研究（荷兰 NL-OMON51409，2023 年起）：多中心 12 周，主要终点为咳嗽频次（次/小时）、12 周内 4 次 24 小时记录；使用 Strados RESP 贴片式声学传感器；混合设计含 4 次远程访视，并专门评估远程咳嗽数据采集的可行性；研究背景指出咳嗽是 IPF 疾病进展的独立预测因子。https://onderzoekmetmensen.nl/en/trial/51409</w:t>
      </w:r>
    </w:p>
    <w:p>
      <w:pPr>
        <w:spacing w:after="40" w:line="324" w:lineRule="auto"/>
        <w:ind w:left="425" w:hanging="283"/>
      </w:pPr>
      <w:r>
        <w:rPr>
          <w:rFonts w:ascii="宋体" w:hAnsi="宋体" w:eastAsia="宋体" w:cs="宋体"/>
          <w:b w:val="0"/>
          <w:i w:val="0"/>
          <w:color w:val="2E74B5"/>
          <w:sz w:val="18"/>
        </w:rPr>
        <w:t xml:space="preserve">● </w:t>
      </w:r>
      <w:r>
        <w:rPr>
          <w:rFonts w:ascii="宋体" w:hAnsi="宋体" w:eastAsia="宋体" w:cs="宋体"/>
          <w:b/>
          <w:i w:val="0"/>
          <w:color w:val="000000"/>
          <w:sz w:val="21"/>
        </w:rPr>
        <w:t>市场与竞品｜其他药企咳嗽终点案例：</w:t>
      </w:r>
      <w:r>
        <w:rPr>
          <w:rFonts w:ascii="宋体" w:hAnsi="宋体" w:eastAsia="宋体" w:cs="宋体"/>
          <w:b w:val="0"/>
          <w:i w:val="0"/>
          <w:color w:val="000000"/>
          <w:sz w:val="21"/>
        </w:rPr>
        <w:t>勃林格殷格翰 BI 1839100（IPF 伴显著咳嗽，IIa/IIb 期随机双盲安慰剂对照、12 周口服给药）；Trevi Therapeutics 纳布啡缓释片治疗 IPF 咳嗽；Hyfe 与 KYORIN 合作使咳嗽监测成为慢性咳嗽数字疗法关键性试验的主要终点。【各研究的具体终点设计与结果待核实】</w:t>
      </w:r>
    </w:p>
    <w:p>
      <w:pPr>
        <w:spacing w:after="40" w:line="324" w:lineRule="auto"/>
        <w:ind w:left="425" w:hanging="283"/>
      </w:pPr>
      <w:r>
        <w:rPr>
          <w:rFonts w:ascii="宋体" w:hAnsi="宋体" w:eastAsia="宋体" w:cs="宋体"/>
          <w:b w:val="0"/>
          <w:i w:val="0"/>
          <w:color w:val="2E74B5"/>
          <w:sz w:val="18"/>
        </w:rPr>
        <w:t xml:space="preserve">● </w:t>
      </w:r>
      <w:r>
        <w:rPr>
          <w:rFonts w:ascii="宋体" w:hAnsi="宋体" w:eastAsia="宋体" w:cs="宋体"/>
          <w:b/>
          <w:i w:val="0"/>
          <w:color w:val="000000"/>
          <w:sz w:val="21"/>
        </w:rPr>
        <w:t>市场与竞品｜Hyfe AI：</w:t>
      </w:r>
      <w:r>
        <w:rPr>
          <w:rFonts w:ascii="宋体" w:hAnsi="宋体" w:eastAsia="宋体" w:cs="宋体"/>
          <w:b w:val="0"/>
          <w:i w:val="0"/>
          <w:color w:val="000000"/>
          <w:sz w:val="21"/>
        </w:rPr>
        <w:t>多中心验证敏感度 90.4%、假阳性 1.03 次/小时、Pearson 0.99；已在《Scientific Data》发布 733,756 次咳嗽、2,143 名患者、7 国的数据集（2024 年 11 月）；白皮书《Preserving Privacy in Clinical Trials》2025 年 4 月 28 日已公开主张“边缘计算 + 不传输原始音频”的隐私架构；合作方包括默沙东与 KYORIN。https://hyfe.com/about 与 https://hyfe.com/white-papers/preserving-privacy-in-clinical-trials-scientific-ethical-and-operational-considerations-of-on-device-cough-monitoring</w:t>
      </w:r>
    </w:p>
    <w:p>
      <w:pPr>
        <w:spacing w:after="40" w:line="324" w:lineRule="auto"/>
        <w:ind w:left="425" w:hanging="283"/>
      </w:pPr>
      <w:r>
        <w:rPr>
          <w:rFonts w:ascii="宋体" w:hAnsi="宋体" w:eastAsia="宋体" w:cs="宋体"/>
          <w:b w:val="0"/>
          <w:i w:val="0"/>
          <w:color w:val="2E74B5"/>
          <w:sz w:val="18"/>
        </w:rPr>
        <w:t xml:space="preserve">● </w:t>
      </w:r>
      <w:r>
        <w:rPr>
          <w:rFonts w:ascii="宋体" w:hAnsi="宋体" w:eastAsia="宋体" w:cs="宋体"/>
          <w:b/>
          <w:i w:val="0"/>
          <w:color w:val="000000"/>
          <w:sz w:val="21"/>
        </w:rPr>
        <w:t>市场与竞品｜ResApp Health：</w:t>
      </w:r>
      <w:r>
        <w:rPr>
          <w:rFonts w:ascii="宋体" w:hAnsi="宋体" w:eastAsia="宋体" w:cs="宋体"/>
          <w:b w:val="0"/>
          <w:i w:val="0"/>
          <w:color w:val="000000"/>
          <w:sz w:val="21"/>
        </w:rPr>
        <w:t>手机麦克风咳嗽音 AI，2022 年 9 月被辉瑞以 1.79 亿美元收购。https://news.uq.edu.au/2022-09-27-uq-startup-acquired-pfizer 。其 SMARTCOUGH-C 研究的具体 AUC / 敏感度 / 特异度【待核实】。</w:t>
      </w:r>
    </w:p>
    <w:p>
      <w:pPr>
        <w:spacing w:after="40" w:line="324" w:lineRule="auto"/>
        <w:ind w:left="425" w:hanging="283"/>
      </w:pPr>
      <w:r>
        <w:rPr>
          <w:rFonts w:ascii="宋体" w:hAnsi="宋体" w:eastAsia="宋体" w:cs="宋体"/>
          <w:b w:val="0"/>
          <w:i w:val="0"/>
          <w:color w:val="2E74B5"/>
          <w:sz w:val="18"/>
        </w:rPr>
        <w:t xml:space="preserve">● </w:t>
      </w:r>
      <w:r>
        <w:rPr>
          <w:rFonts w:ascii="宋体" w:hAnsi="宋体" w:eastAsia="宋体" w:cs="宋体"/>
          <w:b/>
          <w:i w:val="0"/>
          <w:color w:val="000000"/>
          <w:sz w:val="21"/>
        </w:rPr>
        <w:t>市场与竞品｜TytoCare：</w:t>
      </w:r>
      <w:r>
        <w:rPr>
          <w:rFonts w:ascii="宋体" w:hAnsi="宋体" w:eastAsia="宋体" w:cs="宋体"/>
          <w:b w:val="0"/>
          <w:i w:val="0"/>
          <w:color w:val="000000"/>
          <w:sz w:val="21"/>
        </w:rPr>
        <w:t>FDA 510(k) 已获，设备约 299 美元 + 订阅。【官方定价档位待核实】。Hyfe、Vitalograph、Strados 的官方定价均未公开【待核实】。</w:t>
      </w:r>
    </w:p>
    <w:p>
      <w:pPr>
        <w:spacing w:after="40" w:line="324" w:lineRule="auto"/>
        <w:ind w:left="425" w:hanging="283"/>
      </w:pPr>
      <w:r>
        <w:rPr>
          <w:rFonts w:ascii="宋体" w:hAnsi="宋体" w:eastAsia="宋体" w:cs="宋体"/>
          <w:b w:val="0"/>
          <w:i w:val="0"/>
          <w:color w:val="2E74B5"/>
          <w:sz w:val="18"/>
        </w:rPr>
        <w:t xml:space="preserve">● </w:t>
      </w:r>
      <w:r>
        <w:rPr>
          <w:rFonts w:ascii="宋体" w:hAnsi="宋体" w:eastAsia="宋体" w:cs="宋体"/>
          <w:b/>
          <w:i w:val="0"/>
          <w:color w:val="000000"/>
          <w:sz w:val="21"/>
        </w:rPr>
        <w:t>市场与竞品｜消费电子现状：</w:t>
      </w:r>
      <w:r>
        <w:rPr>
          <w:rFonts w:ascii="宋体" w:hAnsi="宋体" w:eastAsia="宋体" w:cs="宋体"/>
          <w:b w:val="0"/>
          <w:i w:val="0"/>
          <w:color w:val="000000"/>
          <w:sz w:val="21"/>
        </w:rPr>
        <w:t>Apple watchOS 11 睡眠呼吸暂停检测已获 FDA 510(k)（2024 年 9 月），但尚未推出咳嗽检测，https://www.apple.com/newsroom/2024/09/watchos-11-is-available-today/ ；华为手表肺功能评估在其官方支持页中被承认可能不准确，https://consumer.huawei.com/cn/support/content/zh-cn15950029/</w:t>
      </w:r>
    </w:p>
    <w:p>
      <w:pPr>
        <w:spacing w:after="40" w:line="324" w:lineRule="auto"/>
        <w:ind w:left="425" w:hanging="283"/>
      </w:pPr>
      <w:r>
        <w:rPr>
          <w:rFonts w:ascii="宋体" w:hAnsi="宋体" w:eastAsia="宋体" w:cs="宋体"/>
          <w:b w:val="0"/>
          <w:i w:val="0"/>
          <w:color w:val="2E74B5"/>
          <w:sz w:val="18"/>
        </w:rPr>
        <w:t xml:space="preserve">● </w:t>
      </w:r>
      <w:r>
        <w:rPr>
          <w:rFonts w:ascii="宋体" w:hAnsi="宋体" w:eastAsia="宋体" w:cs="宋体"/>
          <w:b/>
          <w:i w:val="0"/>
          <w:color w:val="000000"/>
          <w:sz w:val="21"/>
        </w:rPr>
        <w:t>市场与竞品｜渠道格局：</w:t>
      </w:r>
      <w:r>
        <w:rPr>
          <w:rFonts w:ascii="宋体" w:hAnsi="宋体" w:eastAsia="宋体" w:cs="宋体"/>
          <w:b w:val="0"/>
          <w:i w:val="0"/>
          <w:color w:val="000000"/>
          <w:sz w:val="21"/>
        </w:rPr>
        <w:t>鱼跃医疗 2024 年营收 75.66 亿元（其中呼吸治疗解决方案 25.97 亿元）；怡和嘉业已占据家用呼吸渠道与品牌。结论：独立建渠道不现实，应定位为算法与方案供应商、与渠道商合作或被集成。【医院采购实际客单价待核实】</w:t>
      </w:r>
    </w:p>
    <w:p>
      <w:pPr>
        <w:spacing w:after="40" w:line="324" w:lineRule="auto"/>
        <w:ind w:left="425" w:hanging="283"/>
      </w:pPr>
      <w:r>
        <w:rPr>
          <w:rFonts w:ascii="宋体" w:hAnsi="宋体" w:eastAsia="宋体" w:cs="宋体"/>
          <w:b w:val="0"/>
          <w:i w:val="0"/>
          <w:color w:val="2E74B5"/>
          <w:sz w:val="18"/>
        </w:rPr>
        <w:t xml:space="preserve">● </w:t>
      </w:r>
      <w:r>
        <w:rPr>
          <w:rFonts w:ascii="宋体" w:hAnsi="宋体" w:eastAsia="宋体" w:cs="宋体"/>
          <w:b w:val="0"/>
          <w:i w:val="0"/>
          <w:color w:val="000000"/>
          <w:sz w:val="21"/>
        </w:rPr>
        <w:t>市场与竞品｜Google HeAR 健康声学模型（模型卡 https://developers.google.com/health-ai-developer-foundations/hear/model-card ）：其结核与咳嗽检测的性能数字【待核实】。</w:t>
      </w:r>
    </w:p>
    <w:p>
      <w:pPr>
        <w:pStyle w:val="Heading1"/>
      </w:pPr>
      <w:r>
        <w:rPr>
          <w:rFonts w:ascii="宋体" w:hAnsi="宋体" w:eastAsia="宋体" w:cs="宋体"/>
          <w:b/>
          <w:i w:val="0"/>
          <w:color w:val="1F4E79"/>
          <w:sz w:val="30"/>
        </w:rPr>
        <w:t>附录 C 团队构成与分工</w:t>
      </w:r>
    </w:p>
    <w:tbl>
      <w:tblPr>
        <w:tblStyle w:val="TableGrid"/>
        <w:jc w:val="center"/>
        <w:tblLook w:firstColumn="1" w:firstRow="1" w:lastColumn="0" w:lastRow="0" w:noHBand="0" w:noVBand="1" w:val="04A0"/>
        <w:tblCellMar>
          <w:top w:w="60" w:type="dxa"/>
          <w:left w:w="90" w:type="dxa"/>
          <w:bottom w:w="60" w:type="dxa"/>
          <w:right w:w="90" w:type="dxa"/>
        </w:tblCellMar>
        <w:tblW w:w="9129" w:type="dxa"/>
        <w:tblLayout w:type="fixed"/>
      </w:tblPr>
      <w:tblGrid>
        <w:gridCol w:w="1141"/>
        <w:gridCol w:w="1712"/>
        <w:gridCol w:w="3195"/>
        <w:gridCol w:w="3081"/>
      </w:tblGrid>
      <w:tr>
        <w:trPr>
          <w:tblHeader w:val="true"/>
        </w:trPr>
        <w:tc>
          <w:tcPr>
            <w:tcW w:type="dxa" w:w="1141"/>
            <w:shd w:val="clear" w:color="auto" w:fill="1F4E79"/>
          </w:tcPr>
          <w:p>
            <w:pPr>
              <w:spacing w:after="0" w:line="276" w:lineRule="auto"/>
              <w:jc w:val="center"/>
            </w:pPr>
            <w:r/>
            <w:r>
              <w:rPr>
                <w:rFonts w:ascii="宋体" w:hAnsi="宋体" w:eastAsia="宋体" w:cs="宋体"/>
                <w:b/>
                <w:i w:val="0"/>
                <w:color w:val="FFFFFF"/>
                <w:sz w:val="19"/>
              </w:rPr>
              <w:t>角色</w:t>
            </w:r>
          </w:p>
        </w:tc>
        <w:tc>
          <w:tcPr>
            <w:tcW w:type="dxa" w:w="1711"/>
            <w:shd w:val="clear" w:color="auto" w:fill="1F4E79"/>
          </w:tcPr>
          <w:p>
            <w:pPr>
              <w:spacing w:after="0" w:line="276" w:lineRule="auto"/>
              <w:jc w:val="center"/>
            </w:pPr>
            <w:r/>
            <w:r>
              <w:rPr>
                <w:rFonts w:ascii="宋体" w:hAnsi="宋体" w:eastAsia="宋体" w:cs="宋体"/>
                <w:b/>
                <w:i w:val="0"/>
                <w:color w:val="FFFFFF"/>
                <w:sz w:val="19"/>
              </w:rPr>
              <w:t>人数</w:t>
            </w:r>
          </w:p>
        </w:tc>
        <w:tc>
          <w:tcPr>
            <w:tcW w:type="dxa" w:w="3195"/>
            <w:shd w:val="clear" w:color="auto" w:fill="1F4E79"/>
          </w:tcPr>
          <w:p>
            <w:pPr>
              <w:spacing w:after="0" w:line="276" w:lineRule="auto"/>
              <w:jc w:val="center"/>
            </w:pPr>
            <w:r/>
            <w:r>
              <w:rPr>
                <w:rFonts w:ascii="宋体" w:hAnsi="宋体" w:eastAsia="宋体" w:cs="宋体"/>
                <w:b/>
                <w:i w:val="0"/>
                <w:color w:val="FFFFFF"/>
                <w:sz w:val="19"/>
              </w:rPr>
              <w:t>主要职责</w:t>
            </w:r>
          </w:p>
        </w:tc>
        <w:tc>
          <w:tcPr>
            <w:tcW w:type="dxa" w:w="3081"/>
            <w:shd w:val="clear" w:color="auto" w:fill="1F4E79"/>
          </w:tcPr>
          <w:p>
            <w:pPr>
              <w:spacing w:after="0" w:line="276" w:lineRule="auto"/>
              <w:jc w:val="center"/>
            </w:pPr>
            <w:r/>
            <w:r>
              <w:rPr>
                <w:rFonts w:ascii="宋体" w:hAnsi="宋体" w:eastAsia="宋体" w:cs="宋体"/>
                <w:b/>
                <w:i w:val="0"/>
                <w:color w:val="FFFFFF"/>
                <w:sz w:val="19"/>
              </w:rPr>
              <w:t>建议人选能力 / 交接要点</w:t>
            </w:r>
          </w:p>
        </w:tc>
      </w:tr>
      <w:tr>
        <w:tc>
          <w:tcPr>
            <w:tcW w:type="dxa" w:w="1141"/>
          </w:tcPr>
          <w:p>
            <w:pPr>
              <w:spacing w:after="0" w:line="276" w:lineRule="auto"/>
            </w:pPr>
            <w:r/>
            <w:r>
              <w:rPr>
                <w:rFonts w:ascii="宋体" w:hAnsi="宋体" w:eastAsia="宋体" w:cs="宋体"/>
                <w:b w:val="0"/>
                <w:i w:val="0"/>
                <w:color w:val="000000"/>
                <w:sz w:val="19"/>
              </w:rPr>
              <w:t>项目负责人</w:t>
            </w:r>
          </w:p>
        </w:tc>
        <w:tc>
          <w:tcPr>
            <w:tcW w:type="dxa" w:w="1711"/>
          </w:tcPr>
          <w:p>
            <w:pPr>
              <w:spacing w:after="0" w:line="276" w:lineRule="auto"/>
            </w:pPr>
            <w:r/>
            <w:r>
              <w:rPr>
                <w:rFonts w:ascii="宋体" w:hAnsi="宋体" w:eastAsia="宋体" w:cs="宋体"/>
                <w:b w:val="0"/>
                <w:i w:val="0"/>
                <w:color w:val="000000"/>
                <w:sz w:val="19"/>
              </w:rPr>
              <w:t>1 人</w:t>
            </w:r>
          </w:p>
        </w:tc>
        <w:tc>
          <w:tcPr>
            <w:tcW w:type="dxa" w:w="3195"/>
          </w:tcPr>
          <w:p>
            <w:pPr>
              <w:spacing w:after="0" w:line="276" w:lineRule="auto"/>
            </w:pPr>
            <w:r/>
            <w:r>
              <w:rPr>
                <w:rFonts w:ascii="宋体" w:hAnsi="宋体" w:eastAsia="宋体" w:cs="宋体"/>
                <w:b w:val="0"/>
                <w:i w:val="0"/>
                <w:color w:val="000000"/>
                <w:sz w:val="19"/>
              </w:rPr>
              <w:t>总体方案设计、进度与资源协调、对外合作、答辩主讲</w:t>
            </w:r>
          </w:p>
        </w:tc>
        <w:tc>
          <w:tcPr>
            <w:tcW w:type="dxa" w:w="3081"/>
          </w:tcPr>
          <w:p>
            <w:pPr>
              <w:spacing w:after="0" w:line="276" w:lineRule="auto"/>
            </w:pPr>
            <w:r/>
            <w:r>
              <w:rPr>
                <w:rFonts w:ascii="宋体" w:hAnsi="宋体" w:eastAsia="宋体" w:cs="宋体"/>
                <w:b w:val="0"/>
                <w:i w:val="0"/>
                <w:color w:val="000000"/>
                <w:sz w:val="19"/>
              </w:rPr>
              <w:t>需同时理解医学需求与工程实现；负责文档最终定稿与口径统一</w:t>
            </w:r>
          </w:p>
        </w:tc>
      </w:tr>
      <w:tr>
        <w:tc>
          <w:tcPr>
            <w:tcW w:type="dxa" w:w="1141"/>
            <w:shd w:val="clear" w:color="auto" w:fill="EDF3F9"/>
          </w:tcPr>
          <w:p>
            <w:pPr>
              <w:spacing w:after="0" w:line="276" w:lineRule="auto"/>
            </w:pPr>
            <w:r/>
            <w:r>
              <w:rPr>
                <w:rFonts w:ascii="宋体" w:hAnsi="宋体" w:eastAsia="宋体" w:cs="宋体"/>
                <w:b w:val="0"/>
                <w:i w:val="0"/>
                <w:color w:val="000000"/>
                <w:sz w:val="19"/>
              </w:rPr>
              <w:t>算法工程师</w:t>
            </w:r>
          </w:p>
        </w:tc>
        <w:tc>
          <w:tcPr>
            <w:tcW w:type="dxa" w:w="1711"/>
            <w:shd w:val="clear" w:color="auto" w:fill="EDF3F9"/>
          </w:tcPr>
          <w:p>
            <w:pPr>
              <w:spacing w:after="0" w:line="276" w:lineRule="auto"/>
            </w:pPr>
            <w:r/>
            <w:r>
              <w:rPr>
                <w:rFonts w:ascii="宋体" w:hAnsi="宋体" w:eastAsia="宋体" w:cs="宋体"/>
                <w:b w:val="0"/>
                <w:i w:val="0"/>
                <w:color w:val="000000"/>
                <w:sz w:val="19"/>
              </w:rPr>
              <w:t>2 人</w:t>
            </w:r>
          </w:p>
        </w:tc>
        <w:tc>
          <w:tcPr>
            <w:tcW w:type="dxa" w:w="3195"/>
            <w:shd w:val="clear" w:color="auto" w:fill="EDF3F9"/>
          </w:tcPr>
          <w:p>
            <w:pPr>
              <w:spacing w:after="0" w:line="276" w:lineRule="auto"/>
            </w:pPr>
            <w:r/>
            <w:r>
              <w:rPr>
                <w:rFonts w:ascii="宋体" w:hAnsi="宋体" w:eastAsia="宋体" w:cs="宋体"/>
                <w:b w:val="0"/>
                <w:i w:val="0"/>
                <w:color w:val="000000"/>
                <w:sz w:val="19"/>
              </w:rPr>
              <w:t>声学前端、模型设计与训练、量化与性能评估</w:t>
            </w:r>
          </w:p>
        </w:tc>
        <w:tc>
          <w:tcPr>
            <w:tcW w:type="dxa" w:w="3081"/>
            <w:shd w:val="clear" w:color="auto" w:fill="EDF3F9"/>
          </w:tcPr>
          <w:p>
            <w:pPr>
              <w:spacing w:after="0" w:line="276" w:lineRule="auto"/>
            </w:pPr>
            <w:r/>
            <w:r>
              <w:rPr>
                <w:rFonts w:ascii="宋体" w:hAnsi="宋体" w:eastAsia="宋体" w:cs="宋体"/>
                <w:b w:val="0"/>
                <w:i w:val="0"/>
                <w:color w:val="000000"/>
                <w:sz w:val="19"/>
              </w:rPr>
              <w:t>一人偏信号处理与数据，一人偏模型与部署，避免单点依赖</w:t>
            </w:r>
          </w:p>
        </w:tc>
      </w:tr>
      <w:tr>
        <w:tc>
          <w:tcPr>
            <w:tcW w:type="dxa" w:w="1141"/>
          </w:tcPr>
          <w:p>
            <w:pPr>
              <w:spacing w:after="0" w:line="276" w:lineRule="auto"/>
            </w:pPr>
            <w:r/>
            <w:r>
              <w:rPr>
                <w:rFonts w:ascii="宋体" w:hAnsi="宋体" w:eastAsia="宋体" w:cs="宋体"/>
                <w:b w:val="0"/>
                <w:i w:val="0"/>
                <w:color w:val="000000"/>
                <w:sz w:val="19"/>
              </w:rPr>
              <w:t>嵌入式工程师</w:t>
            </w:r>
          </w:p>
        </w:tc>
        <w:tc>
          <w:tcPr>
            <w:tcW w:type="dxa" w:w="1711"/>
          </w:tcPr>
          <w:p>
            <w:pPr>
              <w:spacing w:after="0" w:line="276" w:lineRule="auto"/>
            </w:pPr>
            <w:r/>
            <w:r>
              <w:rPr>
                <w:rFonts w:ascii="宋体" w:hAnsi="宋体" w:eastAsia="宋体" w:cs="宋体"/>
                <w:b w:val="0"/>
                <w:i w:val="0"/>
                <w:color w:val="000000"/>
                <w:sz w:val="19"/>
              </w:rPr>
              <w:t>1 人</w:t>
            </w:r>
          </w:p>
        </w:tc>
        <w:tc>
          <w:tcPr>
            <w:tcW w:type="dxa" w:w="3195"/>
          </w:tcPr>
          <w:p>
            <w:pPr>
              <w:spacing w:after="0" w:line="276" w:lineRule="auto"/>
            </w:pPr>
            <w:r/>
            <w:r>
              <w:rPr>
                <w:rFonts w:ascii="宋体" w:hAnsi="宋体" w:eastAsia="宋体" w:cs="宋体"/>
                <w:b w:val="0"/>
                <w:i w:val="0"/>
                <w:color w:val="000000"/>
                <w:sz w:val="19"/>
              </w:rPr>
              <w:t>RK3576 系统移植、RKNN 部署、功耗与稳定性优化</w:t>
            </w:r>
          </w:p>
        </w:tc>
        <w:tc>
          <w:tcPr>
            <w:tcW w:type="dxa" w:w="3081"/>
          </w:tcPr>
          <w:p>
            <w:pPr>
              <w:spacing w:after="0" w:line="276" w:lineRule="auto"/>
            </w:pPr>
            <w:r/>
            <w:r>
              <w:rPr>
                <w:rFonts w:ascii="宋体" w:hAnsi="宋体" w:eastAsia="宋体" w:cs="宋体"/>
                <w:b w:val="0"/>
                <w:i w:val="0"/>
                <w:color w:val="000000"/>
                <w:sz w:val="19"/>
              </w:rPr>
              <w:t>熟悉 Linux 与 NPU 工具链；负责板端实测报告</w:t>
            </w:r>
          </w:p>
        </w:tc>
      </w:tr>
      <w:tr>
        <w:tc>
          <w:tcPr>
            <w:tcW w:type="dxa" w:w="1141"/>
            <w:shd w:val="clear" w:color="auto" w:fill="EDF3F9"/>
          </w:tcPr>
          <w:p>
            <w:pPr>
              <w:spacing w:after="0" w:line="276" w:lineRule="auto"/>
            </w:pPr>
            <w:r/>
            <w:r>
              <w:rPr>
                <w:rFonts w:ascii="宋体" w:hAnsi="宋体" w:eastAsia="宋体" w:cs="宋体"/>
                <w:b w:val="0"/>
                <w:i w:val="0"/>
                <w:color w:val="000000"/>
                <w:sz w:val="19"/>
              </w:rPr>
              <w:t>软件工程师</w:t>
            </w:r>
          </w:p>
        </w:tc>
        <w:tc>
          <w:tcPr>
            <w:tcW w:type="dxa" w:w="1711"/>
            <w:shd w:val="clear" w:color="auto" w:fill="EDF3F9"/>
          </w:tcPr>
          <w:p>
            <w:pPr>
              <w:spacing w:after="0" w:line="276" w:lineRule="auto"/>
            </w:pPr>
            <w:r/>
            <w:r>
              <w:rPr>
                <w:rFonts w:ascii="宋体" w:hAnsi="宋体" w:eastAsia="宋体" w:cs="宋体"/>
                <w:b w:val="0"/>
                <w:i w:val="0"/>
                <w:color w:val="000000"/>
                <w:sz w:val="19"/>
              </w:rPr>
              <w:t>1 人</w:t>
            </w:r>
          </w:p>
        </w:tc>
        <w:tc>
          <w:tcPr>
            <w:tcW w:type="dxa" w:w="3195"/>
            <w:shd w:val="clear" w:color="auto" w:fill="EDF3F9"/>
          </w:tcPr>
          <w:p>
            <w:pPr>
              <w:spacing w:after="0" w:line="276" w:lineRule="auto"/>
            </w:pPr>
            <w:r/>
            <w:r>
              <w:rPr>
                <w:rFonts w:ascii="宋体" w:hAnsi="宋体" w:eastAsia="宋体" w:cs="宋体"/>
                <w:b w:val="0"/>
                <w:i w:val="0"/>
                <w:color w:val="000000"/>
                <w:sz w:val="19"/>
              </w:rPr>
              <w:t>手机 APP、云端服务、医生端工作站开发</w:t>
            </w:r>
          </w:p>
        </w:tc>
        <w:tc>
          <w:tcPr>
            <w:tcW w:type="dxa" w:w="3081"/>
            <w:shd w:val="clear" w:color="auto" w:fill="EDF3F9"/>
          </w:tcPr>
          <w:p>
            <w:pPr>
              <w:spacing w:after="0" w:line="276" w:lineRule="auto"/>
            </w:pPr>
            <w:r/>
            <w:r>
              <w:rPr>
                <w:rFonts w:ascii="宋体" w:hAnsi="宋体" w:eastAsia="宋体" w:cs="宋体"/>
                <w:b w:val="0"/>
                <w:i w:val="0"/>
                <w:color w:val="000000"/>
                <w:sz w:val="19"/>
              </w:rPr>
              <w:t>移动端与后端各有所长；负责数据链路可靠性</w:t>
            </w:r>
          </w:p>
        </w:tc>
      </w:tr>
      <w:tr>
        <w:tc>
          <w:tcPr>
            <w:tcW w:type="dxa" w:w="1141"/>
          </w:tcPr>
          <w:p>
            <w:pPr>
              <w:spacing w:after="0" w:line="276" w:lineRule="auto"/>
            </w:pPr>
            <w:r/>
            <w:r>
              <w:rPr>
                <w:rFonts w:ascii="宋体" w:hAnsi="宋体" w:eastAsia="宋体" w:cs="宋体"/>
                <w:b w:val="0"/>
                <w:i w:val="0"/>
                <w:color w:val="000000"/>
                <w:sz w:val="19"/>
              </w:rPr>
              <w:t>硬件工程师</w:t>
            </w:r>
          </w:p>
        </w:tc>
        <w:tc>
          <w:tcPr>
            <w:tcW w:type="dxa" w:w="1711"/>
          </w:tcPr>
          <w:p>
            <w:pPr>
              <w:spacing w:after="0" w:line="276" w:lineRule="auto"/>
            </w:pPr>
            <w:r/>
            <w:r>
              <w:rPr>
                <w:rFonts w:ascii="宋体" w:hAnsi="宋体" w:eastAsia="宋体" w:cs="宋体"/>
                <w:b w:val="0"/>
                <w:i w:val="0"/>
                <w:color w:val="000000"/>
                <w:sz w:val="19"/>
              </w:rPr>
              <w:t>1 人</w:t>
            </w:r>
          </w:p>
        </w:tc>
        <w:tc>
          <w:tcPr>
            <w:tcW w:type="dxa" w:w="3195"/>
          </w:tcPr>
          <w:p>
            <w:pPr>
              <w:spacing w:after="0" w:line="276" w:lineRule="auto"/>
            </w:pPr>
            <w:r/>
            <w:r>
              <w:rPr>
                <w:rFonts w:ascii="宋体" w:hAnsi="宋体" w:eastAsia="宋体" w:cs="宋体"/>
                <w:b w:val="0"/>
                <w:i w:val="0"/>
                <w:color w:val="000000"/>
                <w:sz w:val="19"/>
              </w:rPr>
              <w:t>边缘节点电路、麦克风前端、结构与声学设计</w:t>
            </w:r>
          </w:p>
        </w:tc>
        <w:tc>
          <w:tcPr>
            <w:tcW w:type="dxa" w:w="3081"/>
          </w:tcPr>
          <w:p>
            <w:pPr>
              <w:spacing w:after="0" w:line="276" w:lineRule="auto"/>
            </w:pPr>
            <w:r/>
            <w:r>
              <w:rPr>
                <w:rFonts w:ascii="宋体" w:hAnsi="宋体" w:eastAsia="宋体" w:cs="宋体"/>
                <w:b w:val="0"/>
                <w:i w:val="0"/>
                <w:color w:val="000000"/>
                <w:sz w:val="19"/>
              </w:rPr>
              <w:t>负责 BOM 与样机试产对接</w:t>
            </w:r>
          </w:p>
        </w:tc>
      </w:tr>
      <w:tr>
        <w:tc>
          <w:tcPr>
            <w:tcW w:type="dxa" w:w="1141"/>
            <w:shd w:val="clear" w:color="auto" w:fill="EDF3F9"/>
          </w:tcPr>
          <w:p>
            <w:pPr>
              <w:spacing w:after="0" w:line="276" w:lineRule="auto"/>
            </w:pPr>
            <w:r/>
            <w:r>
              <w:rPr>
                <w:rFonts w:ascii="宋体" w:hAnsi="宋体" w:eastAsia="宋体" w:cs="宋体"/>
                <w:b w:val="0"/>
                <w:i w:val="0"/>
                <w:color w:val="000000"/>
                <w:sz w:val="19"/>
              </w:rPr>
              <w:t>临床与合规</w:t>
            </w:r>
          </w:p>
        </w:tc>
        <w:tc>
          <w:tcPr>
            <w:tcW w:type="dxa" w:w="1711"/>
            <w:shd w:val="clear" w:color="auto" w:fill="EDF3F9"/>
          </w:tcPr>
          <w:p>
            <w:pPr>
              <w:spacing w:after="0" w:line="276" w:lineRule="auto"/>
            </w:pPr>
            <w:r/>
            <w:r>
              <w:rPr>
                <w:rFonts w:ascii="宋体" w:hAnsi="宋体" w:eastAsia="宋体" w:cs="宋体"/>
                <w:b w:val="0"/>
                <w:i w:val="0"/>
                <w:color w:val="000000"/>
                <w:sz w:val="19"/>
              </w:rPr>
              <w:t>1 人</w:t>
            </w:r>
          </w:p>
        </w:tc>
        <w:tc>
          <w:tcPr>
            <w:tcW w:type="dxa" w:w="3195"/>
            <w:shd w:val="clear" w:color="auto" w:fill="EDF3F9"/>
          </w:tcPr>
          <w:p>
            <w:pPr>
              <w:spacing w:after="0" w:line="276" w:lineRule="auto"/>
            </w:pPr>
            <w:r/>
            <w:r>
              <w:rPr>
                <w:rFonts w:ascii="宋体" w:hAnsi="宋体" w:eastAsia="宋体" w:cs="宋体"/>
                <w:b w:val="0"/>
                <w:i w:val="0"/>
                <w:color w:val="000000"/>
                <w:sz w:val="19"/>
              </w:rPr>
              <w:t>临床方案、伦理与注册材料、医学沟通</w:t>
            </w:r>
          </w:p>
        </w:tc>
        <w:tc>
          <w:tcPr>
            <w:tcW w:type="dxa" w:w="3081"/>
            <w:shd w:val="clear" w:color="auto" w:fill="EDF3F9"/>
          </w:tcPr>
          <w:p>
            <w:pPr>
              <w:spacing w:after="0" w:line="276" w:lineRule="auto"/>
            </w:pPr>
            <w:r/>
            <w:r>
              <w:rPr>
                <w:rFonts w:ascii="宋体" w:hAnsi="宋体" w:eastAsia="宋体" w:cs="宋体"/>
                <w:b w:val="0"/>
                <w:i w:val="0"/>
                <w:color w:val="000000"/>
                <w:sz w:val="19"/>
              </w:rPr>
              <w:t>医学或生物医学工程背景；负责文案合规审查</w:t>
            </w:r>
          </w:p>
        </w:tc>
      </w:tr>
      <w:tr>
        <w:tc>
          <w:tcPr>
            <w:tcW w:type="dxa" w:w="1141"/>
          </w:tcPr>
          <w:p>
            <w:pPr>
              <w:spacing w:after="0" w:line="276" w:lineRule="auto"/>
            </w:pPr>
            <w:r/>
            <w:r>
              <w:rPr>
                <w:rFonts w:ascii="宋体" w:hAnsi="宋体" w:eastAsia="宋体" w:cs="宋体"/>
                <w:b w:val="0"/>
                <w:i w:val="0"/>
                <w:color w:val="000000"/>
                <w:sz w:val="19"/>
              </w:rPr>
              <w:t>市场与运营</w:t>
            </w:r>
          </w:p>
        </w:tc>
        <w:tc>
          <w:tcPr>
            <w:tcW w:type="dxa" w:w="1711"/>
          </w:tcPr>
          <w:p>
            <w:pPr>
              <w:spacing w:after="0" w:line="276" w:lineRule="auto"/>
            </w:pPr>
            <w:r/>
            <w:r>
              <w:rPr>
                <w:rFonts w:ascii="宋体" w:hAnsi="宋体" w:eastAsia="宋体" w:cs="宋体"/>
                <w:b w:val="0"/>
                <w:i w:val="0"/>
                <w:color w:val="000000"/>
                <w:sz w:val="19"/>
              </w:rPr>
              <w:t>1 人</w:t>
            </w:r>
          </w:p>
        </w:tc>
        <w:tc>
          <w:tcPr>
            <w:tcW w:type="dxa" w:w="3195"/>
          </w:tcPr>
          <w:p>
            <w:pPr>
              <w:spacing w:after="0" w:line="276" w:lineRule="auto"/>
            </w:pPr>
            <w:r/>
            <w:r>
              <w:rPr>
                <w:rFonts w:ascii="宋体" w:hAnsi="宋体" w:eastAsia="宋体" w:cs="宋体"/>
                <w:b w:val="0"/>
                <w:i w:val="0"/>
                <w:color w:val="000000"/>
                <w:sz w:val="19"/>
              </w:rPr>
              <w:t>用户调研、渠道拓展、商业模式与财务测算</w:t>
            </w:r>
          </w:p>
        </w:tc>
        <w:tc>
          <w:tcPr>
            <w:tcW w:type="dxa" w:w="3081"/>
          </w:tcPr>
          <w:p>
            <w:pPr>
              <w:spacing w:after="0" w:line="276" w:lineRule="auto"/>
            </w:pPr>
            <w:r/>
            <w:r>
              <w:rPr>
                <w:rFonts w:ascii="宋体" w:hAnsi="宋体" w:eastAsia="宋体" w:cs="宋体"/>
                <w:b w:val="0"/>
                <w:i w:val="0"/>
                <w:color w:val="000000"/>
                <w:sz w:val="19"/>
              </w:rPr>
              <w:t>负责商业计划书与 PPT 的商业章节</w:t>
            </w:r>
          </w:p>
        </w:tc>
      </w:tr>
    </w:tbl>
    <w:p>
      <w:pPr>
        <w:spacing w:after="40"/>
      </w:pPr>
    </w:p>
    <w:p>
      <w:pPr>
        <w:pStyle w:val="Heading1"/>
      </w:pPr>
      <w:r>
        <w:rPr>
          <w:rFonts w:ascii="宋体" w:hAnsi="宋体" w:eastAsia="宋体" w:cs="宋体"/>
          <w:b/>
          <w:i w:val="0"/>
          <w:color w:val="1F4E79"/>
          <w:sz w:val="30"/>
        </w:rPr>
        <w:t>附录 D 待补充信息清单（交付前必填）</w:t>
      </w:r>
    </w:p>
    <w:p>
      <w:pPr>
        <w:spacing w:after="40" w:line="324" w:lineRule="auto"/>
        <w:ind w:left="425" w:hanging="283"/>
      </w:pPr>
      <w:r>
        <w:rPr>
          <w:rFonts w:ascii="宋体" w:hAnsi="宋体" w:eastAsia="宋体" w:cs="宋体"/>
          <w:b w:val="0"/>
          <w:i w:val="0"/>
          <w:color w:val="2E74B5"/>
          <w:sz w:val="18"/>
        </w:rPr>
        <w:t xml:space="preserve">● </w:t>
      </w:r>
      <w:r>
        <w:rPr>
          <w:rFonts w:ascii="宋体" w:hAnsi="宋体" w:eastAsia="宋体" w:cs="宋体"/>
          <w:b w:val="0"/>
          <w:i w:val="0"/>
          <w:color w:val="000000"/>
          <w:sz w:val="21"/>
        </w:rPr>
        <w:t>封面与附录中的学校、学院、指导教师、团队负责人姓名与联系方式。</w:t>
      </w:r>
    </w:p>
    <w:p>
      <w:pPr>
        <w:spacing w:after="40" w:line="324" w:lineRule="auto"/>
        <w:ind w:left="425" w:hanging="283"/>
      </w:pPr>
      <w:r>
        <w:rPr>
          <w:rFonts w:ascii="宋体" w:hAnsi="宋体" w:eastAsia="宋体" w:cs="宋体"/>
          <w:b w:val="0"/>
          <w:i w:val="0"/>
          <w:color w:val="2E74B5"/>
          <w:sz w:val="18"/>
        </w:rPr>
        <w:t xml:space="preserve">● </w:t>
      </w:r>
      <w:r>
        <w:rPr>
          <w:rFonts w:ascii="宋体" w:hAnsi="宋体" w:eastAsia="宋体" w:cs="宋体"/>
          <w:b/>
          <w:i w:val="0"/>
          <w:color w:val="000000"/>
          <w:sz w:val="21"/>
        </w:rPr>
        <w:t>2.5 需求验证情况：</w:t>
      </w:r>
      <w:r>
        <w:rPr>
          <w:rFonts w:ascii="宋体" w:hAnsi="宋体" w:eastAsia="宋体" w:cs="宋体"/>
          <w:b w:val="0"/>
          <w:i w:val="0"/>
          <w:color w:val="000000"/>
          <w:sz w:val="21"/>
        </w:rPr>
        <w:t>补入医生访谈要点与患者问卷统计结果（样本量、关键比例数据）。</w:t>
      </w:r>
    </w:p>
    <w:p>
      <w:pPr>
        <w:spacing w:after="40" w:line="324" w:lineRule="auto"/>
        <w:ind w:left="425" w:hanging="283"/>
      </w:pPr>
      <w:r>
        <w:rPr>
          <w:rFonts w:ascii="宋体" w:hAnsi="宋体" w:eastAsia="宋体" w:cs="宋体"/>
          <w:b w:val="0"/>
          <w:i w:val="0"/>
          <w:color w:val="2E74B5"/>
          <w:sz w:val="18"/>
        </w:rPr>
        <w:t xml:space="preserve">● </w:t>
      </w:r>
      <w:r>
        <w:rPr>
          <w:rFonts w:ascii="宋体" w:hAnsi="宋体" w:eastAsia="宋体" w:cs="宋体"/>
          <w:b/>
          <w:i w:val="0"/>
          <w:color w:val="000000"/>
          <w:sz w:val="21"/>
        </w:rPr>
        <w:t>5.3.3 数据来源：</w:t>
      </w:r>
      <w:r>
        <w:rPr>
          <w:rFonts w:ascii="宋体" w:hAnsi="宋体" w:eastAsia="宋体" w:cs="宋体"/>
          <w:b w:val="0"/>
          <w:i w:val="0"/>
          <w:color w:val="000000"/>
          <w:sz w:val="21"/>
        </w:rPr>
        <w:t>补入已确认可用的公开数据集清单与获取状态，并说明公开数据库仅用于算法性能评估、不作为测评数据库。</w:t>
      </w:r>
    </w:p>
    <w:p>
      <w:pPr>
        <w:spacing w:after="40" w:line="324" w:lineRule="auto"/>
        <w:ind w:left="425" w:hanging="283"/>
      </w:pPr>
      <w:r>
        <w:rPr>
          <w:rFonts w:ascii="宋体" w:hAnsi="宋体" w:eastAsia="宋体" w:cs="宋体"/>
          <w:b w:val="0"/>
          <w:i w:val="0"/>
          <w:color w:val="2E74B5"/>
          <w:sz w:val="18"/>
        </w:rPr>
        <w:t xml:space="preserve">● </w:t>
      </w:r>
      <w:r>
        <w:rPr>
          <w:rFonts w:ascii="宋体" w:hAnsi="宋体" w:eastAsia="宋体" w:cs="宋体"/>
          <w:b/>
          <w:i w:val="0"/>
          <w:color w:val="000000"/>
          <w:sz w:val="21"/>
        </w:rPr>
        <w:t>6.1、5.5：</w:t>
      </w:r>
      <w:r>
        <w:rPr>
          <w:rFonts w:ascii="宋体" w:hAnsi="宋体" w:eastAsia="宋体" w:cs="宋体"/>
          <w:b w:val="0"/>
          <w:i w:val="0"/>
          <w:color w:val="000000"/>
          <w:sz w:val="21"/>
        </w:rPr>
        <w:t>把设计目标替换为样机实测数据，并附测试条件说明。</w:t>
      </w:r>
    </w:p>
    <w:p>
      <w:pPr>
        <w:spacing w:after="40" w:line="324" w:lineRule="auto"/>
        <w:ind w:left="425" w:hanging="283"/>
      </w:pPr>
      <w:r>
        <w:rPr>
          <w:rFonts w:ascii="宋体" w:hAnsi="宋体" w:eastAsia="宋体" w:cs="宋体"/>
          <w:b w:val="0"/>
          <w:i w:val="0"/>
          <w:color w:val="2E74B5"/>
          <w:sz w:val="18"/>
        </w:rPr>
        <w:t xml:space="preserve">● </w:t>
      </w:r>
      <w:r>
        <w:rPr>
          <w:rFonts w:ascii="宋体" w:hAnsi="宋体" w:eastAsia="宋体" w:cs="宋体"/>
          <w:b/>
          <w:i w:val="0"/>
          <w:color w:val="000000"/>
          <w:sz w:val="21"/>
        </w:rPr>
        <w:t>附录 B-1：</w:t>
      </w:r>
      <w:r>
        <w:rPr>
          <w:rFonts w:ascii="宋体" w:hAnsi="宋体" w:eastAsia="宋体" w:cs="宋体"/>
          <w:b w:val="0"/>
          <w:i w:val="0"/>
          <w:color w:val="000000"/>
          <w:sz w:val="21"/>
        </w:rPr>
        <w:t>登记所有引用文献的完整出处（作者、期刊、年份、DOI / PMID / NCT 编号）与访问日期；**引用前必须逐条核对文献卷期、页码与在线发表状态**（部分文献为先在线发表、卷期后续才确定），这是交付前的必办事项。</w:t>
      </w:r>
    </w:p>
    <w:p>
      <w:pPr>
        <w:spacing w:after="40" w:line="324" w:lineRule="auto"/>
        <w:ind w:left="425" w:hanging="283"/>
      </w:pPr>
      <w:r>
        <w:rPr>
          <w:rFonts w:ascii="宋体" w:hAnsi="宋体" w:eastAsia="宋体" w:cs="宋体"/>
          <w:b w:val="0"/>
          <w:i w:val="0"/>
          <w:color w:val="2E74B5"/>
          <w:sz w:val="18"/>
        </w:rPr>
        <w:t xml:space="preserve">● </w:t>
      </w:r>
      <w:r>
        <w:rPr>
          <w:rFonts w:ascii="宋体" w:hAnsi="宋体" w:eastAsia="宋体" w:cs="宋体"/>
          <w:b/>
          <w:i w:val="0"/>
          <w:color w:val="000000"/>
          <w:sz w:val="21"/>
        </w:rPr>
        <w:t>7.4 合规路径：</w:t>
      </w:r>
      <w:r>
        <w:rPr>
          <w:rFonts w:ascii="宋体" w:hAnsi="宋体" w:eastAsia="宋体" w:cs="宋体"/>
          <w:b w:val="0"/>
          <w:i w:val="0"/>
          <w:color w:val="000000"/>
          <w:sz w:val="21"/>
        </w:rPr>
        <w:t>向省级药品监督管理部门申请分类界定，取得书面确认后再确定注册路径与宣称边界。</w:t>
      </w:r>
    </w:p>
    <w:p>
      <w:pPr>
        <w:spacing w:after="40" w:line="324" w:lineRule="auto"/>
        <w:ind w:left="425" w:hanging="283"/>
      </w:pPr>
      <w:r>
        <w:rPr>
          <w:rFonts w:ascii="宋体" w:hAnsi="宋体" w:eastAsia="宋体" w:cs="宋体"/>
          <w:b w:val="0"/>
          <w:i w:val="0"/>
          <w:color w:val="2E74B5"/>
          <w:sz w:val="18"/>
        </w:rPr>
        <w:t xml:space="preserve">● </w:t>
      </w:r>
      <w:r>
        <w:rPr>
          <w:rFonts w:ascii="宋体" w:hAnsi="宋体" w:eastAsia="宋体" w:cs="宋体"/>
          <w:b/>
          <w:i w:val="0"/>
          <w:color w:val="000000"/>
          <w:sz w:val="21"/>
        </w:rPr>
        <w:t>7.3 样本量：</w:t>
      </w:r>
      <w:r>
        <w:rPr>
          <w:rFonts w:ascii="宋体" w:hAnsi="宋体" w:eastAsia="宋体" w:cs="宋体"/>
          <w:b w:val="0"/>
          <w:i w:val="0"/>
          <w:color w:val="000000"/>
          <w:sz w:val="21"/>
        </w:rPr>
        <w:t>请统计师按本院阳性率完成阶段 B 样本量的正式估算（ICC 路径与单比例精确法两条路径）。</w:t>
      </w:r>
    </w:p>
    <w:p>
      <w:pPr>
        <w:spacing w:after="40" w:line="324" w:lineRule="auto"/>
        <w:ind w:left="425" w:hanging="283"/>
      </w:pPr>
      <w:r>
        <w:rPr>
          <w:rFonts w:ascii="宋体" w:hAnsi="宋体" w:eastAsia="宋体" w:cs="宋体"/>
          <w:b w:val="0"/>
          <w:i w:val="0"/>
          <w:color w:val="2E74B5"/>
          <w:sz w:val="18"/>
        </w:rPr>
        <w:t xml:space="preserve">● </w:t>
      </w:r>
      <w:r>
        <w:rPr>
          <w:rFonts w:ascii="宋体" w:hAnsi="宋体" w:eastAsia="宋体" w:cs="宋体"/>
          <w:b/>
          <w:i w:val="0"/>
          <w:color w:val="000000"/>
          <w:sz w:val="21"/>
        </w:rPr>
        <w:t>7.2 竞品数据：</w:t>
      </w:r>
      <w:r>
        <w:rPr>
          <w:rFonts w:ascii="宋体" w:hAnsi="宋体" w:eastAsia="宋体" w:cs="宋体"/>
          <w:b w:val="0"/>
          <w:i w:val="0"/>
          <w:color w:val="000000"/>
          <w:sz w:val="21"/>
        </w:rPr>
        <w:t>核实 TytoCare、Hyfe、Vitalograph、Strados 的官方定价，以及医院采购家用呼吸监测设备的实际客单价（建议查政府采购网招标公告）。</w:t>
      </w:r>
    </w:p>
    <w:p>
      <w:pPr>
        <w:spacing w:after="40" w:line="324" w:lineRule="auto"/>
        <w:ind w:left="425" w:hanging="283"/>
      </w:pPr>
      <w:r>
        <w:rPr>
          <w:rFonts w:ascii="宋体" w:hAnsi="宋体" w:eastAsia="宋体" w:cs="宋体"/>
          <w:b w:val="0"/>
          <w:i w:val="0"/>
          <w:color w:val="2E74B5"/>
          <w:sz w:val="18"/>
        </w:rPr>
        <w:t xml:space="preserve">● </w:t>
      </w:r>
      <w:r>
        <w:rPr>
          <w:rFonts w:ascii="宋体" w:hAnsi="宋体" w:eastAsia="宋体" w:cs="宋体"/>
          <w:b/>
          <w:i w:val="0"/>
          <w:color w:val="000000"/>
          <w:sz w:val="21"/>
        </w:rPr>
        <w:t>附录 C：</w:t>
      </w:r>
      <w:r>
        <w:rPr>
          <w:rFonts w:ascii="宋体" w:hAnsi="宋体" w:eastAsia="宋体" w:cs="宋体"/>
          <w:b w:val="0"/>
          <w:i w:val="0"/>
          <w:color w:val="000000"/>
          <w:sz w:val="21"/>
        </w:rPr>
        <w:t>填入 8 位成员的真实姓名与分工。</w:t>
      </w:r>
    </w:p>
    <w:p>
      <w:pPr>
        <w:spacing w:after="40" w:line="324" w:lineRule="auto"/>
        <w:ind w:left="425" w:hanging="283"/>
      </w:pPr>
      <w:r>
        <w:rPr>
          <w:rFonts w:ascii="宋体" w:hAnsi="宋体" w:eastAsia="宋体" w:cs="宋体"/>
          <w:b w:val="0"/>
          <w:i w:val="0"/>
          <w:color w:val="2E74B5"/>
          <w:sz w:val="18"/>
        </w:rPr>
        <w:t xml:space="preserve">● </w:t>
      </w:r>
      <w:r>
        <w:rPr>
          <w:rFonts w:ascii="宋体" w:hAnsi="宋体" w:eastAsia="宋体" w:cs="宋体"/>
          <w:b/>
          <w:i w:val="0"/>
          <w:color w:val="000000"/>
          <w:sz w:val="21"/>
        </w:rPr>
        <w:t>9.5 财务预测：</w:t>
      </w:r>
      <w:r>
        <w:rPr>
          <w:rFonts w:ascii="宋体" w:hAnsi="宋体" w:eastAsia="宋体" w:cs="宋体"/>
          <w:b w:val="0"/>
          <w:i w:val="0"/>
          <w:color w:val="000000"/>
          <w:sz w:val="21"/>
        </w:rPr>
        <w:t>按实际采购询价与市场调研结果替换成本与定价假设，并用用户调研验证 C 端 699–899 元价位的支付意愿。</w:t>
      </w:r>
    </w:p>
    <w:p>
      <w:pPr>
        <w:spacing w:after="40" w:line="324" w:lineRule="auto"/>
        <w:ind w:left="425" w:hanging="283"/>
      </w:pPr>
      <w:r>
        <w:rPr>
          <w:rFonts w:ascii="宋体" w:hAnsi="宋体" w:eastAsia="宋体" w:cs="宋体"/>
          <w:b w:val="0"/>
          <w:i w:val="0"/>
          <w:color w:val="2E74B5"/>
          <w:sz w:val="18"/>
        </w:rPr>
        <w:t xml:space="preserve">● </w:t>
      </w:r>
      <w:r>
        <w:rPr>
          <w:rFonts w:ascii="宋体" w:hAnsi="宋体" w:eastAsia="宋体" w:cs="宋体"/>
          <w:b/>
          <w:i w:val="0"/>
          <w:color w:val="000000"/>
          <w:sz w:val="21"/>
        </w:rPr>
        <w:t>待核实项清单（引用前须二次确认）：</w:t>
      </w:r>
      <w:r>
        <w:rPr>
          <w:rFonts w:ascii="宋体" w:hAnsi="宋体" w:eastAsia="宋体" w:cs="宋体"/>
          <w:b w:val="0"/>
          <w:i w:val="0"/>
          <w:color w:val="000000"/>
          <w:sz w:val="21"/>
        </w:rPr>
        <w:t>ResApp SMARTCOUGH-C 的具体 AUC / 敏感度 / 特异度；Google HeAR 的结核与咳嗽检测性能数字；我国是否存在呼吸音 / 咳嗽音监测软件的分类界定先例或已获批注册证编号；呼吸音声学数据是否被列入“重要数据”目录。</w:t>
      </w:r>
    </w:p>
    <w:p>
      <w:pPr>
        <w:pStyle w:val="Heading1"/>
      </w:pPr>
      <w:r>
        <w:rPr>
          <w:rFonts w:ascii="宋体" w:hAnsi="宋体" w:eastAsia="宋体" w:cs="宋体"/>
          <w:b/>
          <w:i w:val="0"/>
          <w:color w:val="1F4E79"/>
          <w:sz w:val="30"/>
        </w:rPr>
        <w:t>附录 E 与指导教师的沟通要点</w:t>
      </w:r>
    </w:p>
    <w:p>
      <w:pPr>
        <w:spacing w:after="40" w:line="324" w:lineRule="auto"/>
        <w:ind w:left="425" w:hanging="283"/>
      </w:pPr>
      <w:r>
        <w:rPr>
          <w:rFonts w:ascii="宋体" w:hAnsi="宋体" w:eastAsia="宋体" w:cs="宋体"/>
          <w:b w:val="0"/>
          <w:i w:val="0"/>
          <w:color w:val="2E74B5"/>
          <w:sz w:val="18"/>
        </w:rPr>
        <w:t xml:space="preserve">● </w:t>
      </w:r>
      <w:r>
        <w:rPr>
          <w:rFonts w:ascii="宋体" w:hAnsi="宋体" w:eastAsia="宋体" w:cs="宋体"/>
          <w:b/>
          <w:i w:val="0"/>
          <w:color w:val="000000"/>
          <w:sz w:val="21"/>
        </w:rPr>
        <w:t>请指导教师帮助确认产品分类判断：</w:t>
      </w:r>
      <w:r>
        <w:rPr>
          <w:rFonts w:ascii="宋体" w:hAnsi="宋体" w:eastAsia="宋体" w:cs="宋体"/>
          <w:b w:val="0"/>
          <w:i w:val="0"/>
          <w:color w:val="000000"/>
          <w:sz w:val="21"/>
        </w:rPr>
        <w:t>按《人工智能医用软件产品分类界定指导原则》（国家药监局 2021 年第 47 号通告）以预期用途为判定依据，本项目仅输出客观测量指标、不参与治疗决策 → 倾向第二类（21-03 数据处理软件）。建议向省级药品监督管理部门申请分类界定确认，不自行认定。</w:t>
      </w:r>
    </w:p>
    <w:p>
      <w:pPr>
        <w:spacing w:after="40" w:line="324" w:lineRule="auto"/>
        <w:ind w:left="425" w:hanging="283"/>
      </w:pPr>
      <w:r>
        <w:rPr>
          <w:rFonts w:ascii="宋体" w:hAnsi="宋体" w:eastAsia="宋体" w:cs="宋体"/>
          <w:b w:val="0"/>
          <w:i w:val="0"/>
          <w:color w:val="2E74B5"/>
          <w:sz w:val="18"/>
        </w:rPr>
        <w:t xml:space="preserve">● </w:t>
      </w:r>
      <w:r>
        <w:rPr>
          <w:rFonts w:ascii="宋体" w:hAnsi="宋体" w:eastAsia="宋体" w:cs="宋体"/>
          <w:b w:val="0"/>
          <w:i w:val="0"/>
          <w:color w:val="000000"/>
          <w:sz w:val="21"/>
        </w:rPr>
        <w:t>请协助对接呼吸科临床资源，用于开展回顾性与前瞻性一致性研究，并获取医生对指标设计（尤其是夜间咳嗽指数与入睡后前 30 分钟观察窗）的意见。</w:t>
      </w:r>
    </w:p>
    <w:p>
      <w:pPr>
        <w:spacing w:after="40" w:line="324" w:lineRule="auto"/>
        <w:ind w:left="425" w:hanging="283"/>
      </w:pPr>
      <w:r>
        <w:rPr>
          <w:rFonts w:ascii="宋体" w:hAnsi="宋体" w:eastAsia="宋体" w:cs="宋体"/>
          <w:b w:val="0"/>
          <w:i w:val="0"/>
          <w:color w:val="2E74B5"/>
          <w:sz w:val="18"/>
        </w:rPr>
        <w:t xml:space="preserve">● </w:t>
      </w:r>
      <w:r>
        <w:rPr>
          <w:rFonts w:ascii="宋体" w:hAnsi="宋体" w:eastAsia="宋体" w:cs="宋体"/>
          <w:b/>
          <w:i w:val="0"/>
          <w:color w:val="000000"/>
          <w:sz w:val="21"/>
        </w:rPr>
        <w:t>请指导临床研究方案设计，重点是两条样本量路径：</w:t>
      </w:r>
      <w:r>
        <w:rPr>
          <w:rFonts w:ascii="宋体" w:hAnsi="宋体" w:eastAsia="宋体" w:cs="宋体"/>
          <w:b w:val="0"/>
          <w:i w:val="0"/>
          <w:color w:val="000000"/>
          <w:sz w:val="21"/>
        </w:rPr>
        <w:t>① 咳嗽计数一致性以 ICC(2,1) 为主要指标，双侧 α=0.05、把握度 0.80、预期 ICC 0.90、下限 0.75 → 约 40–50 例、每例至少 2 夜；② 喘息检出按单比例精确法，目标敏感度 0.90、绝对精度 ±0.10 → 至少 35 例阳性样本。最终样本量须由统计师按本院阳性率确定。</w:t>
      </w:r>
    </w:p>
    <w:p>
      <w:pPr>
        <w:spacing w:after="40" w:line="324" w:lineRule="auto"/>
        <w:ind w:left="425" w:hanging="283"/>
      </w:pPr>
      <w:r>
        <w:rPr>
          <w:rFonts w:ascii="宋体" w:hAnsi="宋体" w:eastAsia="宋体" w:cs="宋体"/>
          <w:b w:val="0"/>
          <w:i w:val="0"/>
          <w:color w:val="2E74B5"/>
          <w:sz w:val="18"/>
        </w:rPr>
        <w:t xml:space="preserve">● </w:t>
      </w:r>
      <w:r>
        <w:rPr>
          <w:rFonts w:ascii="宋体" w:hAnsi="宋体" w:eastAsia="宋体" w:cs="宋体"/>
          <w:b/>
          <w:i w:val="0"/>
          <w:color w:val="000000"/>
          <w:sz w:val="21"/>
        </w:rPr>
        <w:t>请评估知识产权布局优先级：</w:t>
      </w:r>
      <w:r>
        <w:rPr>
          <w:rFonts w:ascii="宋体" w:hAnsi="宋体" w:eastAsia="宋体" w:cs="宋体"/>
          <w:b w:val="0"/>
          <w:i w:val="0"/>
          <w:color w:val="000000"/>
          <w:sz w:val="21"/>
        </w:rPr>
        <w:t>发明专利、实用新型与软件著作权的申请顺序与时间安排，并判断算法版本管理与回滚机制是否适合作为专利或软著保护点。</w:t>
      </w:r>
    </w:p>
    <w:p>
      <w:pPr>
        <w:spacing w:after="40" w:line="324" w:lineRule="auto"/>
        <w:ind w:left="425" w:hanging="283"/>
      </w:pPr>
      <w:r>
        <w:rPr>
          <w:rFonts w:ascii="宋体" w:hAnsi="宋体" w:eastAsia="宋体" w:cs="宋体"/>
          <w:b w:val="0"/>
          <w:i w:val="0"/>
          <w:color w:val="2E74B5"/>
          <w:sz w:val="18"/>
        </w:rPr>
        <w:t xml:space="preserve">● </w:t>
      </w:r>
      <w:r>
        <w:rPr>
          <w:rFonts w:ascii="宋体" w:hAnsi="宋体" w:eastAsia="宋体" w:cs="宋体"/>
          <w:b w:val="0"/>
          <w:i w:val="0"/>
          <w:color w:val="000000"/>
          <w:sz w:val="21"/>
        </w:rPr>
        <w:t>请审阅商业模式的可行性，特别是药企临床研究服务这条早期收入线，以及“算法与方案供应商（OEM）”定位相对于独立建渠道的现实性。</w:t>
      </w:r>
    </w:p>
    <w:p>
      <w:pPr>
        <w:spacing w:after="40" w:line="324" w:lineRule="auto"/>
        <w:ind w:left="425" w:hanging="283"/>
      </w:pPr>
      <w:r>
        <w:rPr>
          <w:rFonts w:ascii="宋体" w:hAnsi="宋体" w:eastAsia="宋体" w:cs="宋体"/>
          <w:b w:val="0"/>
          <w:i w:val="0"/>
          <w:color w:val="2E74B5"/>
          <w:sz w:val="18"/>
        </w:rPr>
        <w:t xml:space="preserve">● </w:t>
      </w:r>
      <w:r>
        <w:rPr>
          <w:rFonts w:ascii="宋体" w:hAnsi="宋体" w:eastAsia="宋体" w:cs="宋体"/>
          <w:b/>
          <w:i w:val="0"/>
          <w:color w:val="000000"/>
          <w:sz w:val="21"/>
        </w:rPr>
        <w:t>答辩口径一：</w:t>
      </w:r>
      <w:r>
        <w:rPr>
          <w:rFonts w:ascii="宋体" w:hAnsi="宋体" w:eastAsia="宋体" w:cs="宋体"/>
          <w:b w:val="0"/>
          <w:i w:val="0"/>
          <w:color w:val="000000"/>
          <w:sz w:val="21"/>
        </w:rPr>
        <w:t>算不算医疗器械、二类还是三类 —— 按 2021 年第 47 号，仅输出客观测量指标、不参与治疗决策 → 倾向二类（21-03）；主动说明这只是初步判断并拟申请分类界定，可显著降低被追问的风险。</w:t>
      </w:r>
    </w:p>
    <w:p>
      <w:pPr>
        <w:spacing w:after="40" w:line="324" w:lineRule="auto"/>
        <w:ind w:left="425" w:hanging="283"/>
      </w:pPr>
      <w:r>
        <w:rPr>
          <w:rFonts w:ascii="宋体" w:hAnsi="宋体" w:eastAsia="宋体" w:cs="宋体"/>
          <w:b w:val="0"/>
          <w:i w:val="0"/>
          <w:color w:val="2E74B5"/>
          <w:sz w:val="18"/>
        </w:rPr>
        <w:t xml:space="preserve">● </w:t>
      </w:r>
      <w:r>
        <w:rPr>
          <w:rFonts w:ascii="宋体" w:hAnsi="宋体" w:eastAsia="宋体" w:cs="宋体"/>
          <w:b/>
          <w:i w:val="0"/>
          <w:color w:val="000000"/>
          <w:sz w:val="21"/>
        </w:rPr>
        <w:t>答辩口径二：</w:t>
      </w:r>
      <w:r>
        <w:rPr>
          <w:rFonts w:ascii="宋体" w:hAnsi="宋体" w:eastAsia="宋体" w:cs="宋体"/>
          <w:b w:val="0"/>
          <w:i w:val="0"/>
          <w:color w:val="000000"/>
          <w:sz w:val="21"/>
        </w:rPr>
        <w:t>FDA 都否决了 gefapixant，咳嗽频次终点站得住吗 —— 承认统计学显著不等于临床意义；把咳嗽频次定位为“监测指标”而非“疗效终点”；用 ICC(2,1) 与 Bland-Altman 做一致性验证；说明该测量方法已被用于注册试验主要终点，但监管地位仍在演进。</w:t>
      </w:r>
    </w:p>
    <w:p>
      <w:pPr>
        <w:spacing w:after="40" w:line="324" w:lineRule="auto"/>
        <w:ind w:left="425" w:hanging="283"/>
      </w:pPr>
      <w:r>
        <w:rPr>
          <w:rFonts w:ascii="宋体" w:hAnsi="宋体" w:eastAsia="宋体" w:cs="宋体"/>
          <w:b w:val="0"/>
          <w:i w:val="0"/>
          <w:color w:val="2E74B5"/>
          <w:sz w:val="18"/>
        </w:rPr>
        <w:t xml:space="preserve">● </w:t>
      </w:r>
      <w:r>
        <w:rPr>
          <w:rFonts w:ascii="宋体" w:hAnsi="宋体" w:eastAsia="宋体" w:cs="宋体"/>
          <w:b/>
          <w:i w:val="0"/>
          <w:color w:val="000000"/>
          <w:sz w:val="21"/>
        </w:rPr>
        <w:t>答辩口径三：</w:t>
      </w:r>
      <w:r>
        <w:rPr>
          <w:rFonts w:ascii="宋体" w:hAnsi="宋体" w:eastAsia="宋体" w:cs="宋体"/>
          <w:b w:val="0"/>
          <w:i w:val="0"/>
          <w:color w:val="000000"/>
          <w:sz w:val="21"/>
        </w:rPr>
        <w:t>居家录音会不会录到家人、数据会不会出境 —— 边缘端本地处理、原始音频不出设备、事件片段人声抑制；知情同意设第三方语音专章；按个人信息保护法做单独同意与个人信息保护影响评估；默认不向境外提供数据，确需跨境时走标准合同或安全评估。</w:t>
      </w:r>
    </w:p>
    <w:p>
      <w:pPr>
        <w:spacing w:after="40" w:line="324" w:lineRule="auto"/>
        <w:ind w:left="425" w:hanging="283"/>
      </w:pPr>
      <w:r>
        <w:rPr>
          <w:rFonts w:ascii="宋体" w:hAnsi="宋体" w:eastAsia="宋体" w:cs="宋体"/>
          <w:b w:val="0"/>
          <w:i w:val="0"/>
          <w:color w:val="2E74B5"/>
          <w:sz w:val="18"/>
        </w:rPr>
        <w:t xml:space="preserve">● </w:t>
      </w:r>
      <w:r>
        <w:rPr>
          <w:rFonts w:ascii="宋体" w:hAnsi="宋体" w:eastAsia="宋体" w:cs="宋体"/>
          <w:b/>
          <w:i w:val="0"/>
          <w:color w:val="000000"/>
          <w:sz w:val="21"/>
        </w:rPr>
        <w:t>答辩口径四：</w:t>
      </w:r>
      <w:r>
        <w:rPr>
          <w:rFonts w:ascii="宋体" w:hAnsi="宋体" w:eastAsia="宋体" w:cs="宋体"/>
          <w:b w:val="0"/>
          <w:i w:val="0"/>
          <w:color w:val="000000"/>
          <w:sz w:val="21"/>
        </w:rPr>
        <w:t>模型持续学习怎么管 —— 锁定模型 + 版本化离线升级 + 回滚机制；算法驱动型更新按重大软件更新申请变更注册；不做在线持续学习，保证算法版本可追溯。</w:t>
      </w:r>
    </w:p>
    <w:p>
      <w:pPr>
        <w:spacing w:after="40" w:line="324" w:lineRule="auto"/>
        <w:ind w:left="425" w:hanging="283"/>
      </w:pPr>
      <w:r>
        <w:rPr>
          <w:rFonts w:ascii="宋体" w:hAnsi="宋体" w:eastAsia="宋体" w:cs="宋体"/>
          <w:b w:val="0"/>
          <w:i w:val="0"/>
          <w:color w:val="2E74B5"/>
          <w:sz w:val="18"/>
        </w:rPr>
        <w:t xml:space="preserve">● </w:t>
      </w:r>
      <w:r>
        <w:rPr>
          <w:rFonts w:ascii="宋体" w:hAnsi="宋体" w:eastAsia="宋体" w:cs="宋体"/>
          <w:b/>
          <w:i w:val="0"/>
          <w:color w:val="000000"/>
          <w:sz w:val="21"/>
        </w:rPr>
        <w:t>答辩口径五：</w:t>
      </w:r>
      <w:r>
        <w:rPr>
          <w:rFonts w:ascii="宋体" w:hAnsi="宋体" w:eastAsia="宋体" w:cs="宋体"/>
          <w:b w:val="0"/>
          <w:i w:val="0"/>
          <w:color w:val="000000"/>
          <w:sz w:val="21"/>
        </w:rPr>
        <w:t>训练数据从哪来、公开数据集能不能用 —— 公开数据库不具封闭性、不能用作测评数据库，仅用于算法性能评估；确认测试必须使用自建封闭测评集，覆盖多机构、多设备、多地域并包含罕见样本。</w:t>
      </w:r>
    </w:p>
    <w:p>
      <w:pPr>
        <w:spacing w:after="40" w:line="324" w:lineRule="auto"/>
        <w:ind w:left="425" w:hanging="283"/>
      </w:pPr>
      <w:r>
        <w:rPr>
          <w:rFonts w:ascii="宋体" w:hAnsi="宋体" w:eastAsia="宋体" w:cs="宋体"/>
          <w:b w:val="0"/>
          <w:i w:val="0"/>
          <w:color w:val="2E74B5"/>
          <w:sz w:val="18"/>
        </w:rPr>
        <w:t xml:space="preserve">● </w:t>
      </w:r>
      <w:r>
        <w:rPr>
          <w:rFonts w:ascii="宋体" w:hAnsi="宋体" w:eastAsia="宋体" w:cs="宋体"/>
          <w:b/>
          <w:i w:val="0"/>
          <w:color w:val="000000"/>
          <w:sz w:val="21"/>
        </w:rPr>
        <w:t>答辩口径六：</w:t>
      </w:r>
      <w:r>
        <w:rPr>
          <w:rFonts w:ascii="宋体" w:hAnsi="宋体" w:eastAsia="宋体" w:cs="宋体"/>
          <w:b w:val="0"/>
          <w:i w:val="0"/>
          <w:color w:val="000000"/>
          <w:sz w:val="21"/>
        </w:rPr>
        <w:t>和医生听诊或多导睡眠监测比过吗 —— 报告 Cohen's κ、ICC 与 Bland-Altman；强调主观报告与录音实测的一致性仅 κ = 0.30，故不以主观报告作为金标准，而以多观察者人工标注的连续录音为金标准。</w:t>
      </w:r>
    </w:p>
    <w:p>
      <w:pPr>
        <w:spacing w:after="40" w:line="324" w:lineRule="auto"/>
        <w:ind w:left="425" w:hanging="283"/>
      </w:pPr>
      <w:r>
        <w:rPr>
          <w:rFonts w:ascii="宋体" w:hAnsi="宋体" w:eastAsia="宋体" w:cs="宋体"/>
          <w:b w:val="0"/>
          <w:i w:val="0"/>
          <w:color w:val="2E74B5"/>
          <w:sz w:val="18"/>
        </w:rPr>
        <w:t xml:space="preserve">● </w:t>
      </w:r>
      <w:r>
        <w:rPr>
          <w:rFonts w:ascii="宋体" w:hAnsi="宋体" w:eastAsia="宋体" w:cs="宋体"/>
          <w:b/>
          <w:i w:val="0"/>
          <w:color w:val="000000"/>
          <w:sz w:val="21"/>
        </w:rPr>
        <w:t>答辩口径七：</w:t>
      </w:r>
      <w:r>
        <w:rPr>
          <w:rFonts w:ascii="宋体" w:hAnsi="宋体" w:eastAsia="宋体" w:cs="宋体"/>
          <w:b w:val="0"/>
          <w:i w:val="0"/>
          <w:color w:val="000000"/>
          <w:sz w:val="21"/>
        </w:rPr>
        <w:t>过度宣称风险 —— 项目文档、演示界面文案与宣传物料同步避免「诊断 / 筛查 / 确诊 / 预警」表述，统一使用「记录、测量、趋势、提示关注」口径；答辩演示界面中的文案同样属于对外宣称。</w:t>
      </w:r>
    </w:p>
    <w:p>
      <w:pPr>
        <w:spacing w:after="40" w:line="324" w:lineRule="auto"/>
        <w:ind w:left="425" w:hanging="283"/>
      </w:pPr>
      <w:r>
        <w:rPr>
          <w:rFonts w:ascii="宋体" w:hAnsi="宋体" w:eastAsia="宋体" w:cs="宋体"/>
          <w:b w:val="0"/>
          <w:i w:val="0"/>
          <w:color w:val="2E74B5"/>
          <w:sz w:val="18"/>
        </w:rPr>
        <w:t xml:space="preserve">● </w:t>
      </w:r>
      <w:r>
        <w:rPr>
          <w:rFonts w:ascii="宋体" w:hAnsi="宋体" w:eastAsia="宋体" w:cs="宋体"/>
          <w:b/>
          <w:i w:val="0"/>
          <w:color w:val="000000"/>
          <w:sz w:val="21"/>
        </w:rPr>
        <w:t>请指导教师复核行业现状判断：</w:t>
      </w:r>
      <w:r>
        <w:rPr>
          <w:rFonts w:ascii="宋体" w:hAnsi="宋体" w:eastAsia="宋体" w:cs="宋体"/>
          <w:b w:val="0"/>
          <w:i w:val="0"/>
          <w:color w:val="000000"/>
          <w:sz w:val="21"/>
        </w:rPr>
        <w:t>咳嗽声学标志物系统综述（89 项研究、34 个国家）发现仅约 11% 的研究做了外部验证、71%–88% 存在高偏倚风险，本项目把“严格外部验证与低偏倚设计”作为差异化优势是否有足够说服力。</w:t>
      </w:r>
    </w:p>
    <w:sectPr w:rsidR="00FC693F" w:rsidRPr="0006063C" w:rsidSect="00034616">
      <w:footerReference w:type="default" r:id="rId10"/>
      <w:pgSz w:w="11906" w:h="16838"/>
      <w:pgMar w:top="1361" w:right="1304" w:bottom="1247"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宋体" w:hAnsi="宋体" w:eastAsia="宋体" w:cs="宋体"/>
        <w:b w:val="0"/>
        <w:i w:val="0"/>
        <w:color w:val="595959"/>
        <w:sz w:val="18"/>
      </w:rPr>
      <w:t xml:space="preserve">第 </w:t>
    </w:r>
    <w:fldSimple w:instr="PAGE">
      <w:r>
        <w:rPr>
          <w:rFonts w:ascii="宋体" w:hAnsi="宋体" w:eastAsia="宋体"/>
          <w:sz w:val="18"/>
        </w:rPr>
        <w:t>1</w:t>
      </w:r>
    </w:fldSimple>
    <w:r>
      <w:rPr>
        <w:rFonts w:ascii="宋体" w:hAnsi="宋体" w:eastAsia="宋体" w:cs="宋体"/>
        <w:b w:val="0"/>
        <w:i w:val="0"/>
        <w:color w:val="595959"/>
        <w:sz w:val="18"/>
      </w:rPr>
      <w:t xml:space="preserve"> 页</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36" w:lineRule="auto" w:after="80"/>
    </w:pPr>
    <w:rPr>
      <w:rFonts w:ascii="宋体" w:hAnsi="宋体" w:eastAsia="宋体"/>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line="300" w:lineRule="auto"/>
      <w:outlineLvl w:val="0"/>
    </w:pPr>
    <w:rPr>
      <w:rFonts w:asciiTheme="majorHAnsi" w:eastAsiaTheme="majorEastAsia" w:hAnsiTheme="majorHAnsi" w:cstheme="majorBidi" w:ascii="宋体" w:hAnsi="宋体" w:eastAsia="宋体"/>
      <w:b/>
      <w:bCs/>
      <w:color w:val="1F4E79"/>
      <w:sz w:val="30"/>
      <w:szCs w:val="28"/>
    </w:rPr>
  </w:style>
  <w:style w:type="paragraph" w:styleId="Heading2">
    <w:name w:val="heading 2"/>
    <w:basedOn w:val="Normal"/>
    <w:next w:val="Normal"/>
    <w:link w:val="Heading2Char"/>
    <w:uiPriority w:val="9"/>
    <w:unhideWhenUsed/>
    <w:qFormat/>
    <w:rsid w:val="00FC693F"/>
    <w:pPr>
      <w:keepNext/>
      <w:keepLines/>
      <w:spacing w:before="240" w:after="100" w:line="300" w:lineRule="auto"/>
      <w:outlineLvl w:val="1"/>
    </w:pPr>
    <w:rPr>
      <w:rFonts w:asciiTheme="majorHAnsi" w:eastAsiaTheme="majorEastAsia" w:hAnsiTheme="majorHAnsi" w:cstheme="majorBidi" w:ascii="宋体" w:hAnsi="宋体" w:eastAsia="宋体"/>
      <w:b/>
      <w:bCs/>
      <w:color w:val="2E74B5"/>
      <w:sz w:val="25"/>
      <w:szCs w:val="26"/>
    </w:rPr>
  </w:style>
  <w:style w:type="paragraph" w:styleId="Heading3">
    <w:name w:val="heading 3"/>
    <w:basedOn w:val="Normal"/>
    <w:next w:val="Normal"/>
    <w:link w:val="Heading3Char"/>
    <w:uiPriority w:val="9"/>
    <w:unhideWhenUsed/>
    <w:qFormat/>
    <w:rsid w:val="00FC693F"/>
    <w:pPr>
      <w:keepNext/>
      <w:keepLines/>
      <w:spacing w:before="180" w:after="80" w:line="300" w:lineRule="auto"/>
      <w:outlineLvl w:val="2"/>
    </w:pPr>
    <w:rPr>
      <w:rFonts w:asciiTheme="majorHAnsi" w:eastAsiaTheme="majorEastAsia" w:hAnsiTheme="majorHAnsi" w:cstheme="majorBidi" w:ascii="宋体" w:hAnsi="宋体" w:eastAsia="宋体"/>
      <w:b/>
      <w:bCs/>
      <w:color w:val="2E74B5"/>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