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CEC30">
      <w:pPr>
        <w:keepNext w:val="0"/>
        <w:spacing w:before="0" w:after="0" w:line="312" w:lineRule="auto"/>
      </w:pPr>
    </w:p>
    <w:p w14:paraId="4B59C1F9">
      <w:pPr>
        <w:keepNext w:val="0"/>
        <w:spacing w:before="0" w:after="0" w:line="312" w:lineRule="auto"/>
      </w:pPr>
    </w:p>
    <w:p w14:paraId="7EF370F6">
      <w:pPr>
        <w:keepNext w:val="0"/>
        <w:spacing w:before="0" w:after="0" w:line="312" w:lineRule="auto"/>
      </w:pPr>
    </w:p>
    <w:p w14:paraId="1A7F838A">
      <w:pPr>
        <w:keepNext w:val="0"/>
        <w:spacing w:before="0" w:after="480" w:line="312" w:lineRule="auto"/>
        <w:jc w:val="center"/>
      </w:pPr>
      <w:r>
        <w:rPr>
          <w:rFonts w:ascii="宋体" w:hAnsi="宋体" w:eastAsia="宋体" w:cs="宋体"/>
          <w:b/>
          <w:i w:val="0"/>
          <w:sz w:val="28"/>
        </w:rPr>
        <w:t>挑 战 杯 创 业 计 划 竞 赛</w:t>
      </w:r>
    </w:p>
    <w:p w14:paraId="19C980D4">
      <w:pPr>
        <w:keepNext w:val="0"/>
        <w:spacing w:before="0" w:after="200" w:line="312" w:lineRule="auto"/>
        <w:jc w:val="center"/>
      </w:pPr>
      <w:r>
        <w:rPr>
          <w:rFonts w:ascii="宋体" w:hAnsi="宋体" w:eastAsia="宋体" w:cs="宋体"/>
          <w:b/>
          <w:i w:val="0"/>
          <w:sz w:val="72"/>
        </w:rPr>
        <w:t>知  行</w:t>
      </w:r>
    </w:p>
    <w:p w14:paraId="03D5EC27">
      <w:pPr>
        <w:keepNext w:val="0"/>
        <w:spacing w:before="0" w:after="160" w:line="312" w:lineRule="auto"/>
        <w:jc w:val="center"/>
      </w:pPr>
      <w:r>
        <w:rPr>
          <w:rFonts w:ascii="宋体" w:hAnsi="宋体" w:eastAsia="宋体" w:cs="宋体"/>
          <w:b w:val="0"/>
          <w:i w:val="0"/>
          <w:sz w:val="30"/>
        </w:rPr>
        <w:t>具身智能任务规划中间件与仿真评测平台</w:t>
      </w:r>
    </w:p>
    <w:p w14:paraId="614F5FAC">
      <w:pPr>
        <w:keepNext w:val="0"/>
        <w:spacing w:before="0" w:after="36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—— 商 业 计 划 书（简略样板 · 可直接扩写）——</w:t>
      </w:r>
    </w:p>
    <w:p w14:paraId="14004EBE">
      <w:pPr>
        <w:pBdr>
          <w:bottom w:val="single" w:color="888888" w:sz="8" w:space="0"/>
        </w:pBdr>
        <w:spacing w:before="40" w:after="160"/>
        <w:ind w:firstLine="0"/>
      </w:pPr>
    </w:p>
    <w:p w14:paraId="02C16CF4">
      <w:pPr>
        <w:keepNext w:val="0"/>
        <w:spacing w:before="0" w:after="160" w:line="312" w:lineRule="auto"/>
        <w:jc w:val="center"/>
      </w:pPr>
      <w:r>
        <w:rPr>
          <w:rFonts w:ascii="宋体" w:hAnsi="宋体" w:eastAsia="宋体" w:cs="宋体"/>
          <w:b/>
          <w:i w:val="0"/>
          <w:sz w:val="24"/>
        </w:rPr>
        <w:t>样 板 说 明</w:t>
      </w:r>
    </w:p>
    <w:p w14:paraId="32E54DD4">
      <w:pPr>
        <w:keepNext w:val="0"/>
        <w:spacing w:before="0" w:after="600" w:line="360" w:lineRule="auto"/>
        <w:jc w:val="center"/>
      </w:pPr>
      <w:r>
        <w:rPr>
          <w:rFonts w:ascii="宋体" w:hAnsi="宋体" w:eastAsia="宋体" w:cs="宋体"/>
          <w:b w:val="0"/>
          <w:i w:val="0"/>
          <w:sz w:val="23"/>
        </w:rPr>
        <w:t>本文档是《项目简介文档》的配套简略样板：保留完整的十三章骨架与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全部数据接口，每章只给出精简正文与关键表格，用于先定结构、再填内容。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扩写方法：按本样板的章节顺序，把《项目简介文档》对应章节的内容填入即可。</w:t>
      </w:r>
      <w:r>
        <w:rPr>
          <w:rFonts w:ascii="宋体" w:hAnsi="宋体" w:eastAsia="宋体" w:cs="宋体"/>
          <w:b w:val="0"/>
          <w:i w:val="0"/>
          <w:sz w:val="23"/>
        </w:rPr>
        <w:br w:type="textWrapping"/>
      </w:r>
      <w:r>
        <w:rPr>
          <w:rFonts w:ascii="宋体" w:hAnsi="宋体" w:eastAsia="宋体" w:cs="宋体"/>
          <w:b w:val="0"/>
          <w:i w:val="0"/>
          <w:sz w:val="23"/>
        </w:rPr>
        <w:t>标注【待填】【待核实】【待实测】的位置，必须替换为团队实测或核实后的数据。</w:t>
      </w:r>
    </w:p>
    <w:p w14:paraId="6F8E988E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项目名称：具身智能任务规划中间件与仿真评测平台</w:t>
      </w:r>
    </w:p>
    <w:p w14:paraId="58CCC225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建议品牌名：知行（待团队确认）</w:t>
      </w:r>
    </w:p>
    <w:p w14:paraId="6073995E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参赛赛道：【待填：科技创新与未来产业赛道 / 其他】</w:t>
      </w:r>
    </w:p>
    <w:p w14:paraId="50A7C70D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申报单位与团队：【待填】</w:t>
      </w:r>
    </w:p>
    <w:p w14:paraId="08CE6872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项目负责人：【待填：姓名】</w:t>
      </w:r>
    </w:p>
    <w:p w14:paraId="0018F526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指导教师：【待填：姓名 / 职称】</w:t>
      </w:r>
    </w:p>
    <w:p w14:paraId="0EAAC7AA">
      <w:pPr>
        <w:keepNext w:val="0"/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文档版本：v0.1 简略样板 · 2026 年 10 月</w:t>
      </w:r>
    </w:p>
    <w:p w14:paraId="67DB2B19">
      <w:pPr>
        <w:sectPr>
          <w:pgSz w:w="11906" w:h="16838"/>
          <w:pgMar w:top="1440" w:right="1474" w:bottom="1440" w:left="1587" w:header="720" w:footer="720" w:gutter="0"/>
          <w:cols w:space="720" w:num="1"/>
          <w:docGrid w:linePitch="360" w:charSpace="0"/>
        </w:sectPr>
      </w:pPr>
    </w:p>
    <w:p w14:paraId="41F32D35">
      <w:pPr>
        <w:keepNext w:val="0"/>
        <w:spacing w:before="0" w:after="240" w:line="312" w:lineRule="auto"/>
        <w:jc w:val="center"/>
      </w:pPr>
      <w:r>
        <w:rPr>
          <w:rFonts w:ascii="宋体" w:hAnsi="宋体" w:eastAsia="宋体" w:cs="宋体"/>
          <w:b/>
          <w:i w:val="0"/>
          <w:sz w:val="32"/>
        </w:rPr>
        <w:t>目  录</w:t>
      </w:r>
    </w:p>
    <w:p w14:paraId="5407B8E9">
      <w:pPr>
        <w:pStyle w:val="26"/>
        <w:tabs>
          <w:tab w:val="right" w:leader="dot" w:pos="8845"/>
        </w:tabs>
      </w:pPr>
      <w:bookmarkStart w:id="48" w:name="_GoBack"/>
      <w:bookmarkEnd w:id="48"/>
      <w:r>
        <w:rPr>
          <w:rFonts w:ascii="宋体" w:hAnsi="宋体" w:eastAsia="宋体" w:cs="宋体"/>
          <w:b w:val="0"/>
          <w:i w:val="0"/>
          <w:sz w:val="24"/>
        </w:rPr>
        <w:fldChar w:fldCharType="begin"/>
      </w:r>
      <w:r>
        <w:rPr>
          <w:rFonts w:ascii="宋体" w:hAnsi="宋体" w:eastAsia="宋体" w:cs="宋体"/>
          <w:b w:val="0"/>
          <w:i w:val="0"/>
          <w:sz w:val="24"/>
        </w:rPr>
        <w:instrText xml:space="preserve">TOC \o "1-2" \h \z \u</w:instrText>
      </w:r>
      <w:r>
        <w:rPr>
          <w:rFonts w:ascii="宋体" w:hAnsi="宋体" w:eastAsia="宋体" w:cs="宋体"/>
          <w:b w:val="0"/>
          <w:i w:val="0"/>
          <w:sz w:val="24"/>
        </w:rPr>
        <w:fldChar w:fldCharType="separate"/>
      </w: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_Toc19091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第一章  项目摘要</w:t>
      </w:r>
      <w:r>
        <w:tab/>
      </w:r>
      <w:r>
        <w:fldChar w:fldCharType="begin"/>
      </w:r>
      <w:r>
        <w:instrText xml:space="preserve"> PAGEREF _Toc19091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F343924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_Toc31010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1.1 项目摘要</w:t>
      </w:r>
      <w:r>
        <w:tab/>
      </w:r>
      <w:r>
        <w:fldChar w:fldCharType="begin"/>
      </w:r>
      <w:r>
        <w:instrText xml:space="preserve"> PAGEREF _Toc31010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B99DCE5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_Toc6961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1.2 一句话定位与差异化</w:t>
      </w:r>
      <w:r>
        <w:tab/>
      </w:r>
      <w:r>
        <w:fldChar w:fldCharType="begin"/>
      </w:r>
      <w:r>
        <w:instrText xml:space="preserve"> PAGEREF _Toc6961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52834D4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_Toc19837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1.3 核心数据卡</w:t>
      </w:r>
      <w:r>
        <w:tab/>
      </w:r>
      <w:r>
        <w:fldChar w:fldCharType="begin"/>
      </w:r>
      <w:r>
        <w:instrText xml:space="preserve"> PAGEREF _Toc19837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2B60617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_Toc18460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第二章  项目背景与痛点</w:t>
      </w:r>
      <w:r>
        <w:tab/>
      </w:r>
      <w:r>
        <w:fldChar w:fldCharType="begin"/>
      </w:r>
      <w:r>
        <w:instrText xml:space="preserve"> PAGEREF _Toc18460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F22731E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_Toc21224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 背景：三浪叠加</w:t>
      </w:r>
      <w:r>
        <w:tab/>
      </w:r>
      <w:r>
        <w:fldChar w:fldCharType="begin"/>
      </w:r>
      <w:r>
        <w:instrText xml:space="preserve"> PAGEREF _Toc21224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880CFC5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_Toc29944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2.2 三层痛点</w:t>
      </w:r>
      <w:r>
        <w:tab/>
      </w:r>
      <w:r>
        <w:fldChar w:fldCharType="begin"/>
      </w:r>
      <w:r>
        <w:instrText xml:space="preserve"> PAGEREF _Toc29944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78EC383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_Toc28703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2.3 痛点证据（须自测取证）</w:t>
      </w:r>
      <w:r>
        <w:tab/>
      </w:r>
      <w:r>
        <w:fldChar w:fldCharType="begin"/>
      </w:r>
      <w:r>
        <w:instrText xml:space="preserve"> PAGEREF _Toc28703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D81A674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_Toc8337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第三章  产品与服务</w:t>
      </w:r>
      <w:r>
        <w:tab/>
      </w:r>
      <w:r>
        <w:fldChar w:fldCharType="begin"/>
      </w:r>
      <w:r>
        <w:instrText xml:space="preserve"> PAGEREF _Toc8337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F6A9FAF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_Toc6075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3.1 产品定位</w:t>
      </w:r>
      <w:r>
        <w:tab/>
      </w:r>
      <w:r>
        <w:fldChar w:fldCharType="begin"/>
      </w:r>
      <w:r>
        <w:instrText xml:space="preserve"> PAGEREF _Toc6075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87E568F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_Toc3632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3.2 三层产品形态</w:t>
      </w:r>
      <w:r>
        <w:tab/>
      </w:r>
      <w:r>
        <w:fldChar w:fldCharType="begin"/>
      </w:r>
      <w:r>
        <w:instrText xml:space="preserve"> PAGEREF _Toc3632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2A9E59A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_Toc30371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3.3 核心功能（精简清单）</w:t>
      </w:r>
      <w:r>
        <w:tab/>
      </w:r>
      <w:r>
        <w:fldChar w:fldCharType="begin"/>
      </w:r>
      <w:r>
        <w:instrText xml:space="preserve"> PAGEREF _Toc30371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67EDD0B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_Toc31424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3.4 标准使用流程</w:t>
      </w:r>
      <w:r>
        <w:tab/>
      </w:r>
      <w:r>
        <w:fldChar w:fldCharType="begin"/>
      </w:r>
      <w:r>
        <w:instrText xml:space="preserve"> PAGEREF _Toc31424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5B8D728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_Toc4921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3.5 应用场景（按优先级）</w:t>
      </w:r>
      <w:r>
        <w:tab/>
      </w:r>
      <w:r>
        <w:fldChar w:fldCharType="begin"/>
      </w:r>
      <w:r>
        <w:instrText xml:space="preserve"> PAGEREF _Toc4921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16EC803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_Toc976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第四章  技术方案与核心竞争力</w:t>
      </w:r>
      <w:r>
        <w:tab/>
      </w:r>
      <w:r>
        <w:fldChar w:fldCharType="begin"/>
      </w:r>
      <w:r>
        <w:instrText xml:space="preserve"> PAGEREF _Toc976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FA86FF9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_Toc19125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4.1 一条链、四个缺口</w:t>
      </w:r>
      <w:r>
        <w:tab/>
      </w:r>
      <w:r>
        <w:fldChar w:fldCharType="begin"/>
      </w:r>
      <w:r>
        <w:instrText xml:space="preserve"> PAGEREF _Toc19125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C394110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_Toc6137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4.2 两个核心构造</w:t>
      </w:r>
      <w:r>
        <w:tab/>
      </w:r>
      <w:r>
        <w:fldChar w:fldCharType="begin"/>
      </w:r>
      <w:r>
        <w:instrText xml:space="preserve"> PAGEREF _Toc6137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EE22662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_Toc18056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4.3 技术架构：五层处理管线</w:t>
      </w:r>
      <w:r>
        <w:tab/>
      </w:r>
      <w:r>
        <w:fldChar w:fldCharType="begin"/>
      </w:r>
      <w:r>
        <w:instrText xml:space="preserve"> PAGEREF _Toc18056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C3AA4BE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_Toc17206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4.4 技术栈（精简）</w:t>
      </w:r>
      <w:r>
        <w:tab/>
      </w:r>
      <w:r>
        <w:fldChar w:fldCharType="begin"/>
      </w:r>
      <w:r>
        <w:instrText xml:space="preserve"> PAGEREF _Toc17206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CF066A8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_Toc4553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4.5 技术指标的承诺边界</w:t>
      </w:r>
      <w:r>
        <w:tab/>
      </w:r>
      <w:r>
        <w:fldChar w:fldCharType="begin"/>
      </w:r>
      <w:r>
        <w:instrText xml:space="preserve"> PAGEREF _Toc4553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4005A57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_Toc32554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第五章  创新点</w:t>
      </w:r>
      <w:r>
        <w:tab/>
      </w:r>
      <w:r>
        <w:fldChar w:fldCharType="begin"/>
      </w:r>
      <w:r>
        <w:instrText xml:space="preserve"> PAGEREF _Toc32554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C8BDB21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_Toc30442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第六章  竞争分析</w:t>
      </w:r>
      <w:r>
        <w:tab/>
      </w:r>
      <w:r>
        <w:fldChar w:fldCharType="begin"/>
      </w:r>
      <w:r>
        <w:instrText xml:space="preserve"> PAGEREF _Toc30442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2554FDF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_Toc11884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6.1 竞品矩阵（精简）</w:t>
      </w:r>
      <w:r>
        <w:tab/>
      </w:r>
      <w:r>
        <w:fldChar w:fldCharType="begin"/>
      </w:r>
      <w:r>
        <w:instrText xml:space="preserve"> PAGEREF _Toc11884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A2B75A9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_Toc20564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6.2 差异化定位</w:t>
      </w:r>
      <w:r>
        <w:tab/>
      </w:r>
      <w:r>
        <w:fldChar w:fldCharType="begin"/>
      </w:r>
      <w:r>
        <w:instrText xml:space="preserve"> PAGEREF _Toc20564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3C7EB58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_Toc25417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6.3 四层竞争壁垒</w:t>
      </w:r>
      <w:r>
        <w:tab/>
      </w:r>
      <w:r>
        <w:fldChar w:fldCharType="begin"/>
      </w:r>
      <w:r>
        <w:instrText xml:space="preserve"> PAGEREF _Toc25417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C465973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_Toc2706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第七章  市场分析</w:t>
      </w:r>
      <w:r>
        <w:tab/>
      </w:r>
      <w:r>
        <w:fldChar w:fldCharType="begin"/>
      </w:r>
      <w:r>
        <w:instrText xml:space="preserve"> PAGEREF _Toc2706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C1C89EA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_Toc21929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7.1 目标客户分层</w:t>
      </w:r>
      <w:r>
        <w:tab/>
      </w:r>
      <w:r>
        <w:fldChar w:fldCharType="begin"/>
      </w:r>
      <w:r>
        <w:instrText xml:space="preserve"> PAGEREF _Toc21929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400738D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_Toc19771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7.2 自下而上测算框架</w:t>
      </w:r>
      <w:r>
        <w:tab/>
      </w:r>
      <w:r>
        <w:fldChar w:fldCharType="begin"/>
      </w:r>
      <w:r>
        <w:instrText xml:space="preserve"> PAGEREF _Toc19771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999B22A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_Toc18674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7.3 滩头战略</w:t>
      </w:r>
      <w:r>
        <w:tab/>
      </w:r>
      <w:r>
        <w:fldChar w:fldCharType="begin"/>
      </w:r>
      <w:r>
        <w:instrText xml:space="preserve"> PAGEREF _Toc18674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FC2AC18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_Toc10167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第八章  商业模式</w:t>
      </w:r>
      <w:r>
        <w:tab/>
      </w:r>
      <w:r>
        <w:fldChar w:fldCharType="begin"/>
      </w:r>
      <w:r>
        <w:instrText xml:space="preserve"> PAGEREF _Toc10167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4E229B1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_Toc27163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8.1 商业模式画布（精简）</w:t>
      </w:r>
      <w:r>
        <w:tab/>
      </w:r>
      <w:r>
        <w:fldChar w:fldCharType="begin"/>
      </w:r>
      <w:r>
        <w:instrText xml:space="preserve"> PAGEREF _Toc27163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1DA0B08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_Toc18827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8.2 四层收入结构</w:t>
      </w:r>
      <w:r>
        <w:tab/>
      </w:r>
      <w:r>
        <w:fldChar w:fldCharType="begin"/>
      </w:r>
      <w:r>
        <w:instrText xml:space="preserve"> PAGEREF _Toc18827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75DF9E9C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_Toc12114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8.3 定价对照</w:t>
      </w:r>
      <w:r>
        <w:tab/>
      </w:r>
      <w:r>
        <w:fldChar w:fldCharType="begin"/>
      </w:r>
      <w:r>
        <w:instrText xml:space="preserve"> PAGEREF _Toc12114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882C3BB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_Toc18918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8.4 增长飞轮与合规声明</w:t>
      </w:r>
      <w:r>
        <w:tab/>
      </w:r>
      <w:r>
        <w:fldChar w:fldCharType="begin"/>
      </w:r>
      <w:r>
        <w:instrText xml:space="preserve"> PAGEREF _Toc18918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35AAB42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_Toc19939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第九章  财务分析</w:t>
      </w:r>
      <w:r>
        <w:tab/>
      </w:r>
      <w:r>
        <w:fldChar w:fldCharType="begin"/>
      </w:r>
      <w:r>
        <w:instrText xml:space="preserve"> PAGEREF _Toc19939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2BE2EEE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_Toc24684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9.1 成本结构</w:t>
      </w:r>
      <w:r>
        <w:tab/>
      </w:r>
      <w:r>
        <w:fldChar w:fldCharType="begin"/>
      </w:r>
      <w:r>
        <w:instrText xml:space="preserve"> PAGEREF _Toc24684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0730D7D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_Toc16451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9.2 三年发展规划与收入预期</w:t>
      </w:r>
      <w:r>
        <w:tab/>
      </w:r>
      <w:r>
        <w:fldChar w:fldCharType="begin"/>
      </w:r>
      <w:r>
        <w:instrText xml:space="preserve"> PAGEREF _Toc16451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1A1285A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_Toc16796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9.3 单位经济模型（关键假设）</w:t>
      </w:r>
      <w:r>
        <w:tab/>
      </w:r>
      <w:r>
        <w:fldChar w:fldCharType="begin"/>
      </w:r>
      <w:r>
        <w:instrText xml:space="preserve"> PAGEREF _Toc16796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3FDFE0C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_Toc25954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第十章  团队</w:t>
      </w:r>
      <w:r>
        <w:tab/>
      </w:r>
      <w:r>
        <w:fldChar w:fldCharType="begin"/>
      </w:r>
      <w:r>
        <w:instrText xml:space="preserve"> PAGEREF _Toc25954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5497F32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_Toc9040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10.1 团队构成</w:t>
      </w:r>
      <w:r>
        <w:tab/>
      </w:r>
      <w:r>
        <w:fldChar w:fldCharType="begin"/>
      </w:r>
      <w:r>
        <w:instrText xml:space="preserve"> PAGEREF _Toc9040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2F866F3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_Toc19384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10.2 团队优势</w:t>
      </w:r>
      <w:r>
        <w:tab/>
      </w:r>
      <w:r>
        <w:fldChar w:fldCharType="begin"/>
      </w:r>
      <w:r>
        <w:instrText xml:space="preserve"> PAGEREF _Toc19384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4188134C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_Toc21012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10.3 团队风险与应对</w:t>
      </w:r>
      <w:r>
        <w:tab/>
      </w:r>
      <w:r>
        <w:fldChar w:fldCharType="begin"/>
      </w:r>
      <w:r>
        <w:instrText xml:space="preserve"> PAGEREF _Toc21012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1E49BACD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_Toc3507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第十一章  发展规划</w:t>
      </w:r>
      <w:r>
        <w:tab/>
      </w:r>
      <w:r>
        <w:fldChar w:fldCharType="begin"/>
      </w:r>
      <w:r>
        <w:instrText xml:space="preserve"> PAGEREF _Toc3507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E3D8DA9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_Toc18032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11.1 五阶段技术路线图</w:t>
      </w:r>
      <w:r>
        <w:tab/>
      </w:r>
      <w:r>
        <w:fldChar w:fldCharType="begin"/>
      </w:r>
      <w:r>
        <w:instrText xml:space="preserve"> PAGEREF _Toc18032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2A2BBE5C">
      <w:pPr>
        <w:pStyle w:val="29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_Toc4700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11.2 与赛事节奏的对齐</w:t>
      </w:r>
      <w:r>
        <w:tab/>
      </w:r>
      <w:r>
        <w:fldChar w:fldCharType="begin"/>
      </w:r>
      <w:r>
        <w:instrText xml:space="preserve"> PAGEREF _Toc4700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38B521D0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_Toc24926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第十二章  风险与应对</w:t>
      </w:r>
      <w:r>
        <w:tab/>
      </w:r>
      <w:r>
        <w:fldChar w:fldCharType="begin"/>
      </w:r>
      <w:r>
        <w:instrText xml:space="preserve"> PAGEREF _Toc24926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51F59F21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_Toc23672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第十三章  项目成果</w:t>
      </w:r>
      <w:r>
        <w:tab/>
      </w:r>
      <w:r>
        <w:fldChar w:fldCharType="begin"/>
      </w:r>
      <w:r>
        <w:instrText xml:space="preserve"> PAGEREF _Toc23672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626B6EAD">
      <w:pPr>
        <w:pStyle w:val="26"/>
        <w:tabs>
          <w:tab w:val="right" w:leader="dot" w:pos="8845"/>
        </w:tabs>
      </w:pPr>
      <w:r>
        <w:rPr>
          <w:rFonts w:ascii="宋体" w:hAnsi="宋体" w:eastAsia="宋体" w:cs="宋体"/>
          <w:i w:val="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_Toc29049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附录  商业计划书定稿检查清单</w:t>
      </w:r>
      <w:r>
        <w:tab/>
      </w:r>
      <w:r>
        <w:fldChar w:fldCharType="begin"/>
      </w:r>
      <w:r>
        <w:instrText xml:space="preserve"> PAGEREF _Toc29049 \h </w:instrText>
      </w:r>
      <w:r>
        <w:fldChar w:fldCharType="separate"/>
      </w:r>
      <w:r>
        <w:t>18</w:t>
      </w:r>
      <w:r>
        <w:fldChar w:fldCharType="end"/>
      </w:r>
      <w:r>
        <w:rPr>
          <w:rFonts w:ascii="宋体" w:hAnsi="宋体" w:eastAsia="宋体" w:cs="宋体"/>
          <w:i w:val="0"/>
        </w:rPr>
        <w:fldChar w:fldCharType="end"/>
      </w:r>
    </w:p>
    <w:p w14:paraId="0672D27C">
      <w:pPr>
        <w:spacing w:line="312" w:lineRule="auto"/>
        <w:ind w:firstLine="0"/>
      </w:pPr>
      <w:r>
        <w:rPr>
          <w:rFonts w:ascii="宋体" w:hAnsi="宋体" w:eastAsia="宋体" w:cs="宋体"/>
          <w:i w:val="0"/>
        </w:rPr>
        <w:fldChar w:fldCharType="end"/>
      </w:r>
    </w:p>
    <w:p w14:paraId="61BD2BAC">
      <w:pPr>
        <w:sectPr>
          <w:pgSz w:w="11906" w:h="16838"/>
          <w:pgMar w:top="1440" w:right="1474" w:bottom="1440" w:left="1587" w:header="720" w:footer="720" w:gutter="0"/>
          <w:cols w:space="720" w:num="1"/>
          <w:docGrid w:linePitch="360" w:charSpace="0"/>
        </w:sectPr>
      </w:pPr>
    </w:p>
    <w:p w14:paraId="0B9C52AA">
      <w:pPr>
        <w:pStyle w:val="3"/>
        <w:keepNext/>
        <w:spacing w:before="280" w:after="120" w:line="312" w:lineRule="auto"/>
        <w:ind w:firstLine="0"/>
      </w:pPr>
      <w:bookmarkStart w:id="0" w:name="_Toc19091"/>
      <w:r>
        <w:rPr>
          <w:rFonts w:ascii="宋体" w:hAnsi="宋体" w:eastAsia="宋体" w:cs="宋体"/>
          <w:b/>
          <w:i w:val="0"/>
          <w:color w:val="000000"/>
          <w:sz w:val="32"/>
        </w:rPr>
        <w:t>第一章  项目摘要</w:t>
      </w:r>
      <w:bookmarkEnd w:id="0"/>
    </w:p>
    <w:p w14:paraId="3DF99E20">
      <w:pPr>
        <w:pStyle w:val="4"/>
        <w:keepNext/>
        <w:spacing w:before="200" w:after="120" w:line="312" w:lineRule="auto"/>
        <w:ind w:firstLine="0"/>
      </w:pPr>
      <w:bookmarkStart w:id="1" w:name="_Toc31010"/>
      <w:r>
        <w:rPr>
          <w:rFonts w:ascii="宋体" w:hAnsi="宋体" w:eastAsia="宋体" w:cs="宋体"/>
          <w:b/>
          <w:i w:val="0"/>
          <w:color w:val="000000"/>
          <w:sz w:val="28"/>
        </w:rPr>
        <w:t>1.1 项目摘要</w:t>
      </w:r>
      <w:bookmarkEnd w:id="1"/>
    </w:p>
    <w:p w14:paraId="257B9D91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具身智能正在从论文走向产线，但一个尴尬的现实是：大模型写出的任务计划常常"说得通、做不到"。把"把桌上的杯子收进柜子"拆成十步，语言上毫无破绽，落到具体机器人身上却可能第一步就不可达、第三步就碰撞、第五步抓不稳；更麻烦的是失败之后没人知道是哪一步、为什么失败，只能靠人工反复改提示词。与此同时，每个团队都在为自己的机器人、自己选的仿真器重写技能接口与评测脚本：同一个任务换一个本体就要重做一遍，"谁强谁弱"无法回答。</w:t>
      </w:r>
    </w:p>
    <w:p w14:paraId="4004CAB9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知行提出以"技能抽象 + 仿真在环验证"为核心的双层内核：用统一的技能表示与本体能力模型，把语言层的任务分解与不同机器人、不同仿真器的动作空间对齐；再把仿真器当作规划器的一部分，构建"规划—验证—诊断—修复"闭环，让不可行的计划被定位原因、自动修复，并输出带置信度的可执行性度量。在此基础上提供跨本体、跨仿真器的可复现评测协议与迁移性指标，把"仿真里的高成功率"第一次与"真机上的表现"建立起可量化的相关性。产品由中间件运行时、仿真评测平台与评测认证服务三层组成，目标用户是具身智能整机厂商、高校与科研院所、创新中心与第三方检测机构。</w:t>
      </w:r>
    </w:p>
    <w:p w14:paraId="2ECD18FE">
      <w:pPr>
        <w:pStyle w:val="4"/>
        <w:keepNext/>
        <w:spacing w:before="200" w:after="120" w:line="312" w:lineRule="auto"/>
        <w:ind w:firstLine="0"/>
      </w:pPr>
      <w:bookmarkStart w:id="2" w:name="_Toc6961"/>
      <w:r>
        <w:rPr>
          <w:rFonts w:ascii="宋体" w:hAnsi="宋体" w:eastAsia="宋体" w:cs="宋体"/>
          <w:b/>
          <w:i w:val="0"/>
          <w:color w:val="000000"/>
          <w:sz w:val="28"/>
        </w:rPr>
        <w:t>1.2 一句话定位与差异化</w:t>
      </w:r>
      <w:bookmarkEnd w:id="2"/>
    </w:p>
    <w:p w14:paraId="4F8873C3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一句话定位：</w:t>
      </w:r>
      <w:r>
        <w:rPr>
          <w:rFonts w:ascii="宋体" w:hAnsi="宋体" w:eastAsia="宋体" w:cs="宋体"/>
          <w:b/>
          <w:i w:val="0"/>
          <w:sz w:val="24"/>
        </w:rPr>
        <w:t>让具身智能的任务规划可验证、可比较、可复现。</w:t>
      </w:r>
    </w:p>
    <w:p w14:paraId="76C6C7BE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差异化定位：</w:t>
      </w:r>
      <w:r>
        <w:rPr>
          <w:rFonts w:ascii="宋体" w:hAnsi="宋体" w:eastAsia="宋体" w:cs="宋体"/>
          <w:b/>
          <w:i w:val="0"/>
          <w:sz w:val="24"/>
        </w:rPr>
        <w:t>别人比成功率，我们让规划可验证。</w:t>
      </w:r>
      <w:r>
        <w:rPr>
          <w:rFonts w:ascii="宋体" w:hAnsi="宋体" w:eastAsia="宋体" w:cs="宋体"/>
          <w:b w:val="0"/>
          <w:i w:val="0"/>
          <w:sz w:val="24"/>
        </w:rPr>
        <w:t>我们不做机器人本体，也不重写底层控制与仿真引擎，只做本体与仿真器之上的那一层——让任务规划可验证、可修复、可比较、可向真机迁移的中间件与评测底座。</w:t>
      </w:r>
    </w:p>
    <w:p w14:paraId="2FE6A3AE">
      <w:pPr>
        <w:pStyle w:val="4"/>
        <w:keepNext/>
        <w:spacing w:before="200" w:after="120" w:line="312" w:lineRule="auto"/>
        <w:ind w:firstLine="0"/>
      </w:pPr>
      <w:bookmarkStart w:id="3" w:name="_Toc19837"/>
      <w:r>
        <w:rPr>
          <w:rFonts w:ascii="宋体" w:hAnsi="宋体" w:eastAsia="宋体" w:cs="宋体"/>
          <w:b/>
          <w:i w:val="0"/>
          <w:color w:val="000000"/>
          <w:sz w:val="28"/>
        </w:rPr>
        <w:t>1.3 核心数据卡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876"/>
        <w:gridCol w:w="2154"/>
      </w:tblGrid>
      <w:tr w14:paraId="10CBD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3DCE5EF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关键数字</w:t>
            </w:r>
          </w:p>
        </w:tc>
        <w:tc>
          <w:tcPr>
            <w:tcW w:w="4876" w:type="dxa"/>
            <w:shd w:val="clear" w:color="auto" w:fill="EFEFEF"/>
          </w:tcPr>
          <w:p w14:paraId="1B5780C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内容与含义</w:t>
            </w:r>
          </w:p>
        </w:tc>
        <w:tc>
          <w:tcPr>
            <w:tcW w:w="2154" w:type="dxa"/>
            <w:shd w:val="clear" w:color="auto" w:fill="EFEFEF"/>
          </w:tcPr>
          <w:p w14:paraId="49105CC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654B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75B6A2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【待核实】</w:t>
            </w:r>
          </w:p>
        </w:tc>
        <w:tc>
          <w:tcPr>
            <w:tcW w:w="4876" w:type="dxa"/>
          </w:tcPr>
          <w:p w14:paraId="06BD2E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我国具身智能 / 人形机器人产业规模与增速</w:t>
            </w:r>
          </w:p>
        </w:tc>
        <w:tc>
          <w:tcPr>
            <w:tcW w:w="2154" w:type="dxa"/>
          </w:tcPr>
          <w:p w14:paraId="02C616C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必须核实</w:t>
            </w:r>
          </w:p>
        </w:tc>
      </w:tr>
      <w:tr w14:paraId="43811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DC03CA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【待实测】</w:t>
            </w:r>
          </w:p>
        </w:tc>
        <w:tc>
          <w:tcPr>
            <w:tcW w:w="4876" w:type="dxa"/>
          </w:tcPr>
          <w:p w14:paraId="7DC9828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"语义合理但物理不可行"的计划占比（复现实验）</w:t>
            </w:r>
          </w:p>
        </w:tc>
        <w:tc>
          <w:tcPr>
            <w:tcW w:w="2154" w:type="dxa"/>
          </w:tcPr>
          <w:p w14:paraId="2BD0055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必须自测</w:t>
            </w:r>
          </w:p>
        </w:tc>
      </w:tr>
      <w:tr w14:paraId="64DE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17BA6F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【待实测】</w:t>
            </w:r>
          </w:p>
        </w:tc>
        <w:tc>
          <w:tcPr>
            <w:tcW w:w="4876" w:type="dxa"/>
          </w:tcPr>
          <w:p w14:paraId="45B07A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同一技能迁移到第二个本体的接入工时与代码改动量</w:t>
            </w:r>
          </w:p>
        </w:tc>
        <w:tc>
          <w:tcPr>
            <w:tcW w:w="2154" w:type="dxa"/>
          </w:tcPr>
          <w:p w14:paraId="3C7FD7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必须自测</w:t>
            </w:r>
          </w:p>
        </w:tc>
      </w:tr>
      <w:tr w14:paraId="33F85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1A1785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≥ 60%</w:t>
            </w:r>
          </w:p>
        </w:tc>
        <w:tc>
          <w:tcPr>
            <w:tcW w:w="4876" w:type="dxa"/>
          </w:tcPr>
          <w:p w14:paraId="704633A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仿真的首次规划可执行率目标</w:t>
            </w:r>
          </w:p>
        </w:tc>
        <w:tc>
          <w:tcPr>
            <w:tcW w:w="2154" w:type="dxa"/>
          </w:tcPr>
          <w:p w14:paraId="30F3CAB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我方目标值</w:t>
            </w:r>
          </w:p>
        </w:tc>
      </w:tr>
      <w:tr w14:paraId="59B3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EFBEB0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≥ 85%</w:t>
            </w:r>
          </w:p>
        </w:tc>
        <w:tc>
          <w:tcPr>
            <w:tcW w:w="4876" w:type="dxa"/>
          </w:tcPr>
          <w:p w14:paraId="0656AC6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失败模式自动诊断准确率目标</w:t>
            </w:r>
          </w:p>
        </w:tc>
        <w:tc>
          <w:tcPr>
            <w:tcW w:w="2154" w:type="dxa"/>
          </w:tcPr>
          <w:p w14:paraId="6F9807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我方目标值</w:t>
            </w:r>
          </w:p>
        </w:tc>
      </w:tr>
      <w:tr w14:paraId="3FD0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E56209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≥ 25 个百分点</w:t>
            </w:r>
          </w:p>
        </w:tc>
        <w:tc>
          <w:tcPr>
            <w:tcW w:w="4876" w:type="dxa"/>
          </w:tcPr>
          <w:p w14:paraId="56D6153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引入修复闭环后任务成功率提升目标</w:t>
            </w:r>
          </w:p>
        </w:tc>
        <w:tc>
          <w:tcPr>
            <w:tcW w:w="2154" w:type="dxa"/>
          </w:tcPr>
          <w:p w14:paraId="76EF465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我方目标值</w:t>
            </w:r>
          </w:p>
        </w:tc>
      </w:tr>
      <w:tr w14:paraId="418F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8CD6D9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≥ 70%</w:t>
            </w:r>
          </w:p>
        </w:tc>
        <w:tc>
          <w:tcPr>
            <w:tcW w:w="4876" w:type="dxa"/>
          </w:tcPr>
          <w:p w14:paraId="714DB34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跨本体技能复用率目标</w:t>
            </w:r>
          </w:p>
        </w:tc>
        <w:tc>
          <w:tcPr>
            <w:tcW w:w="2154" w:type="dxa"/>
          </w:tcPr>
          <w:p w14:paraId="58A18C3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我方目标值</w:t>
            </w:r>
          </w:p>
        </w:tc>
      </w:tr>
      <w:tr w14:paraId="63BF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510617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ρ ≥ 0.7</w:t>
            </w:r>
          </w:p>
        </w:tc>
        <w:tc>
          <w:tcPr>
            <w:tcW w:w="4876" w:type="dxa"/>
          </w:tcPr>
          <w:p w14:paraId="3BAEF34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仿真—真机成功率相关性目标（Spearman）</w:t>
            </w:r>
          </w:p>
        </w:tc>
        <w:tc>
          <w:tcPr>
            <w:tcW w:w="2154" w:type="dxa"/>
          </w:tcPr>
          <w:p w14:paraId="49C78A2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我方目标值</w:t>
            </w:r>
          </w:p>
        </w:tc>
      </w:tr>
    </w:tbl>
    <w:p w14:paraId="06C3CCD1">
      <w:pPr>
        <w:pStyle w:val="3"/>
        <w:keepNext/>
        <w:pageBreakBefore/>
        <w:spacing w:before="280" w:after="120" w:line="312" w:lineRule="auto"/>
        <w:ind w:firstLine="0"/>
      </w:pPr>
      <w:bookmarkStart w:id="4" w:name="_Toc18460"/>
      <w:r>
        <w:rPr>
          <w:rFonts w:ascii="宋体" w:hAnsi="宋体" w:eastAsia="宋体" w:cs="宋体"/>
          <w:b/>
          <w:i w:val="0"/>
          <w:color w:val="000000"/>
          <w:sz w:val="32"/>
        </w:rPr>
        <w:t>第二章  项目背景与痛点</w:t>
      </w:r>
      <w:bookmarkEnd w:id="4"/>
    </w:p>
    <w:p w14:paraId="39599E15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本章要回答"为什么这件事必须现在做、为什么现有方案解决不了"。写作纪律：每条痛点后面必须跟一个数字或一个可复现的失败案例，禁止只使用形容词。</w:t>
      </w:r>
    </w:p>
    <w:p w14:paraId="4A916C80">
      <w:pPr>
        <w:pStyle w:val="4"/>
        <w:keepNext/>
        <w:spacing w:before="200" w:after="120" w:line="312" w:lineRule="auto"/>
        <w:ind w:firstLine="0"/>
      </w:pPr>
      <w:bookmarkStart w:id="5" w:name="_Toc21224"/>
      <w:r>
        <w:rPr>
          <w:rFonts w:ascii="宋体" w:hAnsi="宋体" w:eastAsia="宋体" w:cs="宋体"/>
          <w:b/>
          <w:i w:val="0"/>
          <w:color w:val="000000"/>
          <w:sz w:val="28"/>
        </w:rPr>
        <w:t>2.1 背景：三浪叠加</w:t>
      </w:r>
      <w:bookmarkEnd w:id="5"/>
    </w:p>
    <w:p w14:paraId="6E2F8674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第一，大模型的规划能力刚刚越过可用门槛，具身智能从专用脚本转向"通用模型 + 具体本体"，验证与评测的缺口被突然放大；第二，仿真器生态开源化、GPU 并行让批量评测成本降了两个数量级，"把仿真放进规划回路"第一次工程可行；第三，产业需求与标准需求同时爆发，而评测口径尚未固化，正是中立第三方平台建立影响力的窗口期。</w:t>
      </w:r>
    </w:p>
    <w:p w14:paraId="366D57AC">
      <w:pPr>
        <w:pStyle w:val="4"/>
        <w:keepNext/>
        <w:spacing w:before="200" w:after="120" w:line="312" w:lineRule="auto"/>
        <w:ind w:firstLine="0"/>
      </w:pPr>
      <w:bookmarkStart w:id="6" w:name="_Toc29944"/>
      <w:r>
        <w:rPr>
          <w:rFonts w:ascii="宋体" w:hAnsi="宋体" w:eastAsia="宋体" w:cs="宋体"/>
          <w:b/>
          <w:i w:val="0"/>
          <w:color w:val="000000"/>
          <w:sz w:val="28"/>
        </w:rPr>
        <w:t>2.2 三层痛点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515"/>
        <w:gridCol w:w="3515"/>
      </w:tblGrid>
      <w:tr w14:paraId="0F620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24CA511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痛点</w:t>
            </w:r>
          </w:p>
        </w:tc>
        <w:tc>
          <w:tcPr>
            <w:tcW w:w="3515" w:type="dxa"/>
            <w:shd w:val="clear" w:color="auto" w:fill="EFEFEF"/>
          </w:tcPr>
          <w:p w14:paraId="3766F0C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具体表现</w:t>
            </w:r>
          </w:p>
        </w:tc>
        <w:tc>
          <w:tcPr>
            <w:tcW w:w="3515" w:type="dxa"/>
            <w:shd w:val="clear" w:color="auto" w:fill="EFEFEF"/>
          </w:tcPr>
          <w:p w14:paraId="47B8339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后果</w:t>
            </w:r>
          </w:p>
        </w:tc>
      </w:tr>
      <w:tr w14:paraId="0DAE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D9FC22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一、规划与执行断层</w:t>
            </w:r>
          </w:p>
        </w:tc>
        <w:tc>
          <w:tcPr>
            <w:tcW w:w="3515" w:type="dxa"/>
          </w:tcPr>
          <w:p w14:paraId="02CE983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模型生成的步骤语义自洽但不含几何与动力学约束，频繁出现不可达、碰撞、抓取失败</w:t>
            </w:r>
          </w:p>
        </w:tc>
        <w:tc>
          <w:tcPr>
            <w:tcW w:w="3515" w:type="dxa"/>
          </w:tcPr>
          <w:p w14:paraId="5447138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计划前几步就中断；失败无归因，调试退化为改提示词重跑</w:t>
            </w:r>
          </w:p>
        </w:tc>
      </w:tr>
      <w:tr w14:paraId="3108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0918BA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二、本体与仿真器碎片化</w:t>
            </w:r>
          </w:p>
        </w:tc>
        <w:tc>
          <w:tcPr>
            <w:tcW w:w="3515" w:type="dxa"/>
          </w:tcPr>
          <w:p w14:paraId="5788459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技能、本体描述、仿真接口、评测脚本在团队之间完全不统一</w:t>
            </w:r>
          </w:p>
        </w:tc>
        <w:tc>
          <w:tcPr>
            <w:tcW w:w="3515" w:type="dxa"/>
          </w:tcPr>
          <w:p w14:paraId="52A80CA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同一任务换一个本体就要重写一遍；整个行业重复支付同一笔工程成本</w:t>
            </w:r>
          </w:p>
        </w:tc>
      </w:tr>
      <w:tr w14:paraId="053A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136177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三、评测缺位</w:t>
            </w:r>
          </w:p>
        </w:tc>
        <w:tc>
          <w:tcPr>
            <w:tcW w:w="3515" w:type="dxa"/>
          </w:tcPr>
          <w:p w14:paraId="5655E5F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指标单一（只有成功率）、协议各异、缺仿真与真机相关性的量化证据</w:t>
            </w:r>
          </w:p>
        </w:tc>
        <w:tc>
          <w:tcPr>
            <w:tcW w:w="3515" w:type="dxa"/>
          </w:tcPr>
          <w:p w14:paraId="0CF5D3D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结果不可复现、不可比较，技术选型与标准制定缺少依据</w:t>
            </w:r>
          </w:p>
        </w:tc>
      </w:tr>
    </w:tbl>
    <w:p w14:paraId="760902A5">
      <w:pPr>
        <w:pStyle w:val="4"/>
        <w:keepNext/>
        <w:spacing w:before="200" w:after="120" w:line="312" w:lineRule="auto"/>
        <w:ind w:firstLine="0"/>
      </w:pPr>
      <w:bookmarkStart w:id="7" w:name="_Toc28703"/>
      <w:r>
        <w:rPr>
          <w:rFonts w:ascii="宋体" w:hAnsi="宋体" w:eastAsia="宋体" w:cs="宋体"/>
          <w:b/>
          <w:i w:val="0"/>
          <w:color w:val="000000"/>
          <w:sz w:val="28"/>
        </w:rPr>
        <w:t>2.3 痛点证据（须自测取证）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3402"/>
        <w:gridCol w:w="1474"/>
      </w:tblGrid>
      <w:tr w14:paraId="530F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42" w:type="dxa"/>
            <w:shd w:val="clear" w:color="auto" w:fill="EFEFEF"/>
          </w:tcPr>
          <w:p w14:paraId="106B62A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证据</w:t>
            </w:r>
          </w:p>
        </w:tc>
        <w:tc>
          <w:tcPr>
            <w:tcW w:w="3402" w:type="dxa"/>
            <w:shd w:val="clear" w:color="auto" w:fill="EFEFEF"/>
          </w:tcPr>
          <w:p w14:paraId="31DF50F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用途</w:t>
            </w:r>
          </w:p>
        </w:tc>
        <w:tc>
          <w:tcPr>
            <w:tcW w:w="1474" w:type="dxa"/>
            <w:shd w:val="clear" w:color="auto" w:fill="EFEFEF"/>
          </w:tcPr>
          <w:p w14:paraId="4D85D7E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66079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</w:tcPr>
          <w:p w14:paraId="5C896ED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复现公开 LLM 规划方法，统计"语义合理但物理不可行"的计划占比</w:t>
            </w:r>
          </w:p>
        </w:tc>
        <w:tc>
          <w:tcPr>
            <w:tcW w:w="3402" w:type="dxa"/>
          </w:tcPr>
          <w:p w14:paraId="658DBF0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支撑痛点一，成本最低、冲击力最强</w:t>
            </w:r>
          </w:p>
        </w:tc>
        <w:tc>
          <w:tcPr>
            <w:tcW w:w="1474" w:type="dxa"/>
          </w:tcPr>
          <w:p w14:paraId="22CC783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【待完成·最高优先级】</w:t>
            </w:r>
          </w:p>
        </w:tc>
      </w:tr>
      <w:tr w14:paraId="7C20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</w:tcPr>
          <w:p w14:paraId="26272B4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同一技能从本体 A 迁移到本体 B 的工时与代码改动量</w:t>
            </w:r>
          </w:p>
        </w:tc>
        <w:tc>
          <w:tcPr>
            <w:tcW w:w="3402" w:type="dxa"/>
          </w:tcPr>
          <w:p w14:paraId="7127363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支撑痛点二，同时给出技能复用率基线</w:t>
            </w:r>
          </w:p>
        </w:tc>
        <w:tc>
          <w:tcPr>
            <w:tcW w:w="1474" w:type="dxa"/>
          </w:tcPr>
          <w:p w14:paraId="74CCA26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【待完成·最高优先级】</w:t>
            </w:r>
          </w:p>
        </w:tc>
      </w:tr>
      <w:tr w14:paraId="7033D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</w:tcPr>
          <w:p w14:paraId="28DC21A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主流仿真器与基准的接口、任务集、指标对照表</w:t>
            </w:r>
          </w:p>
        </w:tc>
        <w:tc>
          <w:tcPr>
            <w:tcW w:w="3402" w:type="dxa"/>
          </w:tcPr>
          <w:p w14:paraId="1088AEE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支撑痛点二与三，竞品矩阵的数据来源</w:t>
            </w:r>
          </w:p>
        </w:tc>
        <w:tc>
          <w:tcPr>
            <w:tcW w:w="1474" w:type="dxa"/>
          </w:tcPr>
          <w:p w14:paraId="0A1A759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  <w:tr w14:paraId="69C40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2" w:type="dxa"/>
          </w:tcPr>
          <w:p w14:paraId="47BB63F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3–5 家厂商算法团队 / 高校实验室的访谈记录</w:t>
            </w:r>
          </w:p>
        </w:tc>
        <w:tc>
          <w:tcPr>
            <w:tcW w:w="3402" w:type="dxa"/>
          </w:tcPr>
          <w:p w14:paraId="28B182E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证明真实需求，商业计划书附件</w:t>
            </w:r>
          </w:p>
        </w:tc>
        <w:tc>
          <w:tcPr>
            <w:tcW w:w="1474" w:type="dxa"/>
          </w:tcPr>
          <w:p w14:paraId="0B5218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</w:tbl>
    <w:p w14:paraId="10AA7693">
      <w:pPr>
        <w:pStyle w:val="3"/>
        <w:keepNext/>
        <w:pageBreakBefore/>
        <w:spacing w:before="280" w:after="120" w:line="312" w:lineRule="auto"/>
        <w:ind w:firstLine="0"/>
      </w:pPr>
      <w:bookmarkStart w:id="8" w:name="_Toc8337"/>
      <w:r>
        <w:rPr>
          <w:rFonts w:ascii="宋体" w:hAnsi="宋体" w:eastAsia="宋体" w:cs="宋体"/>
          <w:b/>
          <w:i w:val="0"/>
          <w:color w:val="000000"/>
          <w:sz w:val="32"/>
        </w:rPr>
        <w:t>第三章  产品与服务</w:t>
      </w:r>
      <w:bookmarkEnd w:id="8"/>
    </w:p>
    <w:p w14:paraId="480137EB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本章要讲清"输入什么、输出什么、用户操作几步、比现状好在哪"。核心提醒：不要被理解成"又一个仿真软件"，我们做的是规划与评测这一层。</w:t>
      </w:r>
    </w:p>
    <w:p w14:paraId="4F04875E">
      <w:pPr>
        <w:pStyle w:val="4"/>
        <w:keepNext/>
        <w:spacing w:before="200" w:after="120" w:line="312" w:lineRule="auto"/>
        <w:ind w:firstLine="0"/>
      </w:pPr>
      <w:bookmarkStart w:id="9" w:name="_Toc6075"/>
      <w:r>
        <w:rPr>
          <w:rFonts w:ascii="宋体" w:hAnsi="宋体" w:eastAsia="宋体" w:cs="宋体"/>
          <w:b/>
          <w:i w:val="0"/>
          <w:color w:val="000000"/>
          <w:sz w:val="28"/>
        </w:rPr>
        <w:t>3.1 产品定位</w:t>
      </w:r>
      <w:bookmarkEnd w:id="9"/>
    </w:p>
    <w:p w14:paraId="17CA4727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一句话定位：把大模型"说得通"的计划，变成可验证、可修复、可比较的机器人执行序列。三个关键限定：不做机器人本体，也不重写底层运动控制；不做又一个仿真器，而是把已有仿真器当成规划回路里的验证器；不止步于跑分，还给出可诊断、可修复、可迁移的工程闭环。</w:t>
      </w:r>
    </w:p>
    <w:p w14:paraId="1058A3A3">
      <w:pPr>
        <w:pStyle w:val="4"/>
        <w:keepNext/>
        <w:spacing w:before="200" w:after="120" w:line="312" w:lineRule="auto"/>
        <w:ind w:firstLine="0"/>
      </w:pPr>
      <w:bookmarkStart w:id="10" w:name="_Toc3632"/>
      <w:r>
        <w:rPr>
          <w:rFonts w:ascii="宋体" w:hAnsi="宋体" w:eastAsia="宋体" w:cs="宋体"/>
          <w:b/>
          <w:i w:val="0"/>
          <w:color w:val="000000"/>
          <w:sz w:val="28"/>
        </w:rPr>
        <w:t>3.2 三层产品形态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175"/>
        <w:gridCol w:w="2381"/>
        <w:gridCol w:w="2041"/>
      </w:tblGrid>
      <w:tr w14:paraId="7AA4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FEFEF"/>
          </w:tcPr>
          <w:p w14:paraId="248349A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层级</w:t>
            </w:r>
          </w:p>
        </w:tc>
        <w:tc>
          <w:tcPr>
            <w:tcW w:w="3175" w:type="dxa"/>
            <w:shd w:val="clear" w:color="auto" w:fill="EFEFEF"/>
          </w:tcPr>
          <w:p w14:paraId="5D30A38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形态</w:t>
            </w:r>
          </w:p>
        </w:tc>
        <w:tc>
          <w:tcPr>
            <w:tcW w:w="2381" w:type="dxa"/>
            <w:shd w:val="clear" w:color="auto" w:fill="EFEFEF"/>
          </w:tcPr>
          <w:p w14:paraId="12C2A8D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面向用户</w:t>
            </w:r>
          </w:p>
        </w:tc>
        <w:tc>
          <w:tcPr>
            <w:tcW w:w="2041" w:type="dxa"/>
            <w:shd w:val="clear" w:color="auto" w:fill="EFEFEF"/>
          </w:tcPr>
          <w:p w14:paraId="6032F65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价值主张</w:t>
            </w:r>
          </w:p>
        </w:tc>
      </w:tr>
      <w:tr w14:paraId="566E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7A9F1CC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L1 内核</w:t>
            </w:r>
          </w:p>
        </w:tc>
        <w:tc>
          <w:tcPr>
            <w:tcW w:w="3175" w:type="dxa"/>
          </w:tcPr>
          <w:p w14:paraId="11150DC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跨本体技能抽象与任务规划引擎（SDK / API）</w:t>
            </w:r>
          </w:p>
        </w:tc>
        <w:tc>
          <w:tcPr>
            <w:tcW w:w="2381" w:type="dxa"/>
          </w:tcPr>
          <w:p w14:paraId="77888A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整机厂商、机器人软件厂商、高校实验室</w:t>
            </w:r>
          </w:p>
        </w:tc>
        <w:tc>
          <w:tcPr>
            <w:tcW w:w="2041" w:type="dxa"/>
          </w:tcPr>
          <w:p w14:paraId="7D71B3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被集成，形成技能库与事实标准</w:t>
            </w:r>
          </w:p>
        </w:tc>
      </w:tr>
      <w:tr w14:paraId="4B00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3F60950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L2 平台</w:t>
            </w:r>
          </w:p>
        </w:tc>
        <w:tc>
          <w:tcPr>
            <w:tcW w:w="3175" w:type="dxa"/>
          </w:tcPr>
          <w:p w14:paraId="2115008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中间件运行时（多仿真器 + 多本体适配）+ 评测云平台</w:t>
            </w:r>
          </w:p>
        </w:tc>
        <w:tc>
          <w:tcPr>
            <w:tcW w:w="2381" w:type="dxa"/>
          </w:tcPr>
          <w:p w14:paraId="38CCD7C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厂商算法团队、高校与科研院所、集成商</w:t>
            </w:r>
          </w:p>
        </w:tc>
        <w:tc>
          <w:tcPr>
            <w:tcW w:w="2041" w:type="dxa"/>
          </w:tcPr>
          <w:p w14:paraId="7A10BDB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直接付费的主力产品</w:t>
            </w:r>
          </w:p>
        </w:tc>
      </w:tr>
      <w:tr w14:paraId="4347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33F2617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L3 服务</w:t>
            </w:r>
          </w:p>
        </w:tc>
        <w:tc>
          <w:tcPr>
            <w:tcW w:w="3175" w:type="dxa"/>
          </w:tcPr>
          <w:p w14:paraId="1623238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标准化评测报告与认证服务、私有化部署、联合基准</w:t>
            </w:r>
          </w:p>
        </w:tc>
        <w:tc>
          <w:tcPr>
            <w:tcW w:w="2381" w:type="dxa"/>
          </w:tcPr>
          <w:p w14:paraId="5BAFC42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创新中心、检测机构、地方政府、大型企业</w:t>
            </w:r>
          </w:p>
        </w:tc>
        <w:tc>
          <w:tcPr>
            <w:tcW w:w="2041" w:type="dxa"/>
          </w:tcPr>
          <w:p w14:paraId="46C9CEC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高客单价、强公信力壁垒</w:t>
            </w:r>
          </w:p>
        </w:tc>
      </w:tr>
    </w:tbl>
    <w:p w14:paraId="224113AB">
      <w:pPr>
        <w:pStyle w:val="4"/>
        <w:keepNext/>
        <w:spacing w:before="200" w:after="120" w:line="312" w:lineRule="auto"/>
        <w:ind w:firstLine="0"/>
      </w:pPr>
      <w:bookmarkStart w:id="11" w:name="_Toc30371"/>
      <w:r>
        <w:rPr>
          <w:rFonts w:ascii="宋体" w:hAnsi="宋体" w:eastAsia="宋体" w:cs="宋体"/>
          <w:b/>
          <w:i w:val="0"/>
          <w:color w:val="000000"/>
          <w:sz w:val="28"/>
        </w:rPr>
        <w:t>3.3 核心功能（精简清单）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742"/>
        <w:gridCol w:w="3288"/>
      </w:tblGrid>
      <w:tr w14:paraId="02E6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15D353E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功能模块</w:t>
            </w:r>
          </w:p>
        </w:tc>
        <w:tc>
          <w:tcPr>
            <w:tcW w:w="3742" w:type="dxa"/>
            <w:shd w:val="clear" w:color="auto" w:fill="EFEFEF"/>
          </w:tcPr>
          <w:p w14:paraId="40CBBE2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具体能力</w:t>
            </w:r>
          </w:p>
        </w:tc>
        <w:tc>
          <w:tcPr>
            <w:tcW w:w="3288" w:type="dxa"/>
            <w:shd w:val="clear" w:color="auto" w:fill="EFEFEF"/>
          </w:tcPr>
          <w:p w14:paraId="5D13B34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解决什么问题</w:t>
            </w:r>
          </w:p>
        </w:tc>
      </w:tr>
      <w:tr w14:paraId="4F7F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377B3E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多仿真器 / 多本体适配</w:t>
            </w:r>
          </w:p>
        </w:tc>
        <w:tc>
          <w:tcPr>
            <w:tcW w:w="3742" w:type="dxa"/>
          </w:tcPr>
          <w:p w14:paraId="170C2C5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统一接入主流仿真器；从 URDF / SDF 自动提取可达空间、关节限位、负载，生成本体能力模型</w:t>
            </w:r>
          </w:p>
        </w:tc>
        <w:tc>
          <w:tcPr>
            <w:tcW w:w="3288" w:type="dxa"/>
          </w:tcPr>
          <w:p w14:paraId="3E1FDD4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换一个仿真器或本体就要重写一遍</w:t>
            </w:r>
          </w:p>
        </w:tc>
      </w:tr>
      <w:tr w14:paraId="7080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E6FAA3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统一技能抽象</w:t>
            </w:r>
          </w:p>
        </w:tc>
        <w:tc>
          <w:tcPr>
            <w:tcW w:w="3742" w:type="dxa"/>
          </w:tcPr>
          <w:p w14:paraId="2BDD7C2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技能表示为"前置条件—效果—参数空间—本体映射"四元结构，技能库支持版本管理与跨团队复用</w:t>
            </w:r>
          </w:p>
        </w:tc>
        <w:tc>
          <w:tcPr>
            <w:tcW w:w="3288" w:type="dxa"/>
          </w:tcPr>
          <w:p w14:paraId="5099EBE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技能无法跨本体、跨团队复用</w:t>
            </w:r>
          </w:p>
        </w:tc>
      </w:tr>
      <w:tr w14:paraId="4824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058EEE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约束感知的任务分解</w:t>
            </w:r>
          </w:p>
        </w:tc>
        <w:tc>
          <w:tcPr>
            <w:tcW w:w="3742" w:type="dxa"/>
          </w:tcPr>
          <w:p w14:paraId="5731567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结构化输出约束 + 技能前置条件约束，输出带不确定度的任务图，前置过滤明显不可行的候选</w:t>
            </w:r>
          </w:p>
        </w:tc>
        <w:tc>
          <w:tcPr>
            <w:tcW w:w="3288" w:type="dxa"/>
          </w:tcPr>
          <w:p w14:paraId="1D9D8AF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模型输出不可解析、幻觉步骤多</w:t>
            </w:r>
          </w:p>
        </w:tc>
      </w:tr>
      <w:tr w14:paraId="5276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5FB31C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仿真在环验证与修复</w:t>
            </w:r>
          </w:p>
        </w:tc>
        <w:tc>
          <w:tcPr>
            <w:tcW w:w="3742" w:type="dxa"/>
          </w:tcPr>
          <w:p w14:paraId="0E4417B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批量仿真执行 → 可执行性四元组 → 失败归因到步骤 → 反例回灌重规划</w:t>
            </w:r>
          </w:p>
        </w:tc>
        <w:tc>
          <w:tcPr>
            <w:tcW w:w="3288" w:type="dxa"/>
          </w:tcPr>
          <w:p w14:paraId="5C0B14E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计划可行与否没有客观判定，失败后不知道为什么</w:t>
            </w:r>
          </w:p>
        </w:tc>
      </w:tr>
      <w:tr w14:paraId="22BDC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30837D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可复现评测与迁移性</w:t>
            </w:r>
          </w:p>
        </w:tc>
        <w:tc>
          <w:tcPr>
            <w:tcW w:w="3742" w:type="dxa"/>
          </w:tcPr>
          <w:p w14:paraId="01C481E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固定种子与配置快照的批量评测；六项指标；仿真—真机相关性分析</w:t>
            </w:r>
          </w:p>
        </w:tc>
        <w:tc>
          <w:tcPr>
            <w:tcW w:w="3288" w:type="dxa"/>
          </w:tcPr>
          <w:p w14:paraId="02452C1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结果不可复现、不可横向比较，仿真结论无法支撑真机决策</w:t>
            </w:r>
          </w:p>
        </w:tc>
      </w:tr>
      <w:tr w14:paraId="0134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CEF97C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报告与可视化</w:t>
            </w:r>
          </w:p>
        </w:tc>
        <w:tc>
          <w:tcPr>
            <w:tcW w:w="3742" w:type="dxa"/>
          </w:tcPr>
          <w:p w14:paraId="73569DE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计划树、执行轨迹、失败回放、指标看板；一键导出评测报告</w:t>
            </w:r>
          </w:p>
        </w:tc>
        <w:tc>
          <w:tcPr>
            <w:tcW w:w="3288" w:type="dxa"/>
          </w:tcPr>
          <w:p w14:paraId="1CA511E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调试过程不可追溯、报告不可交付</w:t>
            </w:r>
          </w:p>
        </w:tc>
      </w:tr>
    </w:tbl>
    <w:p w14:paraId="7588496C">
      <w:pPr>
        <w:pStyle w:val="4"/>
        <w:keepNext/>
        <w:spacing w:before="200" w:after="120" w:line="312" w:lineRule="auto"/>
        <w:ind w:firstLine="0"/>
      </w:pPr>
      <w:bookmarkStart w:id="12" w:name="_Toc31424"/>
      <w:r>
        <w:rPr>
          <w:rFonts w:ascii="宋体" w:hAnsi="宋体" w:eastAsia="宋体" w:cs="宋体"/>
          <w:b/>
          <w:i w:val="0"/>
          <w:color w:val="000000"/>
          <w:sz w:val="28"/>
        </w:rPr>
        <w:t>3.4 标准使用流程</w:t>
      </w:r>
      <w:bookmarkEnd w:id="12"/>
    </w:p>
    <w:p w14:paraId="6EC908E5">
      <w:pPr>
        <w:spacing w:before="20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第一步  接入：导入本体模型 → 选择仿真器 → 自动生成能力模型与技能映射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第二步  规划与验证：自然语言任务 → 候选计划 → 仿真批量执行 → 失败自动诊断与修复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第三步  评测与交付：组合模型 / 本体 / 任务集 → 可复现指标报告 → 按需申请第三方测评</w:t>
      </w:r>
    </w:p>
    <w:p w14:paraId="0FAA4EAB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关键对比：现状是"改提示词 → 真机试 → 失败 → 再改"，一轮数小时到数天，且结论不可复现；本产品是"自然语言任务 → 仿真批量验证 → 自动诊断修复 → 可复现报告"，一轮数十分钟。</w:t>
      </w:r>
    </w:p>
    <w:p w14:paraId="172CCC41">
      <w:pPr>
        <w:pStyle w:val="4"/>
        <w:keepNext/>
        <w:spacing w:before="200" w:after="120" w:line="312" w:lineRule="auto"/>
        <w:ind w:firstLine="0"/>
      </w:pPr>
      <w:bookmarkStart w:id="13" w:name="_Toc4921"/>
      <w:r>
        <w:rPr>
          <w:rFonts w:ascii="宋体" w:hAnsi="宋体" w:eastAsia="宋体" w:cs="宋体"/>
          <w:b/>
          <w:i w:val="0"/>
          <w:color w:val="000000"/>
          <w:sz w:val="28"/>
        </w:rPr>
        <w:t>3.5 应用场景（按优先级）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061"/>
        <w:gridCol w:w="2268"/>
        <w:gridCol w:w="1134"/>
      </w:tblGrid>
      <w:tr w14:paraId="31BE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EFEFEF"/>
          </w:tcPr>
          <w:p w14:paraId="2BC6EFA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场景</w:t>
            </w:r>
          </w:p>
        </w:tc>
        <w:tc>
          <w:tcPr>
            <w:tcW w:w="3061" w:type="dxa"/>
            <w:shd w:val="clear" w:color="auto" w:fill="EFEFEF"/>
          </w:tcPr>
          <w:p w14:paraId="61B2124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需求</w:t>
            </w:r>
          </w:p>
        </w:tc>
        <w:tc>
          <w:tcPr>
            <w:tcW w:w="2268" w:type="dxa"/>
            <w:shd w:val="clear" w:color="auto" w:fill="EFEFEF"/>
          </w:tcPr>
          <w:p w14:paraId="737D0EE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价值点</w:t>
            </w:r>
          </w:p>
        </w:tc>
        <w:tc>
          <w:tcPr>
            <w:tcW w:w="1134" w:type="dxa"/>
            <w:shd w:val="clear" w:color="auto" w:fill="EFEFEF"/>
          </w:tcPr>
          <w:p w14:paraId="006490F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优先级</w:t>
            </w:r>
          </w:p>
        </w:tc>
      </w:tr>
      <w:tr w14:paraId="3487D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</w:tcPr>
          <w:p w14:paraId="19DA36C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高校与科研院所具身智能实验室</w:t>
            </w:r>
          </w:p>
        </w:tc>
        <w:tc>
          <w:tcPr>
            <w:tcW w:w="3061" w:type="dxa"/>
          </w:tcPr>
          <w:p w14:paraId="491AE7F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可复现基准、跨本体技能复用、能定位失败的诊断工具</w:t>
            </w:r>
          </w:p>
        </w:tc>
        <w:tc>
          <w:tcPr>
            <w:tcW w:w="2268" w:type="dxa"/>
          </w:tcPr>
          <w:p w14:paraId="0280A36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需求真实、就近可及、口碑来源最早</w:t>
            </w:r>
          </w:p>
        </w:tc>
        <w:tc>
          <w:tcPr>
            <w:tcW w:w="1134" w:type="dxa"/>
          </w:tcPr>
          <w:p w14:paraId="1FDAB0F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首发滩头</w:t>
            </w:r>
          </w:p>
        </w:tc>
      </w:tr>
      <w:tr w14:paraId="450B8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</w:tcPr>
          <w:p w14:paraId="43989CD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整机厂商与人形机器人算法团队</w:t>
            </w:r>
          </w:p>
        </w:tc>
        <w:tc>
          <w:tcPr>
            <w:tcW w:w="3061" w:type="dxa"/>
          </w:tcPr>
          <w:p w14:paraId="7B04643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每换一款本体就要重做适配与评测</w:t>
            </w:r>
          </w:p>
        </w:tc>
        <w:tc>
          <w:tcPr>
            <w:tcW w:w="2268" w:type="dxa"/>
          </w:tcPr>
          <w:p w14:paraId="1E13094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可用"接入工时下降"量化</w:t>
            </w:r>
          </w:p>
        </w:tc>
        <w:tc>
          <w:tcPr>
            <w:tcW w:w="1134" w:type="dxa"/>
          </w:tcPr>
          <w:p w14:paraId="3397FD0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现金流主力</w:t>
            </w:r>
          </w:p>
        </w:tc>
      </w:tr>
      <w:tr w14:paraId="11014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</w:tcPr>
          <w:p w14:paraId="71D5F27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创新中心与第三方检测机构</w:t>
            </w:r>
          </w:p>
        </w:tc>
        <w:tc>
          <w:tcPr>
            <w:tcW w:w="3061" w:type="dxa"/>
          </w:tcPr>
          <w:p w14:paraId="189E960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中立、可复现、可复核的测评手段与标准草案</w:t>
            </w:r>
          </w:p>
        </w:tc>
        <w:tc>
          <w:tcPr>
            <w:tcW w:w="2268" w:type="dxa"/>
          </w:tcPr>
          <w:p w14:paraId="5055CEB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政府采购，形成标准壁垒</w:t>
            </w:r>
          </w:p>
        </w:tc>
        <w:tc>
          <w:tcPr>
            <w:tcW w:w="1134" w:type="dxa"/>
          </w:tcPr>
          <w:p w14:paraId="689BCD4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一期</w:t>
            </w:r>
          </w:p>
        </w:tc>
      </w:tr>
      <w:tr w14:paraId="7603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</w:tcPr>
          <w:p w14:paraId="0E20E17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工业与服务机器人集成商</w:t>
            </w:r>
          </w:p>
        </w:tc>
        <w:tc>
          <w:tcPr>
            <w:tcW w:w="3061" w:type="dxa"/>
          </w:tcPr>
          <w:p w14:paraId="517F83F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交付前验证任务流程可行性与鲁棒性</w:t>
            </w:r>
          </w:p>
        </w:tc>
        <w:tc>
          <w:tcPr>
            <w:tcW w:w="2268" w:type="dxa"/>
          </w:tcPr>
          <w:p w14:paraId="5A836CA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按项目付费，可绑定渠道</w:t>
            </w:r>
          </w:p>
        </w:tc>
        <w:tc>
          <w:tcPr>
            <w:tcW w:w="1134" w:type="dxa"/>
          </w:tcPr>
          <w:p w14:paraId="69A9878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一期</w:t>
            </w:r>
          </w:p>
        </w:tc>
      </w:tr>
    </w:tbl>
    <w:p w14:paraId="742066AC">
      <w:pPr>
        <w:pStyle w:val="3"/>
        <w:keepNext/>
        <w:pageBreakBefore/>
        <w:spacing w:before="280" w:after="120" w:line="312" w:lineRule="auto"/>
        <w:ind w:firstLine="0"/>
      </w:pPr>
      <w:bookmarkStart w:id="14" w:name="_Toc976"/>
      <w:r>
        <w:rPr>
          <w:rFonts w:ascii="宋体" w:hAnsi="宋体" w:eastAsia="宋体" w:cs="宋体"/>
          <w:b/>
          <w:i w:val="0"/>
          <w:color w:val="000000"/>
          <w:sz w:val="32"/>
        </w:rPr>
        <w:t>第四章  技术方案与核心竞争力</w:t>
      </w:r>
      <w:bookmarkEnd w:id="14"/>
    </w:p>
    <w:p w14:paraId="68E97FAC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本章要同时说服两类评委：技术评委相信方法成立，非技术评委相信学生团队做得出来。写作顺序建议：先讲一条链与四个缺口，再讲两个构造，最后落到架构与技术栈。</w:t>
      </w:r>
    </w:p>
    <w:p w14:paraId="195C1691">
      <w:pPr>
        <w:pStyle w:val="4"/>
        <w:keepNext/>
        <w:spacing w:before="200" w:after="120" w:line="312" w:lineRule="auto"/>
        <w:ind w:firstLine="0"/>
      </w:pPr>
      <w:bookmarkStart w:id="15" w:name="_Toc19125"/>
      <w:r>
        <w:rPr>
          <w:rFonts w:ascii="宋体" w:hAnsi="宋体" w:eastAsia="宋体" w:cs="宋体"/>
          <w:b/>
          <w:i w:val="0"/>
          <w:color w:val="000000"/>
          <w:sz w:val="28"/>
        </w:rPr>
        <w:t>4.1 一条链、四个缺口</w:t>
      </w:r>
      <w:bookmarkEnd w:id="15"/>
    </w:p>
    <w:p w14:paraId="001F01CE">
      <w:pPr>
        <w:spacing w:before="8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自然语言任务 → 任务图/子目标 → 技能序列 → 本体动作与物理执行 → 可迁移的结论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└缺口一┘      └缺口二┘     └───缺口三───┘        └缺口四┘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语言→结构化     任务→技能        技能→物理          仿真→真机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（创新点一）    （创新点二）     （创新点三）        （创新点四）</w:t>
      </w:r>
    </w:p>
    <w:p w14:paraId="678F3F4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现有技术各自只填补其中一小段：传统任务—运动规划在单本体内部做得很扎实，单本体仿真基准能给出一个成功率，提示工程能提高输出解析率——但没有任何方法把这条链整体打通，并让每一级的失败可定位、可修复、可传递。四个缺口正好对应本项目的四条创新点。</w:t>
      </w:r>
    </w:p>
    <w:p w14:paraId="0B3F2658">
      <w:pPr>
        <w:pStyle w:val="4"/>
        <w:keepNext/>
        <w:spacing w:before="200" w:after="120" w:line="312" w:lineRule="auto"/>
        <w:ind w:firstLine="0"/>
      </w:pPr>
      <w:bookmarkStart w:id="16" w:name="_Toc6137"/>
      <w:r>
        <w:rPr>
          <w:rFonts w:ascii="宋体" w:hAnsi="宋体" w:eastAsia="宋体" w:cs="宋体"/>
          <w:b/>
          <w:i w:val="0"/>
          <w:color w:val="000000"/>
          <w:sz w:val="28"/>
        </w:rPr>
        <w:t>4.2 两个核心构造</w:t>
      </w:r>
      <w:bookmarkEnd w:id="16"/>
    </w:p>
    <w:p w14:paraId="4A14BB39">
      <w:pPr>
        <w:pStyle w:val="5"/>
        <w:keepNext/>
        <w:spacing w:before="160" w:after="120" w:line="312" w:lineRule="auto"/>
        <w:ind w:firstLine="0"/>
      </w:pPr>
      <w:r>
        <w:rPr>
          <w:rFonts w:ascii="宋体" w:hAnsi="宋体" w:eastAsia="宋体" w:cs="宋体"/>
          <w:b/>
          <w:i w:val="0"/>
          <w:color w:val="000000"/>
          <w:sz w:val="24"/>
        </w:rPr>
        <w:t>构造一：统一技能抽象与本体能力模型</w:t>
      </w:r>
    </w:p>
    <w:p w14:paraId="2474BD90">
      <w:pPr>
        <w:spacing w:before="8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技能 s = 〈Pre(s), Eff(s), Θ(s), Φ_b(·), c(s)〉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本体能力模型 C_b = 〈R_b 可达空间, L_b 负载, n_b 自由度, 传感与执行配置, Skills(b)〉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规划： Π* = argmax_Π  Σ_i  u( s_i ; C_b )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s.t.  Pre(s_1) = I , Eff(s_n) ⊇ G      （起点与目标）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Pre(s_{i+1}) ⊇ Eff(s_i)          （因果链一致）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s_i ∈ Skills(b) , θ_i ∈ Θ(s_i) ∩ 可行域(C_b)</w:t>
      </w:r>
    </w:p>
    <w:p w14:paraId="55AC8740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价值：一次建模、多体复用。新增本体只需提供能力模型与少量映射标定，不必重写技能代码；技能库可以像软件包一样跨团队共享与版本管理。</w:t>
      </w:r>
    </w:p>
    <w:p w14:paraId="2184A6E3">
      <w:pPr>
        <w:pStyle w:val="5"/>
        <w:keepNext/>
        <w:spacing w:before="160" w:after="120" w:line="312" w:lineRule="auto"/>
        <w:ind w:firstLine="0"/>
      </w:pPr>
      <w:r>
        <w:rPr>
          <w:rFonts w:ascii="宋体" w:hAnsi="宋体" w:eastAsia="宋体" w:cs="宋体"/>
          <w:b/>
          <w:i w:val="0"/>
          <w:color w:val="000000"/>
          <w:sz w:val="24"/>
        </w:rPr>
        <w:t>构造二：仿真在环的可执行性验证与规划修复闭环</w:t>
      </w:r>
    </w:p>
    <w:p w14:paraId="55FCDC58">
      <w:pPr>
        <w:spacing w:before="8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可执行性度量： E(Π) = 〈 p_succ 成功率, κ_geo 几何可行性,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            τ_cost 时间与能耗, ρ_safe 安全裕度 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失败诊断： f = D(trace) ∈ { 不可达, 碰撞, 抓取失败, 前置不满足, 超时, 语义歧义 }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修复重规划： Π′ = Plan( T , Skills , C_b , ¬f )   （失败作为反例约束回灌）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>闭环： Plan → Simulate → Diagnose → Repair → Plan → … → 通过 / 预算耗尽</w:t>
      </w:r>
    </w:p>
    <w:p w14:paraId="444434C8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价值：一个闭环、三种产出——可行与否的判定与置信度、失败原因的定位、以及可复用的失败模式库。失败被沉淀为资产，这是单纯增大模型规模拿不到的。</w:t>
      </w:r>
    </w:p>
    <w:p w14:paraId="45C52D54">
      <w:pPr>
        <w:pStyle w:val="4"/>
        <w:keepNext/>
        <w:spacing w:before="200" w:after="120" w:line="312" w:lineRule="auto"/>
        <w:ind w:firstLine="0"/>
      </w:pPr>
      <w:bookmarkStart w:id="17" w:name="_Toc18056"/>
      <w:r>
        <w:rPr>
          <w:rFonts w:ascii="宋体" w:hAnsi="宋体" w:eastAsia="宋体" w:cs="宋体"/>
          <w:b/>
          <w:i w:val="0"/>
          <w:color w:val="000000"/>
          <w:sz w:val="28"/>
        </w:rPr>
        <w:t>4.3 技术架构：五层处理管线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077"/>
        <w:gridCol w:w="4195"/>
        <w:gridCol w:w="2721"/>
      </w:tblGrid>
      <w:tr w14:paraId="1AD6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EFEFEF"/>
          </w:tcPr>
          <w:p w14:paraId="588AA2E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层级</w:t>
            </w:r>
          </w:p>
        </w:tc>
        <w:tc>
          <w:tcPr>
            <w:tcW w:w="1077" w:type="dxa"/>
            <w:shd w:val="clear" w:color="auto" w:fill="EFEFEF"/>
          </w:tcPr>
          <w:p w14:paraId="41422F8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名称</w:t>
            </w:r>
          </w:p>
        </w:tc>
        <w:tc>
          <w:tcPr>
            <w:tcW w:w="4195" w:type="dxa"/>
            <w:shd w:val="clear" w:color="auto" w:fill="EFEFEF"/>
          </w:tcPr>
          <w:p w14:paraId="748ABF09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核心职责</w:t>
            </w:r>
          </w:p>
        </w:tc>
        <w:tc>
          <w:tcPr>
            <w:tcW w:w="2721" w:type="dxa"/>
            <w:shd w:val="clear" w:color="auto" w:fill="EFEFEF"/>
          </w:tcPr>
          <w:p w14:paraId="4E2C9E2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关键输出</w:t>
            </w:r>
          </w:p>
        </w:tc>
      </w:tr>
      <w:tr w14:paraId="10A9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5C26BDA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L0</w:t>
            </w:r>
          </w:p>
        </w:tc>
        <w:tc>
          <w:tcPr>
            <w:tcW w:w="1077" w:type="dxa"/>
          </w:tcPr>
          <w:p w14:paraId="0024251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接入层</w:t>
            </w:r>
          </w:p>
        </w:tc>
        <w:tc>
          <w:tcPr>
            <w:tcW w:w="4195" w:type="dxa"/>
          </w:tcPr>
          <w:p w14:paraId="495B250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仿真器适配、本体适配（URDF / SDF）、真机 ROS 2 接入</w:t>
            </w:r>
          </w:p>
        </w:tc>
        <w:tc>
          <w:tcPr>
            <w:tcW w:w="2721" w:type="dxa"/>
          </w:tcPr>
          <w:p w14:paraId="2F6FD52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统一场景、本体与执行接口</w:t>
            </w:r>
          </w:p>
        </w:tc>
      </w:tr>
      <w:tr w14:paraId="3E22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75ADAFF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L1</w:t>
            </w:r>
          </w:p>
        </w:tc>
        <w:tc>
          <w:tcPr>
            <w:tcW w:w="1077" w:type="dxa"/>
          </w:tcPr>
          <w:p w14:paraId="7856167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抽象层</w:t>
            </w:r>
          </w:p>
        </w:tc>
        <w:tc>
          <w:tcPr>
            <w:tcW w:w="4195" w:type="dxa"/>
          </w:tcPr>
          <w:p w14:paraId="54A078F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统一技能表示与技能库、本体能力模型、跨本体映射与标定</w:t>
            </w:r>
          </w:p>
        </w:tc>
        <w:tc>
          <w:tcPr>
            <w:tcW w:w="2721" w:type="dxa"/>
          </w:tcPr>
          <w:p w14:paraId="004572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技能库 + 本体能力模型</w:t>
            </w:r>
          </w:p>
        </w:tc>
      </w:tr>
      <w:tr w14:paraId="2B62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2F6BF36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L2</w:t>
            </w:r>
          </w:p>
        </w:tc>
        <w:tc>
          <w:tcPr>
            <w:tcW w:w="1077" w:type="dxa"/>
          </w:tcPr>
          <w:p w14:paraId="7712FF7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规划层</w:t>
            </w:r>
          </w:p>
        </w:tc>
        <w:tc>
          <w:tcPr>
            <w:tcW w:w="4195" w:type="dxa"/>
          </w:tcPr>
          <w:p w14:paraId="2F7C573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约束感知的任务分解、候选采样、前置条件过滤</w:t>
            </w:r>
          </w:p>
        </w:tc>
        <w:tc>
          <w:tcPr>
            <w:tcW w:w="2721" w:type="dxa"/>
          </w:tcPr>
          <w:p w14:paraId="329D25D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候选计划（带不确定度）</w:t>
            </w:r>
          </w:p>
        </w:tc>
      </w:tr>
      <w:tr w14:paraId="04E45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2CA9DC4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L3</w:t>
            </w:r>
          </w:p>
        </w:tc>
        <w:tc>
          <w:tcPr>
            <w:tcW w:w="1077" w:type="dxa"/>
          </w:tcPr>
          <w:p w14:paraId="75F2B9E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验证层</w:t>
            </w:r>
          </w:p>
        </w:tc>
        <w:tc>
          <w:tcPr>
            <w:tcW w:w="4195" w:type="dxa"/>
          </w:tcPr>
          <w:p w14:paraId="3F566B9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仿真批量执行、可执行性四元组、失败诊断、反例回灌与修复</w:t>
            </w:r>
          </w:p>
        </w:tc>
        <w:tc>
          <w:tcPr>
            <w:tcW w:w="2721" w:type="dxa"/>
          </w:tcPr>
          <w:p w14:paraId="760D329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通过的计划 + 失败归因 + 经验条目</w:t>
            </w:r>
          </w:p>
        </w:tc>
      </w:tr>
      <w:tr w14:paraId="6D95E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74E63B0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L4</w:t>
            </w:r>
          </w:p>
        </w:tc>
        <w:tc>
          <w:tcPr>
            <w:tcW w:w="1077" w:type="dxa"/>
          </w:tcPr>
          <w:p w14:paraId="213234A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评测层</w:t>
            </w:r>
          </w:p>
        </w:tc>
        <w:tc>
          <w:tcPr>
            <w:tcW w:w="4195" w:type="dxa"/>
          </w:tcPr>
          <w:p w14:paraId="254C492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多任务 / 多本体 / 多仿真器批量评测、六项指标、报告与榜单</w:t>
            </w:r>
          </w:p>
        </w:tc>
        <w:tc>
          <w:tcPr>
            <w:tcW w:w="2721" w:type="dxa"/>
          </w:tcPr>
          <w:p w14:paraId="0A79B4F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可复现的评测报告</w:t>
            </w:r>
          </w:p>
        </w:tc>
      </w:tr>
    </w:tbl>
    <w:p w14:paraId="782180AA">
      <w:pPr>
        <w:pStyle w:val="4"/>
        <w:keepNext/>
        <w:spacing w:before="200" w:after="120" w:line="312" w:lineRule="auto"/>
        <w:ind w:firstLine="0"/>
      </w:pPr>
      <w:bookmarkStart w:id="18" w:name="_Toc17206"/>
      <w:r>
        <w:rPr>
          <w:rFonts w:ascii="宋体" w:hAnsi="宋体" w:eastAsia="宋体" w:cs="宋体"/>
          <w:b/>
          <w:i w:val="0"/>
          <w:color w:val="000000"/>
          <w:sz w:val="28"/>
        </w:rPr>
        <w:t>4.4 技术栈（精简）</w:t>
      </w:r>
      <w:bookmarkEnd w:id="1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515"/>
        <w:gridCol w:w="3628"/>
      </w:tblGrid>
      <w:tr w14:paraId="730B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051CE62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模块</w:t>
            </w:r>
          </w:p>
        </w:tc>
        <w:tc>
          <w:tcPr>
            <w:tcW w:w="3515" w:type="dxa"/>
            <w:shd w:val="clear" w:color="auto" w:fill="EFEFEF"/>
          </w:tcPr>
          <w:p w14:paraId="434ED0E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选型</w:t>
            </w:r>
          </w:p>
        </w:tc>
        <w:tc>
          <w:tcPr>
            <w:tcW w:w="3628" w:type="dxa"/>
            <w:shd w:val="clear" w:color="auto" w:fill="EFEFEF"/>
          </w:tcPr>
          <w:p w14:paraId="21ECA06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选用理由</w:t>
            </w:r>
          </w:p>
        </w:tc>
      </w:tr>
      <w:tr w14:paraId="6E4C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3D8D9AB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仿真器</w:t>
            </w:r>
          </w:p>
        </w:tc>
        <w:tc>
          <w:tcPr>
            <w:tcW w:w="3515" w:type="dxa"/>
          </w:tcPr>
          <w:p w14:paraId="3AC5AD2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Isaac Sim / Isaac Lab、MuJoCo 与 MJX、Genesis、Gazebo</w:t>
            </w:r>
          </w:p>
        </w:tc>
        <w:tc>
          <w:tcPr>
            <w:tcW w:w="3628" w:type="dxa"/>
          </w:tcPr>
          <w:p w14:paraId="525F598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多仿真器是可复现评测的立身之本，不绑定单一厂商</w:t>
            </w:r>
          </w:p>
        </w:tc>
      </w:tr>
      <w:tr w14:paraId="19FD4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5F5E55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机器人中间件与规划</w:t>
            </w:r>
          </w:p>
        </w:tc>
        <w:tc>
          <w:tcPr>
            <w:tcW w:w="3515" w:type="dxa"/>
          </w:tcPr>
          <w:p w14:paraId="58FE51F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ROS 2、Pinocchio、MoveIt 2 与 OMPL、cuRobo</w:t>
            </w:r>
          </w:p>
        </w:tc>
        <w:tc>
          <w:tcPr>
            <w:tcW w:w="3628" w:type="dxa"/>
          </w:tcPr>
          <w:p w14:paraId="1AACED4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真机接入的事实标准；不重造底层算法轮子</w:t>
            </w:r>
          </w:p>
        </w:tc>
      </w:tr>
      <w:tr w14:paraId="17A7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2CE730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大模型与视觉</w:t>
            </w:r>
          </w:p>
        </w:tc>
        <w:tc>
          <w:tcPr>
            <w:tcW w:w="3515" w:type="dxa"/>
          </w:tcPr>
          <w:p w14:paraId="50D7FF7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开源 VLM / LLM 本地部署 + 结构化输出</w:t>
            </w:r>
          </w:p>
        </w:tc>
        <w:tc>
          <w:tcPr>
            <w:tcW w:w="3628" w:type="dxa"/>
          </w:tcPr>
          <w:p w14:paraId="7E01B48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本地部署保证合规与离线可用；结构化输出是约束分解的基础</w:t>
            </w:r>
          </w:p>
        </w:tc>
      </w:tr>
      <w:tr w14:paraId="33CC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4933FD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平台与可视化</w:t>
            </w:r>
          </w:p>
        </w:tc>
        <w:tc>
          <w:tcPr>
            <w:tcW w:w="3515" w:type="dxa"/>
          </w:tcPr>
          <w:p w14:paraId="2D31BBC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Python / FastAPI + PostgreSQL + TimescaleDB；Web 看板 + 三维回放</w:t>
            </w:r>
          </w:p>
        </w:tc>
        <w:tc>
          <w:tcPr>
            <w:tcW w:w="3628" w:type="dxa"/>
          </w:tcPr>
          <w:p w14:paraId="55625CC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批量评测是典型高并发长任务负载，需要可靠编排</w:t>
            </w:r>
          </w:p>
        </w:tc>
      </w:tr>
      <w:tr w14:paraId="3547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038F2E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真机验证</w:t>
            </w:r>
          </w:p>
        </w:tc>
        <w:tc>
          <w:tcPr>
            <w:tcW w:w="3515" w:type="dxa"/>
          </w:tcPr>
          <w:p w14:paraId="0296FFC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桌面级 6 自由度协作机械臂；或向厂商借测</w:t>
            </w:r>
          </w:p>
        </w:tc>
        <w:tc>
          <w:tcPr>
            <w:tcW w:w="3628" w:type="dxa"/>
          </w:tcPr>
          <w:p w14:paraId="09A0067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只需小样本，用于标定仿真—真机相关性</w:t>
            </w:r>
          </w:p>
        </w:tc>
      </w:tr>
    </w:tbl>
    <w:p w14:paraId="73A4F5C7">
      <w:pPr>
        <w:pStyle w:val="4"/>
        <w:keepNext/>
        <w:spacing w:before="200" w:after="120" w:line="312" w:lineRule="auto"/>
        <w:ind w:firstLine="0"/>
      </w:pPr>
      <w:bookmarkStart w:id="19" w:name="_Toc4553"/>
      <w:r>
        <w:rPr>
          <w:rFonts w:ascii="宋体" w:hAnsi="宋体" w:eastAsia="宋体" w:cs="宋体"/>
          <w:b/>
          <w:i w:val="0"/>
          <w:color w:val="000000"/>
          <w:sz w:val="28"/>
        </w:rPr>
        <w:t>4.5 技术指标的承诺边界</w:t>
      </w:r>
      <w:bookmarkEnd w:id="19"/>
    </w:p>
    <w:p w14:paraId="5DEFCA20">
      <w:pPr>
        <w:pStyle w:val="16"/>
        <w:spacing w:before="12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不承诺通用具身智能：定位为规划与评测中间件，不替代底层运动控制、抓取策略与感知算法。</w:t>
      </w:r>
    </w:p>
    <w:p w14:paraId="0D48A55A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不承诺零样本迁移到任意本体：技能抽象需要按本体适配与标定，我们承诺的是"接入工时显著下降"，而不是"不需要接入"。</w:t>
      </w:r>
    </w:p>
    <w:p w14:paraId="48C96014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不承诺仿真等于真机：输出的是相关性的量化指标与小样本验证证据，并明确标注仿真结论的适用范围。</w:t>
      </w:r>
    </w:p>
    <w:p w14:paraId="76686C23">
      <w:pPr>
        <w:pStyle w:val="3"/>
        <w:keepNext/>
        <w:pageBreakBefore/>
        <w:spacing w:before="280" w:after="120" w:line="312" w:lineRule="auto"/>
        <w:ind w:firstLine="0"/>
      </w:pPr>
      <w:bookmarkStart w:id="20" w:name="_Toc32554"/>
      <w:r>
        <w:rPr>
          <w:rFonts w:ascii="宋体" w:hAnsi="宋体" w:eastAsia="宋体" w:cs="宋体"/>
          <w:b/>
          <w:i w:val="0"/>
          <w:color w:val="000000"/>
          <w:sz w:val="32"/>
        </w:rPr>
        <w:t>第五章  创新点</w:t>
      </w:r>
      <w:bookmarkEnd w:id="20"/>
    </w:p>
    <w:p w14:paraId="21E30C24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写作铁律：每条创新点必须包含"现有做法失败在哪 + 我们怎么做 + 量化对比 + 证据形态"四段式。四条创新与 4.1 的四个缺口一一对应。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871"/>
        <w:gridCol w:w="1984"/>
        <w:gridCol w:w="2041"/>
        <w:gridCol w:w="2041"/>
      </w:tblGrid>
      <w:tr w14:paraId="3201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EFEFEF"/>
          </w:tcPr>
          <w:p w14:paraId="5B4AC53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序号</w:t>
            </w:r>
          </w:p>
        </w:tc>
        <w:tc>
          <w:tcPr>
            <w:tcW w:w="1871" w:type="dxa"/>
            <w:shd w:val="clear" w:color="auto" w:fill="EFEFEF"/>
          </w:tcPr>
          <w:p w14:paraId="063F9CE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创新点</w:t>
            </w:r>
          </w:p>
        </w:tc>
        <w:tc>
          <w:tcPr>
            <w:tcW w:w="1984" w:type="dxa"/>
            <w:shd w:val="clear" w:color="auto" w:fill="EFEFEF"/>
          </w:tcPr>
          <w:p w14:paraId="14E9566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一句话概括</w:t>
            </w:r>
          </w:p>
        </w:tc>
        <w:tc>
          <w:tcPr>
            <w:tcW w:w="2041" w:type="dxa"/>
            <w:shd w:val="clear" w:color="auto" w:fill="EFEFEF"/>
          </w:tcPr>
          <w:p w14:paraId="2B410D6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核心量化指标</w:t>
            </w:r>
          </w:p>
        </w:tc>
        <w:tc>
          <w:tcPr>
            <w:tcW w:w="2041" w:type="dxa"/>
            <w:shd w:val="clear" w:color="auto" w:fill="EFEFEF"/>
          </w:tcPr>
          <w:p w14:paraId="53EDAA8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证据形态</w:t>
            </w:r>
          </w:p>
        </w:tc>
      </w:tr>
      <w:tr w14:paraId="1F3F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2E9DEAE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w="1871" w:type="dxa"/>
          </w:tcPr>
          <w:p w14:paraId="388B05E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约束感知的任务分解与计划可满足性判定</w:t>
            </w:r>
          </w:p>
        </w:tc>
        <w:tc>
          <w:tcPr>
            <w:tcW w:w="1984" w:type="dxa"/>
          </w:tcPr>
          <w:p w14:paraId="440A9FA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别人生成后再检查，我们生成时就约束</w:t>
            </w:r>
          </w:p>
        </w:tc>
        <w:tc>
          <w:tcPr>
            <w:tcW w:w="2041" w:type="dxa"/>
          </w:tcPr>
          <w:p w14:paraId="4D8104A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合法率 ≥ 99%，ECE ≤ 0.05</w:t>
            </w:r>
          </w:p>
        </w:tc>
        <w:tc>
          <w:tcPr>
            <w:tcW w:w="2041" w:type="dxa"/>
          </w:tcPr>
          <w:p w14:paraId="7F2DB3E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两种配置的对比实验 + 拦截漏斗图</w:t>
            </w:r>
          </w:p>
        </w:tc>
      </w:tr>
      <w:tr w14:paraId="45ED3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5EBC8C6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w="1871" w:type="dxa"/>
          </w:tcPr>
          <w:p w14:paraId="7EA4838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跨本体统一技能抽象与本体能力模型</w:t>
            </w:r>
          </w:p>
        </w:tc>
        <w:tc>
          <w:tcPr>
            <w:tcW w:w="1984" w:type="dxa"/>
          </w:tcPr>
          <w:p w14:paraId="05C67C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别人一个本体重写一遍，我们一次建模多体复用</w:t>
            </w:r>
          </w:p>
        </w:tc>
        <w:tc>
          <w:tcPr>
            <w:tcW w:w="2041" w:type="dxa"/>
          </w:tcPr>
          <w:p w14:paraId="04C2FC8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复用率 ≥ 70%，接入工时降至 1/3</w:t>
            </w:r>
          </w:p>
        </w:tc>
        <w:tc>
          <w:tcPr>
            <w:tcW w:w="2041" w:type="dxa"/>
          </w:tcPr>
          <w:p w14:paraId="66916FD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技能跨本体迁移实测记录</w:t>
            </w:r>
          </w:p>
        </w:tc>
      </w:tr>
      <w:tr w14:paraId="6EEA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0538302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w="1871" w:type="dxa"/>
          </w:tcPr>
          <w:p w14:paraId="21597E2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仿真在环的可执行性验证与规划自动修复</w:t>
            </w:r>
          </w:p>
        </w:tc>
        <w:tc>
          <w:tcPr>
            <w:tcW w:w="1984" w:type="dxa"/>
          </w:tcPr>
          <w:p w14:paraId="12F325C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别人开环执行，我们把仿真放进规划回路</w:t>
            </w:r>
          </w:p>
        </w:tc>
        <w:tc>
          <w:tcPr>
            <w:tcW w:w="2041" w:type="dxa"/>
          </w:tcPr>
          <w:p w14:paraId="5764011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可执行率 ≥ 60%，诊断 ≥ 85%，成功率 +25 个百分点</w:t>
            </w:r>
          </w:p>
        </w:tc>
        <w:tc>
          <w:tcPr>
            <w:tcW w:w="2041" w:type="dxa"/>
          </w:tcPr>
          <w:p w14:paraId="3B45A21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开环 / 闭环对照实验 + 失败回放录屏</w:t>
            </w:r>
          </w:p>
        </w:tc>
      </w:tr>
      <w:tr w14:paraId="7B82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5969EBA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w="1871" w:type="dxa"/>
          </w:tcPr>
          <w:p w14:paraId="7D663EA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迁移性可复现评测协议与开放基准</w:t>
            </w:r>
          </w:p>
        </w:tc>
        <w:tc>
          <w:tcPr>
            <w:tcW w:w="1984" w:type="dxa"/>
          </w:tcPr>
          <w:p w14:paraId="55E0304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别人比一个成功率，我们让结果可复现、可迁移</w:t>
            </w:r>
          </w:p>
        </w:tc>
        <w:tc>
          <w:tcPr>
            <w:tcW w:w="2041" w:type="dxa"/>
          </w:tcPr>
          <w:p w14:paraId="022CD2A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六项指标，ρ ≥ 0.7，复现波动 ≤ 2 个百分点</w:t>
            </w:r>
          </w:p>
        </w:tc>
        <w:tc>
          <w:tcPr>
            <w:tcW w:w="2041" w:type="dxa"/>
          </w:tcPr>
          <w:p w14:paraId="5659F5D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真机小样本相关性分析 + 公开协议</w:t>
            </w:r>
          </w:p>
        </w:tc>
      </w:tr>
    </w:tbl>
    <w:p w14:paraId="4DC23796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四条的递进关系（答辩按此顺序讲）：第一条让输入可靠，第二条让表示统一，第三条让执行可验证、失败可修复，第四条让结论可比较、可迁移。没有第四条，前三条的效果无法向任何人证明。</w:t>
      </w:r>
    </w:p>
    <w:p w14:paraId="72640F48">
      <w:pPr>
        <w:pStyle w:val="3"/>
        <w:keepNext/>
        <w:pageBreakBefore/>
        <w:spacing w:before="280" w:after="120" w:line="312" w:lineRule="auto"/>
        <w:ind w:firstLine="0"/>
      </w:pPr>
      <w:bookmarkStart w:id="21" w:name="_Toc30442"/>
      <w:r>
        <w:rPr>
          <w:rFonts w:ascii="宋体" w:hAnsi="宋体" w:eastAsia="宋体" w:cs="宋体"/>
          <w:b/>
          <w:i w:val="0"/>
          <w:color w:val="000000"/>
          <w:sz w:val="32"/>
        </w:rPr>
        <w:t>第六章  竞争分析</w:t>
      </w:r>
      <w:bookmarkEnd w:id="21"/>
    </w:p>
    <w:p w14:paraId="1D810156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提醒：表中关于竞品能力的结论必须自测取证，并形成《竞品与现状实测报告》作为附件——它的说服力远超文献引用。</w:t>
      </w:r>
    </w:p>
    <w:p w14:paraId="3C58C70B">
      <w:pPr>
        <w:pStyle w:val="4"/>
        <w:keepNext/>
        <w:spacing w:before="200" w:after="120" w:line="312" w:lineRule="auto"/>
        <w:ind w:firstLine="0"/>
      </w:pPr>
      <w:bookmarkStart w:id="22" w:name="_Toc11884"/>
      <w:r>
        <w:rPr>
          <w:rFonts w:ascii="宋体" w:hAnsi="宋体" w:eastAsia="宋体" w:cs="宋体"/>
          <w:b/>
          <w:i w:val="0"/>
          <w:color w:val="000000"/>
          <w:sz w:val="28"/>
        </w:rPr>
        <w:t>6.1 竞品矩阵（精简）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077"/>
        <w:gridCol w:w="1134"/>
        <w:gridCol w:w="1020"/>
        <w:gridCol w:w="1020"/>
        <w:gridCol w:w="1020"/>
        <w:gridCol w:w="1134"/>
        <w:gridCol w:w="1077"/>
      </w:tblGrid>
      <w:tr w14:paraId="20DA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FEFEF"/>
          </w:tcPr>
          <w:p w14:paraId="33B7310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6"/>
              </w:rPr>
              <w:t>维度</w:t>
            </w:r>
          </w:p>
        </w:tc>
        <w:tc>
          <w:tcPr>
            <w:tcW w:w="1077" w:type="dxa"/>
            <w:shd w:val="clear" w:color="auto" w:fill="EFEFEF"/>
          </w:tcPr>
          <w:p w14:paraId="64C801A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6"/>
              </w:rPr>
              <w:t>人工脚本编排</w:t>
            </w:r>
          </w:p>
        </w:tc>
        <w:tc>
          <w:tcPr>
            <w:tcW w:w="1134" w:type="dxa"/>
            <w:shd w:val="clear" w:color="auto" w:fill="EFEFEF"/>
          </w:tcPr>
          <w:p w14:paraId="57A6566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6"/>
              </w:rPr>
              <w:t>传统任务—运动规划</w:t>
            </w:r>
          </w:p>
        </w:tc>
        <w:tc>
          <w:tcPr>
            <w:tcW w:w="1020" w:type="dxa"/>
            <w:shd w:val="clear" w:color="auto" w:fill="EFEFEF"/>
          </w:tcPr>
          <w:p w14:paraId="697B956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6"/>
              </w:rPr>
              <w:t>端到端学习方案</w:t>
            </w:r>
          </w:p>
        </w:tc>
        <w:tc>
          <w:tcPr>
            <w:tcW w:w="1020" w:type="dxa"/>
            <w:shd w:val="clear" w:color="auto" w:fill="EFEFEF"/>
          </w:tcPr>
          <w:p w14:paraId="3729EFC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6"/>
              </w:rPr>
              <w:t>单本体仿真基准</w:t>
            </w:r>
          </w:p>
        </w:tc>
        <w:tc>
          <w:tcPr>
            <w:tcW w:w="1020" w:type="dxa"/>
            <w:shd w:val="clear" w:color="auto" w:fill="EFEFEF"/>
          </w:tcPr>
          <w:p w14:paraId="1251554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6"/>
              </w:rPr>
              <w:t>商业仿真平台</w:t>
            </w:r>
          </w:p>
        </w:tc>
        <w:tc>
          <w:tcPr>
            <w:tcW w:w="1134" w:type="dxa"/>
            <w:shd w:val="clear" w:color="auto" w:fill="EFEFEF"/>
          </w:tcPr>
          <w:p w14:paraId="7586CA8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6"/>
              </w:rPr>
              <w:t>机器人中间件</w:t>
            </w:r>
          </w:p>
        </w:tc>
        <w:tc>
          <w:tcPr>
            <w:tcW w:w="1077" w:type="dxa"/>
            <w:shd w:val="clear" w:color="auto" w:fill="EFEFEF"/>
          </w:tcPr>
          <w:p w14:paraId="7FF8382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6"/>
              </w:rPr>
              <w:t>知行</w:t>
            </w:r>
          </w:p>
        </w:tc>
      </w:tr>
      <w:tr w14:paraId="6DE2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5FEF929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定位</w:t>
            </w:r>
          </w:p>
        </w:tc>
        <w:tc>
          <w:tcPr>
            <w:tcW w:w="1077" w:type="dxa"/>
          </w:tcPr>
          <w:p w14:paraId="3FDAC70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工程师手写脚本</w:t>
            </w:r>
          </w:p>
        </w:tc>
        <w:tc>
          <w:tcPr>
            <w:tcW w:w="1134" w:type="dxa"/>
          </w:tcPr>
          <w:p w14:paraId="569A294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形式化任务与运动联合规划</w:t>
            </w:r>
          </w:p>
        </w:tc>
        <w:tc>
          <w:tcPr>
            <w:tcW w:w="1020" w:type="dxa"/>
          </w:tcPr>
          <w:p w14:paraId="67BA755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模仿学习 / VLA</w:t>
            </w:r>
          </w:p>
        </w:tc>
        <w:tc>
          <w:tcPr>
            <w:tcW w:w="1020" w:type="dxa"/>
          </w:tcPr>
          <w:p w14:paraId="327BB1D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论文级任务集与脚本</w:t>
            </w:r>
          </w:p>
        </w:tc>
        <w:tc>
          <w:tcPr>
            <w:tcW w:w="1020" w:type="dxa"/>
          </w:tcPr>
          <w:p w14:paraId="4D4FEA1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物理仿真与训练平台</w:t>
            </w:r>
          </w:p>
        </w:tc>
        <w:tc>
          <w:tcPr>
            <w:tcW w:w="1134" w:type="dxa"/>
          </w:tcPr>
          <w:p w14:paraId="43DF79A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通信与设备抽象</w:t>
            </w:r>
          </w:p>
        </w:tc>
        <w:tc>
          <w:tcPr>
            <w:tcW w:w="1077" w:type="dxa"/>
          </w:tcPr>
          <w:p w14:paraId="1247E36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规划—验证—评测中间件</w:t>
            </w:r>
          </w:p>
        </w:tc>
      </w:tr>
      <w:tr w14:paraId="736E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1C26061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跨本体技能复用</w:t>
            </w:r>
          </w:p>
        </w:tc>
        <w:tc>
          <w:tcPr>
            <w:tcW w:w="1077" w:type="dxa"/>
          </w:tcPr>
          <w:p w14:paraId="147E2C1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 每个本体重写</w:t>
            </w:r>
          </w:p>
        </w:tc>
        <w:tc>
          <w:tcPr>
            <w:tcW w:w="1134" w:type="dxa"/>
          </w:tcPr>
          <w:p w14:paraId="21D21FA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△ 仅单本体内</w:t>
            </w:r>
          </w:p>
        </w:tc>
        <w:tc>
          <w:tcPr>
            <w:tcW w:w="1020" w:type="dxa"/>
          </w:tcPr>
          <w:p w14:paraId="0C6456D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 与本体强绑定</w:t>
            </w:r>
          </w:p>
        </w:tc>
        <w:tc>
          <w:tcPr>
            <w:tcW w:w="1020" w:type="dxa"/>
          </w:tcPr>
          <w:p w14:paraId="7F03CC6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 单本体为主</w:t>
            </w:r>
          </w:p>
        </w:tc>
        <w:tc>
          <w:tcPr>
            <w:tcW w:w="1020" w:type="dxa"/>
          </w:tcPr>
          <w:p w14:paraId="56CB023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△ 提供本体资产</w:t>
            </w:r>
          </w:p>
        </w:tc>
        <w:tc>
          <w:tcPr>
            <w:tcW w:w="1134" w:type="dxa"/>
          </w:tcPr>
          <w:p w14:paraId="7B0A0B6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△ 仅通信层</w:t>
            </w:r>
          </w:p>
        </w:tc>
        <w:tc>
          <w:tcPr>
            <w:tcW w:w="1077" w:type="dxa"/>
          </w:tcPr>
          <w:p w14:paraId="4CB7B9B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√ 技能抽象 + 能力模型</w:t>
            </w:r>
          </w:p>
        </w:tc>
      </w:tr>
      <w:tr w14:paraId="3BAB9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0231AA7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闭环验证与自动修复</w:t>
            </w:r>
          </w:p>
        </w:tc>
        <w:tc>
          <w:tcPr>
            <w:tcW w:w="1077" w:type="dxa"/>
          </w:tcPr>
          <w:p w14:paraId="1A0E47C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134" w:type="dxa"/>
          </w:tcPr>
          <w:p w14:paraId="73B3C04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△ 单步检查，无修复</w:t>
            </w:r>
          </w:p>
        </w:tc>
        <w:tc>
          <w:tcPr>
            <w:tcW w:w="1020" w:type="dxa"/>
          </w:tcPr>
          <w:p w14:paraId="39E97BE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 开环推理</w:t>
            </w:r>
          </w:p>
        </w:tc>
        <w:tc>
          <w:tcPr>
            <w:tcW w:w="1020" w:type="dxa"/>
          </w:tcPr>
          <w:p w14:paraId="5310DC8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 只给最终结果</w:t>
            </w:r>
          </w:p>
        </w:tc>
        <w:tc>
          <w:tcPr>
            <w:tcW w:w="1020" w:type="dxa"/>
          </w:tcPr>
          <w:p w14:paraId="7EE6881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△ 可跑仿真，无闭环</w:t>
            </w:r>
          </w:p>
        </w:tc>
        <w:tc>
          <w:tcPr>
            <w:tcW w:w="1134" w:type="dxa"/>
          </w:tcPr>
          <w:p w14:paraId="6E77267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077" w:type="dxa"/>
          </w:tcPr>
          <w:p w14:paraId="3A9B16A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√ 规划—验证—诊断—修复</w:t>
            </w:r>
          </w:p>
        </w:tc>
      </w:tr>
      <w:tr w14:paraId="5573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0778034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可执行性度量与不确定度</w:t>
            </w:r>
          </w:p>
        </w:tc>
        <w:tc>
          <w:tcPr>
            <w:tcW w:w="1077" w:type="dxa"/>
          </w:tcPr>
          <w:p w14:paraId="6F2C3F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134" w:type="dxa"/>
          </w:tcPr>
          <w:p w14:paraId="0B46025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△ 可行性判定</w:t>
            </w:r>
          </w:p>
        </w:tc>
        <w:tc>
          <w:tcPr>
            <w:tcW w:w="1020" w:type="dxa"/>
          </w:tcPr>
          <w:p w14:paraId="3AD9DE3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020" w:type="dxa"/>
          </w:tcPr>
          <w:p w14:paraId="737B25E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020" w:type="dxa"/>
          </w:tcPr>
          <w:p w14:paraId="351F442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134" w:type="dxa"/>
          </w:tcPr>
          <w:p w14:paraId="7F014E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077" w:type="dxa"/>
          </w:tcPr>
          <w:p w14:paraId="25ECBD0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√ 四元组 + 校准置信度</w:t>
            </w:r>
          </w:p>
        </w:tc>
      </w:tr>
      <w:tr w14:paraId="2CC5D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4DBF68D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可复现评测与迁移性指标</w:t>
            </w:r>
          </w:p>
        </w:tc>
        <w:tc>
          <w:tcPr>
            <w:tcW w:w="1077" w:type="dxa"/>
          </w:tcPr>
          <w:p w14:paraId="3649486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134" w:type="dxa"/>
          </w:tcPr>
          <w:p w14:paraId="603601B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020" w:type="dxa"/>
          </w:tcPr>
          <w:p w14:paraId="435C8AC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020" w:type="dxa"/>
          </w:tcPr>
          <w:p w14:paraId="0BA614A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 各基准自成一套</w:t>
            </w:r>
          </w:p>
        </w:tc>
        <w:tc>
          <w:tcPr>
            <w:tcW w:w="1020" w:type="dxa"/>
          </w:tcPr>
          <w:p w14:paraId="6101B25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△ 单平台内</w:t>
            </w:r>
          </w:p>
        </w:tc>
        <w:tc>
          <w:tcPr>
            <w:tcW w:w="1134" w:type="dxa"/>
          </w:tcPr>
          <w:p w14:paraId="71D016B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×</w:t>
            </w:r>
          </w:p>
        </w:tc>
        <w:tc>
          <w:tcPr>
            <w:tcW w:w="1077" w:type="dxa"/>
          </w:tcPr>
          <w:p w14:paraId="10DACDF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√ 跨仿真器 + 相关性</w:t>
            </w:r>
          </w:p>
        </w:tc>
      </w:tr>
      <w:tr w14:paraId="5CC8C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</w:tcPr>
          <w:p w14:paraId="5D64A44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已知短板</w:t>
            </w:r>
          </w:p>
        </w:tc>
        <w:tc>
          <w:tcPr>
            <w:tcW w:w="1077" w:type="dxa"/>
          </w:tcPr>
          <w:p w14:paraId="62898B8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依赖人、不可迁移</w:t>
            </w:r>
          </w:p>
        </w:tc>
        <w:tc>
          <w:tcPr>
            <w:tcW w:w="1134" w:type="dxa"/>
          </w:tcPr>
          <w:p w14:paraId="2223F08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跨本体门槛高</w:t>
            </w:r>
          </w:p>
        </w:tc>
        <w:tc>
          <w:tcPr>
            <w:tcW w:w="1020" w:type="dxa"/>
          </w:tcPr>
          <w:p w14:paraId="167122F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不保证物理可行</w:t>
            </w:r>
          </w:p>
        </w:tc>
        <w:tc>
          <w:tcPr>
            <w:tcW w:w="1020" w:type="dxa"/>
          </w:tcPr>
          <w:p w14:paraId="4D330AA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单本体、单指标</w:t>
            </w:r>
          </w:p>
        </w:tc>
        <w:tc>
          <w:tcPr>
            <w:tcW w:w="1020" w:type="dxa"/>
          </w:tcPr>
          <w:p w14:paraId="17EC681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不解决规划层、不中立</w:t>
            </w:r>
          </w:p>
        </w:tc>
        <w:tc>
          <w:tcPr>
            <w:tcW w:w="1134" w:type="dxa"/>
          </w:tcPr>
          <w:p w14:paraId="675B34B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不涉及任务语义</w:t>
            </w:r>
          </w:p>
        </w:tc>
        <w:tc>
          <w:tcPr>
            <w:tcW w:w="1077" w:type="dxa"/>
          </w:tcPr>
          <w:p w14:paraId="125126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6"/>
              </w:rPr>
              <w:t>目标：技能库规模与采用度</w:t>
            </w:r>
          </w:p>
        </w:tc>
      </w:tr>
    </w:tbl>
    <w:p w14:paraId="5BF6E6A7">
      <w:pPr>
        <w:pStyle w:val="4"/>
        <w:keepNext/>
        <w:spacing w:before="200" w:after="120" w:line="312" w:lineRule="auto"/>
        <w:ind w:firstLine="0"/>
      </w:pPr>
      <w:bookmarkStart w:id="23" w:name="_Toc20564"/>
      <w:r>
        <w:rPr>
          <w:rFonts w:ascii="宋体" w:hAnsi="宋体" w:eastAsia="宋体" w:cs="宋体"/>
          <w:b/>
          <w:i w:val="0"/>
          <w:color w:val="000000"/>
          <w:sz w:val="28"/>
        </w:rPr>
        <w:t>6.2 差异化定位</w:t>
      </w:r>
      <w:bookmarkEnd w:id="23"/>
    </w:p>
    <w:p w14:paraId="326F7205">
      <w:pPr>
        <w:keepNext w:val="0"/>
        <w:spacing w:before="240" w:after="160" w:line="312" w:lineRule="auto"/>
        <w:jc w:val="center"/>
      </w:pPr>
      <w:r>
        <w:rPr>
          <w:rFonts w:ascii="宋体" w:hAnsi="宋体" w:eastAsia="宋体" w:cs="宋体"/>
          <w:b w:val="0"/>
          <w:i w:val="0"/>
          <w:sz w:val="26"/>
        </w:rPr>
        <w:t>别人比成功率，我们让规划可验证。</w:t>
      </w:r>
    </w:p>
    <w:p w14:paraId="0B2686FC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完整表述：我们不做机器人本体，也不重写底层控制与仿真引擎；我们做的是本体与仿真器之上的那一层——让任务规划可验证、可修复、可比较、可向真机迁移的中间件与评测底座。这句话应在商业计划书与 PPT 中反复出现。</w:t>
      </w:r>
    </w:p>
    <w:p w14:paraId="0BC228D2">
      <w:pPr>
        <w:pStyle w:val="4"/>
        <w:keepNext/>
        <w:spacing w:before="200" w:after="120" w:line="312" w:lineRule="auto"/>
        <w:ind w:firstLine="0"/>
      </w:pPr>
      <w:bookmarkStart w:id="24" w:name="_Toc25417"/>
      <w:r>
        <w:rPr>
          <w:rFonts w:ascii="宋体" w:hAnsi="宋体" w:eastAsia="宋体" w:cs="宋体"/>
          <w:b/>
          <w:i w:val="0"/>
          <w:color w:val="000000"/>
          <w:sz w:val="28"/>
        </w:rPr>
        <w:t>6.3 四层竞争壁垒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742"/>
        <w:gridCol w:w="3855"/>
      </w:tblGrid>
      <w:tr w14:paraId="67DBE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FEFEF"/>
          </w:tcPr>
          <w:p w14:paraId="00CAE5C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壁垒层次</w:t>
            </w:r>
          </w:p>
        </w:tc>
        <w:tc>
          <w:tcPr>
            <w:tcW w:w="3742" w:type="dxa"/>
            <w:shd w:val="clear" w:color="auto" w:fill="EFEFEF"/>
          </w:tcPr>
          <w:p w14:paraId="47DEDEF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具体内容</w:t>
            </w:r>
          </w:p>
        </w:tc>
        <w:tc>
          <w:tcPr>
            <w:tcW w:w="3855" w:type="dxa"/>
            <w:shd w:val="clear" w:color="auto" w:fill="EFEFEF"/>
          </w:tcPr>
          <w:p w14:paraId="6E976F5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为什么竞品难以复制</w:t>
            </w:r>
          </w:p>
        </w:tc>
      </w:tr>
      <w:tr w14:paraId="4839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3D7AA35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资产壁垒</w:t>
            </w:r>
          </w:p>
        </w:tc>
        <w:tc>
          <w:tcPr>
            <w:tcW w:w="3742" w:type="dxa"/>
          </w:tcPr>
          <w:p w14:paraId="5A54D27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技能库 + 失败模式库 + 标准化任务集与评测协议</w:t>
            </w:r>
          </w:p>
        </w:tc>
        <w:tc>
          <w:tcPr>
            <w:tcW w:w="3855" w:type="dxa"/>
          </w:tcPr>
          <w:p w14:paraId="617D73A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只能靠长期、多样本的实际运行累积；越多人用资产越厚</w:t>
            </w:r>
          </w:p>
        </w:tc>
      </w:tr>
      <w:tr w14:paraId="157B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549F6D4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算法壁垒</w:t>
            </w:r>
          </w:p>
        </w:tc>
        <w:tc>
          <w:tcPr>
            <w:tcW w:w="3742" w:type="dxa"/>
          </w:tcPr>
          <w:p w14:paraId="06C64CD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约束感知的任务分解 + 仿真在环的验证与修复闭环（已申请专利）</w:t>
            </w:r>
          </w:p>
        </w:tc>
        <w:tc>
          <w:tcPr>
            <w:tcW w:w="3855" w:type="dxa"/>
          </w:tcPr>
          <w:p w14:paraId="6F782CC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需要任务规划、机器人运动学与仿真、大模型应用的跨领域团队</w:t>
            </w:r>
          </w:p>
        </w:tc>
      </w:tr>
      <w:tr w14:paraId="2ED1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4515247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生态壁垒</w:t>
            </w:r>
          </w:p>
        </w:tc>
        <w:tc>
          <w:tcPr>
            <w:tcW w:w="3742" w:type="dxa"/>
          </w:tcPr>
          <w:p w14:paraId="4047F08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技能表示与评测协议做成社区开放格式，与厂商、创新中心、检测机构深度集成</w:t>
            </w:r>
          </w:p>
        </w:tc>
        <w:tc>
          <w:tcPr>
            <w:tcW w:w="3855" w:type="dxa"/>
          </w:tcPr>
          <w:p w14:paraId="11FBC80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一旦成为事实标准与准入口径，替换成本极高</w:t>
            </w:r>
          </w:p>
        </w:tc>
      </w:tr>
      <w:tr w14:paraId="1424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3E4A7D2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中立壁垒</w:t>
            </w:r>
          </w:p>
        </w:tc>
        <w:tc>
          <w:tcPr>
            <w:tcW w:w="3742" w:type="dxa"/>
          </w:tcPr>
          <w:p w14:paraId="4F922BC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不绑定任何本体与仿真器厂商，以第三方身份提供跨厂商可比评测</w:t>
            </w:r>
          </w:p>
        </w:tc>
        <w:tc>
          <w:tcPr>
            <w:tcW w:w="3855" w:type="dxa"/>
          </w:tcPr>
          <w:p w14:paraId="04412A8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整机厂商与仿真器厂商做跨厂商评测在立场上难以中立</w:t>
            </w:r>
          </w:p>
        </w:tc>
      </w:tr>
    </w:tbl>
    <w:p w14:paraId="0324D62D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诚实补充：若仿真生态方或头部整机厂商补齐这一层，我们的单点技术优势会被削弱。因此护城河必须建立在"中立性"与"社区资产"上——在 12 到 18 个月内绑定高校与创新中心的使用习惯，并拿下一个第三方测评或联合标准的标杆案例。</w:t>
      </w:r>
    </w:p>
    <w:p w14:paraId="0C35FA92">
      <w:pPr>
        <w:pStyle w:val="3"/>
        <w:keepNext/>
        <w:pageBreakBefore/>
        <w:spacing w:before="280" w:after="120" w:line="312" w:lineRule="auto"/>
        <w:ind w:firstLine="0"/>
      </w:pPr>
      <w:bookmarkStart w:id="25" w:name="_Toc2706"/>
      <w:r>
        <w:rPr>
          <w:rFonts w:ascii="宋体" w:hAnsi="宋体" w:eastAsia="宋体" w:cs="宋体"/>
          <w:b/>
          <w:i w:val="0"/>
          <w:color w:val="000000"/>
          <w:sz w:val="32"/>
        </w:rPr>
        <w:t>第七章  市场分析</w:t>
      </w:r>
      <w:bookmarkEnd w:id="25"/>
    </w:p>
    <w:p w14:paraId="22ACCB7A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铁律：不要引用第三方报告的大数字。市场规模必须自下而上测算，即"客户数 × 单客户席位 × 可触达比例 × 付费率 × 客单价"。</w:t>
      </w:r>
    </w:p>
    <w:p w14:paraId="363F518A">
      <w:pPr>
        <w:pStyle w:val="4"/>
        <w:keepNext/>
        <w:spacing w:before="200" w:after="120" w:line="312" w:lineRule="auto"/>
        <w:ind w:firstLine="0"/>
      </w:pPr>
      <w:bookmarkStart w:id="26" w:name="_Toc21929"/>
      <w:r>
        <w:rPr>
          <w:rFonts w:ascii="宋体" w:hAnsi="宋体" w:eastAsia="宋体" w:cs="宋体"/>
          <w:b/>
          <w:i w:val="0"/>
          <w:color w:val="000000"/>
          <w:sz w:val="28"/>
        </w:rPr>
        <w:t>7.1 目标客户分层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381"/>
        <w:gridCol w:w="2494"/>
        <w:gridCol w:w="1814"/>
        <w:gridCol w:w="1134"/>
      </w:tblGrid>
      <w:tr w14:paraId="46AF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FEFEF"/>
          </w:tcPr>
          <w:p w14:paraId="4B24DDA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层级</w:t>
            </w:r>
          </w:p>
        </w:tc>
        <w:tc>
          <w:tcPr>
            <w:tcW w:w="2381" w:type="dxa"/>
            <w:shd w:val="clear" w:color="auto" w:fill="EFEFEF"/>
          </w:tcPr>
          <w:p w14:paraId="4AB9960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客户类型</w:t>
            </w:r>
          </w:p>
        </w:tc>
        <w:tc>
          <w:tcPr>
            <w:tcW w:w="2494" w:type="dxa"/>
            <w:shd w:val="clear" w:color="auto" w:fill="EFEFEF"/>
          </w:tcPr>
          <w:p w14:paraId="09FFB4C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需求特征</w:t>
            </w:r>
          </w:p>
        </w:tc>
        <w:tc>
          <w:tcPr>
            <w:tcW w:w="1814" w:type="dxa"/>
            <w:shd w:val="clear" w:color="auto" w:fill="EFEFEF"/>
          </w:tcPr>
          <w:p w14:paraId="0AB8110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付费意愿</w:t>
            </w:r>
          </w:p>
        </w:tc>
        <w:tc>
          <w:tcPr>
            <w:tcW w:w="1134" w:type="dxa"/>
            <w:shd w:val="clear" w:color="auto" w:fill="EFEFEF"/>
          </w:tcPr>
          <w:p w14:paraId="1AD20E5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切入顺序</w:t>
            </w:r>
          </w:p>
        </w:tc>
      </w:tr>
      <w:tr w14:paraId="0F78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907C66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第一层</w:t>
            </w:r>
          </w:p>
        </w:tc>
        <w:tc>
          <w:tcPr>
            <w:tcW w:w="2381" w:type="dxa"/>
          </w:tcPr>
          <w:p w14:paraId="784B1C6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高校与科研院所的具身智能实验室</w:t>
            </w:r>
          </w:p>
        </w:tc>
        <w:tc>
          <w:tcPr>
            <w:tcW w:w="2494" w:type="dxa"/>
          </w:tcPr>
          <w:p w14:paraId="0A7C7A2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可复现基准、跨本体复用、失败诊断</w:t>
            </w:r>
          </w:p>
        </w:tc>
        <w:tc>
          <w:tcPr>
            <w:tcW w:w="1814" w:type="dxa"/>
          </w:tcPr>
          <w:p w14:paraId="2BA069A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中（对省时间极敏感）</w:t>
            </w:r>
          </w:p>
        </w:tc>
        <w:tc>
          <w:tcPr>
            <w:tcW w:w="1134" w:type="dxa"/>
          </w:tcPr>
          <w:p w14:paraId="380D527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首发滩头</w:t>
            </w:r>
          </w:p>
        </w:tc>
      </w:tr>
      <w:tr w14:paraId="6B03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562581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第一层</w:t>
            </w:r>
          </w:p>
        </w:tc>
        <w:tc>
          <w:tcPr>
            <w:tcW w:w="2381" w:type="dxa"/>
          </w:tcPr>
          <w:p w14:paraId="3161C78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整机厂商与人形机器人算法团队</w:t>
            </w:r>
          </w:p>
        </w:tc>
        <w:tc>
          <w:tcPr>
            <w:tcW w:w="2494" w:type="dxa"/>
          </w:tcPr>
          <w:p w14:paraId="702994E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新本体接入与评测迭代成本高</w:t>
            </w:r>
          </w:p>
        </w:tc>
        <w:tc>
          <w:tcPr>
            <w:tcW w:w="1814" w:type="dxa"/>
          </w:tcPr>
          <w:p w14:paraId="088B33E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高（直接节省研发工时）</w:t>
            </w:r>
          </w:p>
        </w:tc>
        <w:tc>
          <w:tcPr>
            <w:tcW w:w="1134" w:type="dxa"/>
          </w:tcPr>
          <w:p w14:paraId="5E4825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现金流主力</w:t>
            </w:r>
          </w:p>
        </w:tc>
      </w:tr>
      <w:tr w14:paraId="5B24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72761F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第二层</w:t>
            </w:r>
          </w:p>
        </w:tc>
        <w:tc>
          <w:tcPr>
            <w:tcW w:w="2381" w:type="dxa"/>
          </w:tcPr>
          <w:p w14:paraId="31BB538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创新中心与第三方检测机构</w:t>
            </w:r>
          </w:p>
        </w:tc>
        <w:tc>
          <w:tcPr>
            <w:tcW w:w="2494" w:type="dxa"/>
          </w:tcPr>
          <w:p w14:paraId="01A2046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中立、可复现、可复核的测评手段</w:t>
            </w:r>
          </w:p>
        </w:tc>
        <w:tc>
          <w:tcPr>
            <w:tcW w:w="1814" w:type="dxa"/>
          </w:tcPr>
          <w:p w14:paraId="36DE979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高（财政与专项经费）</w:t>
            </w:r>
          </w:p>
        </w:tc>
        <w:tc>
          <w:tcPr>
            <w:tcW w:w="1134" w:type="dxa"/>
          </w:tcPr>
          <w:p w14:paraId="09E0466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一期</w:t>
            </w:r>
          </w:p>
        </w:tc>
      </w:tr>
      <w:tr w14:paraId="7FB3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380D1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第三层</w:t>
            </w:r>
          </w:p>
        </w:tc>
        <w:tc>
          <w:tcPr>
            <w:tcW w:w="2381" w:type="dxa"/>
          </w:tcPr>
          <w:p w14:paraId="57D440E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大模型公司具身部门、云仿真平台</w:t>
            </w:r>
          </w:p>
        </w:tc>
        <w:tc>
          <w:tcPr>
            <w:tcW w:w="2494" w:type="dxa"/>
          </w:tcPr>
          <w:p w14:paraId="3C4A077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规模化评测与标准化任务集</w:t>
            </w:r>
          </w:p>
        </w:tc>
        <w:tc>
          <w:tcPr>
            <w:tcW w:w="1814" w:type="dxa"/>
          </w:tcPr>
          <w:p w14:paraId="43BFEBF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高，但周期长</w:t>
            </w:r>
          </w:p>
        </w:tc>
        <w:tc>
          <w:tcPr>
            <w:tcW w:w="1134" w:type="dxa"/>
          </w:tcPr>
          <w:p w14:paraId="6C8A7FC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二期</w:t>
            </w:r>
          </w:p>
        </w:tc>
      </w:tr>
    </w:tbl>
    <w:p w14:paraId="35786573">
      <w:pPr>
        <w:pStyle w:val="4"/>
        <w:keepNext/>
        <w:spacing w:before="200" w:after="120" w:line="312" w:lineRule="auto"/>
        <w:ind w:firstLine="0"/>
      </w:pPr>
      <w:bookmarkStart w:id="27" w:name="_Toc19771"/>
      <w:r>
        <w:rPr>
          <w:rFonts w:ascii="宋体" w:hAnsi="宋体" w:eastAsia="宋体" w:cs="宋体"/>
          <w:b/>
          <w:i w:val="0"/>
          <w:color w:val="000000"/>
          <w:sz w:val="28"/>
        </w:rPr>
        <w:t>7.2 自下而上测算框架</w:t>
      </w:r>
      <w:bookmarkEnd w:id="27"/>
    </w:p>
    <w:p w14:paraId="734EEC85">
      <w:pPr>
        <w:spacing w:before="20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可服务市场规模 = A 目标客户基数 × B 单客户席位数 × C 可触达比例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              × D 付费转化率 × E 年度客单价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5329"/>
      </w:tblGrid>
      <w:tr w14:paraId="7CD3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0671699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测算项</w:t>
            </w:r>
          </w:p>
        </w:tc>
        <w:tc>
          <w:tcPr>
            <w:tcW w:w="1701" w:type="dxa"/>
            <w:shd w:val="clear" w:color="auto" w:fill="EFEFEF"/>
          </w:tcPr>
          <w:p w14:paraId="2FAD973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取值</w:t>
            </w:r>
          </w:p>
        </w:tc>
        <w:tc>
          <w:tcPr>
            <w:tcW w:w="5329" w:type="dxa"/>
            <w:shd w:val="clear" w:color="auto" w:fill="EFEFEF"/>
          </w:tcPr>
          <w:p w14:paraId="0D1253D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数据来源 / 说明</w:t>
            </w:r>
          </w:p>
        </w:tc>
      </w:tr>
      <w:tr w14:paraId="4DA6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22B472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目标客户基数 A</w:t>
            </w:r>
          </w:p>
        </w:tc>
        <w:tc>
          <w:tcPr>
            <w:tcW w:w="1701" w:type="dxa"/>
          </w:tcPr>
          <w:p w14:paraId="0662456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【待填】家</w:t>
            </w:r>
          </w:p>
        </w:tc>
        <w:tc>
          <w:tcPr>
            <w:tcW w:w="5329" w:type="dxa"/>
          </w:tcPr>
          <w:p w14:paraId="487F6D3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整机厂商与算法公司、开设具身智能方向的高校与院所、创新中心与检测机构；以行业协会名单、院校公开信息、企业公示信息交叉验证</w:t>
            </w:r>
          </w:p>
        </w:tc>
      </w:tr>
      <w:tr w14:paraId="6F49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E585DB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单客户席位需求 B</w:t>
            </w:r>
          </w:p>
        </w:tc>
        <w:tc>
          <w:tcPr>
            <w:tcW w:w="1701" w:type="dxa"/>
          </w:tcPr>
          <w:p w14:paraId="3CDF2B5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【待填】个席位</w:t>
            </w:r>
          </w:p>
        </w:tc>
        <w:tc>
          <w:tcPr>
            <w:tcW w:w="5329" w:type="dxa"/>
          </w:tcPr>
          <w:p w14:paraId="19BB0A4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按团队规模与评测频率估算，高校与厂商建议分两档口径</w:t>
            </w:r>
          </w:p>
        </w:tc>
      </w:tr>
      <w:tr w14:paraId="5B246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43C5C69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可触达比例 C</w:t>
            </w:r>
          </w:p>
        </w:tc>
        <w:tc>
          <w:tcPr>
            <w:tcW w:w="1701" w:type="dxa"/>
          </w:tcPr>
          <w:p w14:paraId="2ED8A31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【待填】%</w:t>
            </w:r>
          </w:p>
        </w:tc>
        <w:tc>
          <w:tcPr>
            <w:tcW w:w="5329" w:type="dxa"/>
          </w:tcPr>
          <w:p w14:paraId="00F06A4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通过开源社区、学术会议、创新中心渠道可触达</w:t>
            </w:r>
          </w:p>
        </w:tc>
      </w:tr>
      <w:tr w14:paraId="0AF9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58FE7E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付费转化率 D</w:t>
            </w:r>
          </w:p>
        </w:tc>
        <w:tc>
          <w:tcPr>
            <w:tcW w:w="1701" w:type="dxa"/>
          </w:tcPr>
          <w:p w14:paraId="0CDA668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【待填】%</w:t>
            </w:r>
          </w:p>
        </w:tc>
        <w:tc>
          <w:tcPr>
            <w:tcW w:w="5329" w:type="dxa"/>
          </w:tcPr>
          <w:p w14:paraId="2CFF3B2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建议保守取值 3%–8%，需说明依据</w:t>
            </w:r>
          </w:p>
        </w:tc>
      </w:tr>
      <w:tr w14:paraId="2769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4EE45C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年度客单价 E</w:t>
            </w:r>
          </w:p>
        </w:tc>
        <w:tc>
          <w:tcPr>
            <w:tcW w:w="1701" w:type="dxa"/>
          </w:tcPr>
          <w:p w14:paraId="7770B2D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【待填】元 / 席位 · 年</w:t>
            </w:r>
          </w:p>
        </w:tc>
        <w:tc>
          <w:tcPr>
            <w:tcW w:w="5329" w:type="dxa"/>
          </w:tcPr>
          <w:p w14:paraId="5C81263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平台订阅 + 私有化摊销 + 评测服务合计口径；须同时给出"客户目前的适配与评测成本"作为参照基准</w:t>
            </w:r>
          </w:p>
        </w:tc>
      </w:tr>
    </w:tbl>
    <w:p w14:paraId="477A992B">
      <w:pPr>
        <w:pStyle w:val="4"/>
        <w:keepNext/>
        <w:spacing w:before="200" w:after="120" w:line="312" w:lineRule="auto"/>
        <w:ind w:firstLine="0"/>
      </w:pPr>
      <w:bookmarkStart w:id="28" w:name="_Toc18674"/>
      <w:r>
        <w:rPr>
          <w:rFonts w:ascii="宋体" w:hAnsi="宋体" w:eastAsia="宋体" w:cs="宋体"/>
          <w:b/>
          <w:i w:val="0"/>
          <w:color w:val="000000"/>
          <w:sz w:val="28"/>
        </w:rPr>
        <w:t>7.3 滩头战略</w:t>
      </w:r>
      <w:bookmarkEnd w:id="2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154"/>
        <w:gridCol w:w="3628"/>
        <w:gridCol w:w="1928"/>
      </w:tblGrid>
      <w:tr w14:paraId="1728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FEFEF"/>
          </w:tcPr>
          <w:p w14:paraId="5F50F314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阶段</w:t>
            </w:r>
          </w:p>
        </w:tc>
        <w:tc>
          <w:tcPr>
            <w:tcW w:w="2154" w:type="dxa"/>
            <w:shd w:val="clear" w:color="auto" w:fill="EFEFEF"/>
          </w:tcPr>
          <w:p w14:paraId="0DA1FA57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滩头目标</w:t>
            </w:r>
          </w:p>
        </w:tc>
        <w:tc>
          <w:tcPr>
            <w:tcW w:w="3628" w:type="dxa"/>
            <w:shd w:val="clear" w:color="auto" w:fill="EFEFEF"/>
          </w:tcPr>
          <w:p w14:paraId="6FC3F24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选择理由</w:t>
            </w:r>
          </w:p>
        </w:tc>
        <w:tc>
          <w:tcPr>
            <w:tcW w:w="1928" w:type="dxa"/>
            <w:shd w:val="clear" w:color="auto" w:fill="EFEFEF"/>
          </w:tcPr>
          <w:p w14:paraId="3E82DCE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成功标志</w:t>
            </w:r>
          </w:p>
        </w:tc>
      </w:tr>
      <w:tr w14:paraId="1EA41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15C674E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第一阶段</w:t>
            </w:r>
          </w:p>
        </w:tc>
        <w:tc>
          <w:tcPr>
            <w:tcW w:w="2154" w:type="dxa"/>
          </w:tcPr>
          <w:p w14:paraId="72E27EE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高校与科研院所具身智能实验室</w:t>
            </w:r>
          </w:p>
        </w:tc>
        <w:tc>
          <w:tcPr>
            <w:tcW w:w="3628" w:type="dxa"/>
          </w:tcPr>
          <w:p w14:paraId="5DA97BE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痛点最清楚、决策链最短、开源内核即可触达；这批人未来进入厂商，是最早的口碑来源</w:t>
            </w:r>
          </w:p>
        </w:tc>
        <w:tc>
          <w:tcPr>
            <w:tcW w:w="1928" w:type="dxa"/>
          </w:tcPr>
          <w:p w14:paraId="0C65B1F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活跃实验室用户数、社区贡献数</w:t>
            </w:r>
          </w:p>
        </w:tc>
      </w:tr>
      <w:tr w14:paraId="734F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4CC4B67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第二阶段</w:t>
            </w:r>
          </w:p>
        </w:tc>
        <w:tc>
          <w:tcPr>
            <w:tcW w:w="2154" w:type="dxa"/>
          </w:tcPr>
          <w:p w14:paraId="605E307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整机厂商算法团队</w:t>
            </w:r>
          </w:p>
        </w:tc>
        <w:tc>
          <w:tcPr>
            <w:tcW w:w="3628" w:type="dxa"/>
          </w:tcPr>
          <w:p w14:paraId="0D096EA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需求从科研转为工程，时间成本可直接折算为研发投入</w:t>
            </w:r>
          </w:p>
        </w:tc>
        <w:tc>
          <w:tcPr>
            <w:tcW w:w="1928" w:type="dxa"/>
          </w:tcPr>
          <w:p w14:paraId="3F52F30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付费席位数量、接入工时下降实测</w:t>
            </w:r>
          </w:p>
        </w:tc>
      </w:tr>
      <w:tr w14:paraId="1A6C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59E9559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第三阶段</w:t>
            </w:r>
          </w:p>
        </w:tc>
        <w:tc>
          <w:tcPr>
            <w:tcW w:w="2154" w:type="dxa"/>
          </w:tcPr>
          <w:p w14:paraId="39C8AEF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创新中心、检测机构与集成商，评测标准与认证服务</w:t>
            </w:r>
          </w:p>
        </w:tc>
        <w:tc>
          <w:tcPr>
            <w:tcW w:w="3628" w:type="dxa"/>
          </w:tcPr>
          <w:p w14:paraId="4C1D50E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单项目金额高、竞争少；一旦成为准入口径即形成标准壁垒</w:t>
            </w:r>
          </w:p>
        </w:tc>
        <w:tc>
          <w:tcPr>
            <w:tcW w:w="1928" w:type="dxa"/>
          </w:tcPr>
          <w:p w14:paraId="55E28CA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政府采购或测评合同、参与标准制定</w:t>
            </w:r>
          </w:p>
        </w:tc>
      </w:tr>
    </w:tbl>
    <w:p w14:paraId="0B81CEAC">
      <w:pPr>
        <w:pStyle w:val="3"/>
        <w:keepNext/>
        <w:pageBreakBefore/>
        <w:spacing w:before="280" w:after="120" w:line="312" w:lineRule="auto"/>
        <w:ind w:firstLine="0"/>
      </w:pPr>
      <w:bookmarkStart w:id="29" w:name="_Toc10167"/>
      <w:r>
        <w:rPr>
          <w:rFonts w:ascii="宋体" w:hAnsi="宋体" w:eastAsia="宋体" w:cs="宋体"/>
          <w:b/>
          <w:i w:val="0"/>
          <w:color w:val="000000"/>
          <w:sz w:val="32"/>
        </w:rPr>
        <w:t>第八章  商业模式</w:t>
      </w:r>
      <w:bookmarkEnd w:id="29"/>
    </w:p>
    <w:p w14:paraId="19BAC591">
      <w:pPr>
        <w:pStyle w:val="4"/>
        <w:keepNext/>
        <w:spacing w:before="200" w:after="120" w:line="312" w:lineRule="auto"/>
        <w:ind w:firstLine="0"/>
      </w:pPr>
      <w:bookmarkStart w:id="30" w:name="_Toc27163"/>
      <w:r>
        <w:rPr>
          <w:rFonts w:ascii="宋体" w:hAnsi="宋体" w:eastAsia="宋体" w:cs="宋体"/>
          <w:b/>
          <w:i w:val="0"/>
          <w:color w:val="000000"/>
          <w:sz w:val="28"/>
        </w:rPr>
        <w:t>8.1 商业模式画布（精简）</w:t>
      </w:r>
      <w:bookmarkEnd w:id="3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370"/>
      </w:tblGrid>
      <w:tr w14:paraId="3DFFC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FEFEF"/>
          </w:tcPr>
          <w:p w14:paraId="7B93C54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画布模块</w:t>
            </w:r>
          </w:p>
        </w:tc>
        <w:tc>
          <w:tcPr>
            <w:tcW w:w="7370" w:type="dxa"/>
            <w:shd w:val="clear" w:color="auto" w:fill="EFEFEF"/>
          </w:tcPr>
          <w:p w14:paraId="3FC3DDF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内容</w:t>
            </w:r>
          </w:p>
        </w:tc>
      </w:tr>
      <w:tr w14:paraId="52F4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0BC1822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客户细分</w:t>
            </w:r>
          </w:p>
        </w:tc>
        <w:tc>
          <w:tcPr>
            <w:tcW w:w="7370" w:type="dxa"/>
          </w:tcPr>
          <w:p w14:paraId="69FDF96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高校与科研院所实验室、整机厂商算法团队、创新中心与检测机构、机器人集成商、大模型公司具身部门、仿真器与机器人软件厂商</w:t>
            </w:r>
          </w:p>
        </w:tc>
      </w:tr>
      <w:tr w14:paraId="51986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5221F79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价值主张</w:t>
            </w:r>
          </w:p>
        </w:tc>
        <w:tc>
          <w:tcPr>
            <w:tcW w:w="7370" w:type="dxa"/>
          </w:tcPr>
          <w:p w14:paraId="315874C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对实验室：实验可复现、换本体不用重做、失败能被定位。对厂商：接入工时大幅下降，迭代从"数天一轮"变成"数十分钟一轮"。对机构：拿到中立、可复现、可复核的测评手段与标准草案支撑。</w:t>
            </w:r>
          </w:p>
        </w:tc>
      </w:tr>
      <w:tr w14:paraId="3350C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F6BAA2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渠道通路</w:t>
            </w:r>
          </w:p>
        </w:tc>
        <w:tc>
          <w:tcPr>
            <w:tcW w:w="7370" w:type="dxa"/>
          </w:tcPr>
          <w:p w14:paraId="2E672E1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开源内核与社区、高校种子用户与口碑、创新中心与检测机构共建、行业展会与技术宣讲、仿真器厂商预装与合作</w:t>
            </w:r>
          </w:p>
        </w:tc>
      </w:tr>
      <w:tr w14:paraId="09649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29C7D7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收入来源</w:t>
            </w:r>
          </w:p>
        </w:tc>
        <w:tc>
          <w:tcPr>
            <w:tcW w:w="7370" w:type="dxa"/>
          </w:tcPr>
          <w:p w14:paraId="4EF7918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平台订阅、企业版与私有化部署、标准化评测与认证服务、定制开发与联合基准建设</w:t>
            </w:r>
          </w:p>
        </w:tc>
      </w:tr>
      <w:tr w14:paraId="7205F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7494E73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核心资源</w:t>
            </w:r>
          </w:p>
        </w:tc>
        <w:tc>
          <w:tcPr>
            <w:tcW w:w="7370" w:type="dxa"/>
          </w:tcPr>
          <w:p w14:paraId="27F56C7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技能抽象与验证闭环专利、技能库与失败模式库、标准化任务集与评测协议、跨领域团队</w:t>
            </w:r>
          </w:p>
        </w:tc>
      </w:tr>
      <w:tr w14:paraId="255CE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4647449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成本结构</w:t>
            </w:r>
          </w:p>
        </w:tc>
        <w:tc>
          <w:tcPr>
            <w:tcW w:w="7370" w:type="dxa"/>
          </w:tcPr>
          <w:p w14:paraId="3289784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研发人力（学生团队成本优势）、算力与仿真软件许可、真机与耗材、标注、社区与市场、知识产权与合规</w:t>
            </w:r>
          </w:p>
        </w:tc>
      </w:tr>
    </w:tbl>
    <w:p w14:paraId="7467EAE7">
      <w:pPr>
        <w:pStyle w:val="4"/>
        <w:keepNext/>
        <w:spacing w:before="200" w:after="120" w:line="312" w:lineRule="auto"/>
        <w:ind w:firstLine="0"/>
      </w:pPr>
      <w:bookmarkStart w:id="31" w:name="_Toc18827"/>
      <w:r>
        <w:rPr>
          <w:rFonts w:ascii="宋体" w:hAnsi="宋体" w:eastAsia="宋体" w:cs="宋体"/>
          <w:b/>
          <w:i w:val="0"/>
          <w:color w:val="000000"/>
          <w:sz w:val="28"/>
        </w:rPr>
        <w:t>8.2 四层收入结构</w:t>
      </w:r>
      <w:bookmarkEnd w:id="3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2297"/>
        <w:gridCol w:w="1789"/>
        <w:gridCol w:w="1619"/>
        <w:gridCol w:w="2502"/>
      </w:tblGrid>
      <w:tr w14:paraId="506C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EFEFEF"/>
          </w:tcPr>
          <w:p w14:paraId="317BC0D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层级</w:t>
            </w:r>
          </w:p>
        </w:tc>
        <w:tc>
          <w:tcPr>
            <w:tcW w:w="2494" w:type="dxa"/>
            <w:shd w:val="clear" w:color="auto" w:fill="EFEFEF"/>
          </w:tcPr>
          <w:p w14:paraId="79860C7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产品形态</w:t>
            </w:r>
          </w:p>
        </w:tc>
        <w:tc>
          <w:tcPr>
            <w:tcW w:w="1928" w:type="dxa"/>
            <w:shd w:val="clear" w:color="auto" w:fill="EFEFEF"/>
          </w:tcPr>
          <w:p w14:paraId="6B1C5F16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目标客户</w:t>
            </w:r>
          </w:p>
        </w:tc>
        <w:tc>
          <w:tcPr>
            <w:tcW w:w="1701" w:type="dxa"/>
            <w:shd w:val="clear" w:color="auto" w:fill="EFEFEF"/>
          </w:tcPr>
          <w:p w14:paraId="777AE65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定价</w:t>
            </w:r>
          </w:p>
        </w:tc>
        <w:tc>
          <w:tcPr>
            <w:tcW w:w="2721" w:type="dxa"/>
            <w:shd w:val="clear" w:color="auto" w:fill="EFEFEF"/>
          </w:tcPr>
          <w:p w14:paraId="2825F202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战略作用</w:t>
            </w:r>
          </w:p>
        </w:tc>
      </w:tr>
      <w:tr w14:paraId="76DA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0FEF4AF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开源层</w:t>
            </w:r>
          </w:p>
        </w:tc>
        <w:tc>
          <w:tcPr>
            <w:tcW w:w="2494" w:type="dxa"/>
          </w:tcPr>
          <w:p w14:paraId="4465474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开源内核（单机、单仿真器、有限任务量）</w:t>
            </w:r>
          </w:p>
        </w:tc>
        <w:tc>
          <w:tcPr>
            <w:tcW w:w="1928" w:type="dxa"/>
          </w:tcPr>
          <w:p w14:paraId="4DBB55C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高校实验室、个人研究者</w:t>
            </w:r>
          </w:p>
        </w:tc>
        <w:tc>
          <w:tcPr>
            <w:tcW w:w="1701" w:type="dxa"/>
          </w:tcPr>
          <w:p w14:paraId="7A71C54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免费</w:t>
            </w:r>
          </w:p>
        </w:tc>
        <w:tc>
          <w:tcPr>
            <w:tcW w:w="2721" w:type="dxa"/>
          </w:tcPr>
          <w:p w14:paraId="0A4CD49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获客与生态：把技能格式与评测协议装进用户工作流</w:t>
            </w:r>
          </w:p>
        </w:tc>
      </w:tr>
      <w:tr w14:paraId="124B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57E3E91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平台层</w:t>
            </w:r>
          </w:p>
        </w:tc>
        <w:tc>
          <w:tcPr>
            <w:tcW w:w="2494" w:type="dxa"/>
          </w:tcPr>
          <w:p w14:paraId="3E6264D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评测云平台订阅（席位 + 任务量）</w:t>
            </w:r>
          </w:p>
        </w:tc>
        <w:tc>
          <w:tcPr>
            <w:tcW w:w="1928" w:type="dxa"/>
          </w:tcPr>
          <w:p w14:paraId="698CD9D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高校课题组、厂商算法团队</w:t>
            </w:r>
          </w:p>
        </w:tc>
        <w:tc>
          <w:tcPr>
            <w:tcW w:w="1701" w:type="dxa"/>
          </w:tcPr>
          <w:p w14:paraId="30284FA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【待测算】元 / 席位 · 年</w:t>
            </w:r>
          </w:p>
        </w:tc>
        <w:tc>
          <w:tcPr>
            <w:tcW w:w="2721" w:type="dxa"/>
          </w:tcPr>
          <w:p w14:paraId="29BB97A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现金流主力</w:t>
            </w:r>
          </w:p>
        </w:tc>
      </w:tr>
      <w:tr w14:paraId="286E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2ACB98A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企业层</w:t>
            </w:r>
          </w:p>
        </w:tc>
        <w:tc>
          <w:tcPr>
            <w:tcW w:w="2494" w:type="dxa"/>
          </w:tcPr>
          <w:p w14:paraId="44AF6A2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企业版与私有化部署（本地集群、权限与审计）</w:t>
            </w:r>
          </w:p>
        </w:tc>
        <w:tc>
          <w:tcPr>
            <w:tcW w:w="1928" w:type="dxa"/>
          </w:tcPr>
          <w:p w14:paraId="7E7745A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整机厂商、创新中心</w:t>
            </w:r>
          </w:p>
        </w:tc>
        <w:tc>
          <w:tcPr>
            <w:tcW w:w="1701" w:type="dxa"/>
          </w:tcPr>
          <w:p w14:paraId="65B6391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【待测算】元 / 项目或年</w:t>
            </w:r>
          </w:p>
        </w:tc>
        <w:tc>
          <w:tcPr>
            <w:tcW w:w="2721" w:type="dxa"/>
          </w:tcPr>
          <w:p w14:paraId="0EC6215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高客单价与高替换成本</w:t>
            </w:r>
          </w:p>
        </w:tc>
      </w:tr>
      <w:tr w14:paraId="6169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6FAAC81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服务层</w:t>
            </w:r>
          </w:p>
        </w:tc>
        <w:tc>
          <w:tcPr>
            <w:tcW w:w="2494" w:type="dxa"/>
          </w:tcPr>
          <w:p w14:paraId="4953662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标准化评测与认证服务、联合基准</w:t>
            </w:r>
          </w:p>
        </w:tc>
        <w:tc>
          <w:tcPr>
            <w:tcW w:w="1928" w:type="dxa"/>
          </w:tcPr>
          <w:p w14:paraId="20A4BFD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创新中心、检测机构、地方政府</w:t>
            </w:r>
          </w:p>
        </w:tc>
        <w:tc>
          <w:tcPr>
            <w:tcW w:w="1701" w:type="dxa"/>
          </w:tcPr>
          <w:p w14:paraId="2641432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【待测算】元 / 次或项目</w:t>
            </w:r>
          </w:p>
        </w:tc>
        <w:tc>
          <w:tcPr>
            <w:tcW w:w="2721" w:type="dxa"/>
          </w:tcPr>
          <w:p w14:paraId="7FAAA07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公信力与标准壁垒</w:t>
            </w:r>
          </w:p>
        </w:tc>
      </w:tr>
    </w:tbl>
    <w:p w14:paraId="57B4BB00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设计逻辑：开源层铺得开，平台层收得回，企业层赚得多，服务层锁得住；四层共用同一套内核与技能库，边际成本极低。</w:t>
      </w:r>
    </w:p>
    <w:p w14:paraId="63064E24">
      <w:pPr>
        <w:pStyle w:val="4"/>
        <w:keepNext/>
        <w:spacing w:before="200" w:after="120" w:line="312" w:lineRule="auto"/>
        <w:ind w:firstLine="0"/>
      </w:pPr>
      <w:bookmarkStart w:id="32" w:name="_Toc12114"/>
      <w:r>
        <w:rPr>
          <w:rFonts w:ascii="宋体" w:hAnsi="宋体" w:eastAsia="宋体" w:cs="宋体"/>
          <w:b/>
          <w:i w:val="0"/>
          <w:color w:val="000000"/>
          <w:sz w:val="28"/>
        </w:rPr>
        <w:t>8.3 定价对照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28"/>
        <w:gridCol w:w="4422"/>
      </w:tblGrid>
      <w:tr w14:paraId="19DF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FEFEF"/>
          </w:tcPr>
          <w:p w14:paraId="5D66A3E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方案</w:t>
            </w:r>
          </w:p>
        </w:tc>
        <w:tc>
          <w:tcPr>
            <w:tcW w:w="1928" w:type="dxa"/>
            <w:shd w:val="clear" w:color="auto" w:fill="EFEFEF"/>
          </w:tcPr>
          <w:p w14:paraId="3449F73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价格口径</w:t>
            </w:r>
          </w:p>
        </w:tc>
        <w:tc>
          <w:tcPr>
            <w:tcW w:w="4422" w:type="dxa"/>
            <w:shd w:val="clear" w:color="auto" w:fill="EFEFEF"/>
          </w:tcPr>
          <w:p w14:paraId="45CD890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说明</w:t>
            </w:r>
          </w:p>
        </w:tc>
      </w:tr>
      <w:tr w14:paraId="03F2A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758DD85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知行（订阅 + 服务）</w:t>
            </w:r>
          </w:p>
        </w:tc>
        <w:tc>
          <w:tcPr>
            <w:tcW w:w="1928" w:type="dxa"/>
          </w:tcPr>
          <w:p w14:paraId="2367780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【待测算】</w:t>
            </w:r>
          </w:p>
        </w:tc>
        <w:tc>
          <w:tcPr>
            <w:tcW w:w="4422" w:type="dxa"/>
          </w:tcPr>
          <w:p w14:paraId="6316859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开源层低价获客，以企业层与服务层获利</w:t>
            </w:r>
          </w:p>
        </w:tc>
      </w:tr>
      <w:tr w14:paraId="2A60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181EF31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工程师手工适配与脚本</w:t>
            </w:r>
          </w:p>
        </w:tc>
        <w:tc>
          <w:tcPr>
            <w:tcW w:w="1928" w:type="dxa"/>
          </w:tcPr>
          <w:p w14:paraId="2F593EB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【待填】元 / 人日 × 人日数</w:t>
            </w:r>
          </w:p>
        </w:tc>
        <w:tc>
          <w:tcPr>
            <w:tcW w:w="4422" w:type="dxa"/>
          </w:tcPr>
          <w:p w14:paraId="07C7530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需按"每新增一个本体"与"每次模型迭代"两种口径分别折算</w:t>
            </w:r>
          </w:p>
        </w:tc>
      </w:tr>
      <w:tr w14:paraId="6D6FE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648A7EC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商业仿真平台许可</w:t>
            </w:r>
          </w:p>
        </w:tc>
        <w:tc>
          <w:tcPr>
            <w:tcW w:w="1928" w:type="dxa"/>
          </w:tcPr>
          <w:p w14:paraId="04ADF56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【待填】元 / 年 · 节点</w:t>
            </w:r>
          </w:p>
        </w:tc>
        <w:tc>
          <w:tcPr>
            <w:tcW w:w="4422" w:type="dxa"/>
          </w:tcPr>
          <w:p w14:paraId="21206D1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以公开报价为准，需截图存档并记录访问日期</w:t>
            </w:r>
          </w:p>
        </w:tc>
      </w:tr>
    </w:tbl>
    <w:p w14:paraId="67BCD6A7">
      <w:pPr>
        <w:pStyle w:val="4"/>
        <w:keepNext/>
        <w:spacing w:before="200" w:after="120" w:line="312" w:lineRule="auto"/>
        <w:ind w:firstLine="0"/>
      </w:pPr>
      <w:bookmarkStart w:id="33" w:name="_Toc18918"/>
      <w:r>
        <w:rPr>
          <w:rFonts w:ascii="宋体" w:hAnsi="宋体" w:eastAsia="宋体" w:cs="宋体"/>
          <w:b/>
          <w:i w:val="0"/>
          <w:color w:val="000000"/>
          <w:sz w:val="28"/>
        </w:rPr>
        <w:t>8.4 增长飞轮与合规声明</w:t>
      </w:r>
      <w:bookmarkEnd w:id="33"/>
    </w:p>
    <w:p w14:paraId="477470F2">
      <w:pPr>
        <w:spacing w:before="200" w:after="120" w:line="276" w:lineRule="auto"/>
        <w:ind w:left="400" w:firstLine="0"/>
      </w:pPr>
      <w:r>
        <w:rPr>
          <w:rFonts w:ascii="宋体" w:hAnsi="宋体" w:eastAsia="宋体" w:cs="宋体"/>
          <w:b w:val="0"/>
          <w:i w:val="0"/>
          <w:sz w:val="20"/>
        </w:rPr>
        <w:t>开源触达高校与研究者 → 用户贡献技能 / 任务集 / 失败案例 → 资产变厚、诊断更准</w:t>
      </w:r>
      <w:r>
        <w:rPr>
          <w:rFonts w:ascii="宋体" w:hAnsi="宋体" w:eastAsia="宋体" w:cs="宋体"/>
          <w:b w:val="0"/>
          <w:i w:val="0"/>
          <w:sz w:val="20"/>
        </w:rPr>
        <w:br w:type="textWrapping"/>
      </w:r>
      <w:r>
        <w:rPr>
          <w:rFonts w:ascii="宋体" w:hAnsi="宋体" w:eastAsia="宋体" w:cs="宋体"/>
          <w:b w:val="0"/>
          <w:i w:val="0"/>
          <w:sz w:val="20"/>
        </w:rPr>
        <w:t xml:space="preserve">   → 评测结论更可信 → 厂商与机构付费 → 标杆客户与标准参与 → 更多用户与数据 → 回到第二步</w:t>
      </w:r>
    </w:p>
    <w:p w14:paraId="24EF1605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合规声明（不可省略）：① 严格遵守各仿真器与模型的开源 / 商业许可条款，提供许可清单；② 用户任务集、实验配置与真机数据默认归属用户，仅在授权后用于基准建设且支持撤回删除；③ 不采集任何个人信息；④ 提供完全离线的本地部署模式。</w:t>
      </w:r>
    </w:p>
    <w:p w14:paraId="5FA1AD71">
      <w:pPr>
        <w:pStyle w:val="3"/>
        <w:keepNext/>
        <w:pageBreakBefore/>
        <w:spacing w:before="280" w:after="120" w:line="312" w:lineRule="auto"/>
        <w:ind w:firstLine="0"/>
      </w:pPr>
      <w:bookmarkStart w:id="34" w:name="_Toc19939"/>
      <w:r>
        <w:rPr>
          <w:rFonts w:ascii="宋体" w:hAnsi="宋体" w:eastAsia="宋体" w:cs="宋体"/>
          <w:b/>
          <w:i w:val="0"/>
          <w:color w:val="000000"/>
          <w:sz w:val="32"/>
        </w:rPr>
        <w:t>第九章  财务分析</w:t>
      </w:r>
      <w:bookmarkEnd w:id="34"/>
    </w:p>
    <w:p w14:paraId="38BA8753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重要提醒：不要编造收入数字。给出清晰的单位经济模型与保守的客户数量假设，并明确标注哪些是假设、哪些是实际数据。</w:t>
      </w:r>
    </w:p>
    <w:p w14:paraId="3C4DD9C9">
      <w:pPr>
        <w:pStyle w:val="4"/>
        <w:keepNext/>
        <w:spacing w:before="200" w:after="120" w:line="312" w:lineRule="auto"/>
        <w:ind w:firstLine="0"/>
      </w:pPr>
      <w:bookmarkStart w:id="35" w:name="_Toc24684"/>
      <w:r>
        <w:rPr>
          <w:rFonts w:ascii="宋体" w:hAnsi="宋体" w:eastAsia="宋体" w:cs="宋体"/>
          <w:b/>
          <w:i w:val="0"/>
          <w:color w:val="000000"/>
          <w:sz w:val="28"/>
        </w:rPr>
        <w:t>9.1 成本结构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876"/>
        <w:gridCol w:w="2268"/>
      </w:tblGrid>
      <w:tr w14:paraId="0CBB4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20849B6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成本项</w:t>
            </w:r>
          </w:p>
        </w:tc>
        <w:tc>
          <w:tcPr>
            <w:tcW w:w="4876" w:type="dxa"/>
            <w:shd w:val="clear" w:color="auto" w:fill="EFEFEF"/>
          </w:tcPr>
          <w:p w14:paraId="142ABD0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内容</w:t>
            </w:r>
          </w:p>
        </w:tc>
        <w:tc>
          <w:tcPr>
            <w:tcW w:w="2268" w:type="dxa"/>
            <w:shd w:val="clear" w:color="auto" w:fill="EFEFEF"/>
          </w:tcPr>
          <w:p w14:paraId="131E708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性质</w:t>
            </w:r>
          </w:p>
        </w:tc>
      </w:tr>
      <w:tr w14:paraId="645F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A715BA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研发人力</w:t>
            </w:r>
          </w:p>
        </w:tc>
        <w:tc>
          <w:tcPr>
            <w:tcW w:w="4876" w:type="dxa"/>
          </w:tcPr>
          <w:p w14:paraId="112C4BC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学生团队为主，人力成本显著低于商业公司</w:t>
            </w:r>
          </w:p>
        </w:tc>
        <w:tc>
          <w:tcPr>
            <w:tcW w:w="2268" w:type="dxa"/>
          </w:tcPr>
          <w:p w14:paraId="3790BB6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固定，优势项</w:t>
            </w:r>
          </w:p>
        </w:tc>
      </w:tr>
      <w:tr w14:paraId="0151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81E6C3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算力与仿真软件</w:t>
            </w:r>
          </w:p>
        </w:tc>
        <w:tc>
          <w:tcPr>
            <w:tcW w:w="4876" w:type="dxa"/>
          </w:tcPr>
          <w:p w14:paraId="4CA6571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模型推理与批量仿真算力；优先使用学校集群与学生优惠云</w:t>
            </w:r>
          </w:p>
        </w:tc>
        <w:tc>
          <w:tcPr>
            <w:tcW w:w="2268" w:type="dxa"/>
          </w:tcPr>
          <w:p w14:paraId="6A7E07E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可变，随任务量增长</w:t>
            </w:r>
          </w:p>
        </w:tc>
      </w:tr>
      <w:tr w14:paraId="02102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13364D5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真机与耗材</w:t>
            </w:r>
          </w:p>
        </w:tc>
        <w:tc>
          <w:tcPr>
            <w:tcW w:w="4876" w:type="dxa"/>
          </w:tcPr>
          <w:p w14:paraId="794357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桌面级协作机械臂、传感器与标定耗材；优先借测</w:t>
            </w:r>
          </w:p>
        </w:tc>
        <w:tc>
          <w:tcPr>
            <w:tcW w:w="2268" w:type="dxa"/>
          </w:tcPr>
          <w:p w14:paraId="3AA1A4B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一次性为主</w:t>
            </w:r>
          </w:p>
        </w:tc>
      </w:tr>
      <w:tr w14:paraId="2A9B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BCB7D2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数据与标注</w:t>
            </w:r>
          </w:p>
        </w:tc>
        <w:tc>
          <w:tcPr>
            <w:tcW w:w="4876" w:type="dxa"/>
          </w:tcPr>
          <w:p w14:paraId="4B2B8FC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任务集构建与失败原因人工标注（诊断准确率的真值来源）</w:t>
            </w:r>
          </w:p>
        </w:tc>
        <w:tc>
          <w:tcPr>
            <w:tcW w:w="2268" w:type="dxa"/>
          </w:tcPr>
          <w:p w14:paraId="6F90982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验证期集中投入，形成核心资产</w:t>
            </w:r>
          </w:p>
        </w:tc>
      </w:tr>
      <w:tr w14:paraId="15E8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7A63431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知识产权与合规</w:t>
            </w:r>
          </w:p>
        </w:tc>
        <w:tc>
          <w:tcPr>
            <w:tcW w:w="4876" w:type="dxa"/>
          </w:tcPr>
          <w:p w14:paraId="5F9ADAE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软著、专利、查新、许可合规审查</w:t>
            </w:r>
          </w:p>
        </w:tc>
        <w:tc>
          <w:tcPr>
            <w:tcW w:w="2268" w:type="dxa"/>
          </w:tcPr>
          <w:p w14:paraId="422CACE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一次性，金额可控</w:t>
            </w:r>
          </w:p>
        </w:tc>
      </w:tr>
    </w:tbl>
    <w:p w14:paraId="2CF56519">
      <w:pPr>
        <w:pStyle w:val="4"/>
        <w:keepNext/>
        <w:spacing w:before="200" w:after="120" w:line="312" w:lineRule="auto"/>
        <w:ind w:firstLine="0"/>
      </w:pPr>
      <w:bookmarkStart w:id="36" w:name="_Toc16451"/>
      <w:r>
        <w:rPr>
          <w:rFonts w:ascii="宋体" w:hAnsi="宋体" w:eastAsia="宋体" w:cs="宋体"/>
          <w:b/>
          <w:i w:val="0"/>
          <w:color w:val="000000"/>
          <w:sz w:val="28"/>
        </w:rPr>
        <w:t>9.2 三年发展规划与收入预期</w:t>
      </w:r>
      <w:bookmarkEnd w:id="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587"/>
        <w:gridCol w:w="3742"/>
        <w:gridCol w:w="2268"/>
      </w:tblGrid>
      <w:tr w14:paraId="3877C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FEFEF"/>
          </w:tcPr>
          <w:p w14:paraId="6581FB6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年度</w:t>
            </w:r>
          </w:p>
        </w:tc>
        <w:tc>
          <w:tcPr>
            <w:tcW w:w="1587" w:type="dxa"/>
            <w:shd w:val="clear" w:color="auto" w:fill="EFEFEF"/>
          </w:tcPr>
          <w:p w14:paraId="4163319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阶段定位</w:t>
            </w:r>
          </w:p>
        </w:tc>
        <w:tc>
          <w:tcPr>
            <w:tcW w:w="3742" w:type="dxa"/>
            <w:shd w:val="clear" w:color="auto" w:fill="EFEFEF"/>
          </w:tcPr>
          <w:p w14:paraId="7EA576B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关键动作</w:t>
            </w:r>
          </w:p>
        </w:tc>
        <w:tc>
          <w:tcPr>
            <w:tcW w:w="2268" w:type="dxa"/>
            <w:shd w:val="clear" w:color="auto" w:fill="EFEFEF"/>
          </w:tcPr>
          <w:p w14:paraId="7CD2C99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收入预期</w:t>
            </w:r>
          </w:p>
        </w:tc>
      </w:tr>
      <w:tr w14:paraId="4A50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5D7C86E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 1 年</w:t>
            </w:r>
          </w:p>
        </w:tc>
        <w:tc>
          <w:tcPr>
            <w:tcW w:w="1587" w:type="dxa"/>
          </w:tcPr>
          <w:p w14:paraId="1D5577C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技术验证与滩头突破</w:t>
            </w:r>
          </w:p>
        </w:tc>
        <w:tc>
          <w:tcPr>
            <w:tcW w:w="3742" w:type="dxa"/>
          </w:tcPr>
          <w:p w14:paraId="404B573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完成单仿真器 + 单本体的规划—验证—修复闭环；开源内核发布；拿下 3–5 个高校种子用户</w:t>
            </w:r>
          </w:p>
        </w:tc>
        <w:tc>
          <w:tcPr>
            <w:tcW w:w="2268" w:type="dxa"/>
          </w:tcPr>
          <w:p w14:paraId="6DAFAFA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【待填：以开源获客与经费支持为主，不作激进假设】</w:t>
            </w:r>
          </w:p>
        </w:tc>
      </w:tr>
      <w:tr w14:paraId="2CA8D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1CF7C07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 2 年</w:t>
            </w:r>
          </w:p>
        </w:tc>
        <w:tc>
          <w:tcPr>
            <w:tcW w:w="1587" w:type="dxa"/>
          </w:tcPr>
          <w:p w14:paraId="554FFBE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产品化与规模复制</w:t>
            </w:r>
          </w:p>
        </w:tc>
        <w:tc>
          <w:tcPr>
            <w:tcW w:w="3742" w:type="dxa"/>
          </w:tcPr>
          <w:p w14:paraId="3FF4895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评测云平台上线收费；完成第二个仿真器与第二类本体适配；与 1–2 家厂商或创新中心试点</w:t>
            </w:r>
          </w:p>
        </w:tc>
        <w:tc>
          <w:tcPr>
            <w:tcW w:w="2268" w:type="dxa"/>
          </w:tcPr>
          <w:p w14:paraId="084EFD5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</w:t>
            </w:r>
          </w:p>
        </w:tc>
      </w:tr>
      <w:tr w14:paraId="7B08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</w:tcPr>
          <w:p w14:paraId="3F8B406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 3 年</w:t>
            </w:r>
          </w:p>
        </w:tc>
        <w:tc>
          <w:tcPr>
            <w:tcW w:w="1587" w:type="dxa"/>
          </w:tcPr>
          <w:p w14:paraId="2A87A97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标准建立与横向扩张</w:t>
            </w:r>
          </w:p>
        </w:tc>
        <w:tc>
          <w:tcPr>
            <w:tcW w:w="3742" w:type="dxa"/>
          </w:tcPr>
          <w:p w14:paraId="79CB061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推动评测协议成为创新中心或地方标准参考；提供标准化测评服务</w:t>
            </w:r>
          </w:p>
        </w:tc>
        <w:tc>
          <w:tcPr>
            <w:tcW w:w="2268" w:type="dxa"/>
          </w:tcPr>
          <w:p w14:paraId="7117533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</w:t>
            </w:r>
          </w:p>
        </w:tc>
      </w:tr>
    </w:tbl>
    <w:p w14:paraId="72CDBA7C">
      <w:pPr>
        <w:pStyle w:val="4"/>
        <w:keepNext/>
        <w:spacing w:before="200" w:after="120" w:line="312" w:lineRule="auto"/>
        <w:ind w:firstLine="0"/>
      </w:pPr>
      <w:bookmarkStart w:id="37" w:name="_Toc16796"/>
      <w:r>
        <w:rPr>
          <w:rFonts w:ascii="宋体" w:hAnsi="宋体" w:eastAsia="宋体" w:cs="宋体"/>
          <w:b/>
          <w:i w:val="0"/>
          <w:color w:val="000000"/>
          <w:sz w:val="28"/>
        </w:rPr>
        <w:t>9.3 单位经济模型（关键假设）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94"/>
        <w:gridCol w:w="4309"/>
      </w:tblGrid>
      <w:tr w14:paraId="5A64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FEFEF"/>
          </w:tcPr>
          <w:p w14:paraId="305C885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指标</w:t>
            </w:r>
          </w:p>
        </w:tc>
        <w:tc>
          <w:tcPr>
            <w:tcW w:w="2494" w:type="dxa"/>
            <w:shd w:val="clear" w:color="auto" w:fill="EFEFEF"/>
          </w:tcPr>
          <w:p w14:paraId="549F626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取值</w:t>
            </w:r>
          </w:p>
        </w:tc>
        <w:tc>
          <w:tcPr>
            <w:tcW w:w="4309" w:type="dxa"/>
            <w:shd w:val="clear" w:color="auto" w:fill="EFEFEF"/>
          </w:tcPr>
          <w:p w14:paraId="0519198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说明与依据</w:t>
            </w:r>
          </w:p>
        </w:tc>
      </w:tr>
      <w:tr w14:paraId="08A4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D550E6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单席位年度收入</w:t>
            </w:r>
          </w:p>
        </w:tc>
        <w:tc>
          <w:tcPr>
            <w:tcW w:w="2494" w:type="dxa"/>
          </w:tcPr>
          <w:p w14:paraId="7F2921A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【待填】元</w:t>
            </w:r>
          </w:p>
        </w:tc>
        <w:tc>
          <w:tcPr>
            <w:tcW w:w="4309" w:type="dxa"/>
          </w:tcPr>
          <w:p w14:paraId="34240FF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平台订阅 + 私有化摊销 + 评测服务分摊</w:t>
            </w:r>
          </w:p>
        </w:tc>
      </w:tr>
      <w:tr w14:paraId="1111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7E1FEB0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单席位边际成本</w:t>
            </w:r>
          </w:p>
        </w:tc>
        <w:tc>
          <w:tcPr>
            <w:tcW w:w="2494" w:type="dxa"/>
          </w:tcPr>
          <w:p w14:paraId="3838E10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【待填】元</w:t>
            </w:r>
          </w:p>
        </w:tc>
        <w:tc>
          <w:tcPr>
            <w:tcW w:w="4309" w:type="dxa"/>
          </w:tcPr>
          <w:p w14:paraId="42EF7C5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算力与存储为主，软件边际成本近零</w:t>
            </w:r>
          </w:p>
        </w:tc>
      </w:tr>
      <w:tr w14:paraId="7495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1E8E8C5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毛利率</w:t>
            </w:r>
          </w:p>
        </w:tc>
        <w:tc>
          <w:tcPr>
            <w:tcW w:w="2494" w:type="dxa"/>
          </w:tcPr>
          <w:p w14:paraId="7AA9DC6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【待填】%</w:t>
            </w:r>
          </w:p>
        </w:tc>
        <w:tc>
          <w:tcPr>
            <w:tcW w:w="4309" w:type="dxa"/>
          </w:tcPr>
          <w:p w14:paraId="70EBC88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需扣除算力与真机验证成本后测算</w:t>
            </w:r>
          </w:p>
        </w:tc>
      </w:tr>
      <w:tr w14:paraId="1215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6FB8B2D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获客成本</w:t>
            </w:r>
          </w:p>
        </w:tc>
        <w:tc>
          <w:tcPr>
            <w:tcW w:w="2494" w:type="dxa"/>
          </w:tcPr>
          <w:p w14:paraId="031619A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【待填】元</w:t>
            </w:r>
          </w:p>
        </w:tc>
        <w:tc>
          <w:tcPr>
            <w:tcW w:w="4309" w:type="dxa"/>
          </w:tcPr>
          <w:p w14:paraId="502CF27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以开源社区、学术会议与标杆案例为主</w:t>
            </w:r>
          </w:p>
        </w:tc>
      </w:tr>
      <w:tr w14:paraId="5831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478D4E0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客户生命周期</w:t>
            </w:r>
          </w:p>
        </w:tc>
        <w:tc>
          <w:tcPr>
            <w:tcW w:w="2494" w:type="dxa"/>
          </w:tcPr>
          <w:p w14:paraId="7D33870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【待填】年</w:t>
            </w:r>
          </w:p>
        </w:tc>
        <w:tc>
          <w:tcPr>
            <w:tcW w:w="4309" w:type="dxa"/>
          </w:tcPr>
          <w:p w14:paraId="282D01D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订阅制；需给出续费率假设</w:t>
            </w:r>
          </w:p>
        </w:tc>
      </w:tr>
      <w:tr w14:paraId="4E3AE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</w:tcPr>
          <w:p w14:paraId="72B54D3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回本周期</w:t>
            </w:r>
          </w:p>
        </w:tc>
        <w:tc>
          <w:tcPr>
            <w:tcW w:w="2494" w:type="dxa"/>
          </w:tcPr>
          <w:p w14:paraId="2197AFF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【待填】月</w:t>
            </w:r>
          </w:p>
        </w:tc>
        <w:tc>
          <w:tcPr>
            <w:tcW w:w="4309" w:type="dxa"/>
          </w:tcPr>
          <w:p w14:paraId="1C716CF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获客成本 ÷ 月均毛利</w:t>
            </w:r>
          </w:p>
        </w:tc>
      </w:tr>
    </w:tbl>
    <w:p w14:paraId="5B324DDA">
      <w:pPr>
        <w:pStyle w:val="3"/>
        <w:keepNext/>
        <w:pageBreakBefore/>
        <w:spacing w:before="280" w:after="120" w:line="312" w:lineRule="auto"/>
        <w:ind w:firstLine="0"/>
      </w:pPr>
      <w:bookmarkStart w:id="38" w:name="_Toc25954"/>
      <w:r>
        <w:rPr>
          <w:rFonts w:ascii="宋体" w:hAnsi="宋体" w:eastAsia="宋体" w:cs="宋体"/>
          <w:b/>
          <w:i w:val="0"/>
          <w:color w:val="000000"/>
          <w:sz w:val="32"/>
        </w:rPr>
        <w:t>第十章  团队</w:t>
      </w:r>
      <w:bookmarkEnd w:id="38"/>
    </w:p>
    <w:p w14:paraId="58E8EB34">
      <w:pPr>
        <w:pStyle w:val="4"/>
        <w:keepNext/>
        <w:spacing w:before="200" w:after="120" w:line="312" w:lineRule="auto"/>
        <w:ind w:firstLine="0"/>
      </w:pPr>
      <w:bookmarkStart w:id="39" w:name="_Toc9040"/>
      <w:r>
        <w:rPr>
          <w:rFonts w:ascii="宋体" w:hAnsi="宋体" w:eastAsia="宋体" w:cs="宋体"/>
          <w:b/>
          <w:i w:val="0"/>
          <w:color w:val="000000"/>
          <w:sz w:val="28"/>
        </w:rPr>
        <w:t>10.1 团队构成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020"/>
        <w:gridCol w:w="4989"/>
        <w:gridCol w:w="1247"/>
      </w:tblGrid>
      <w:tr w14:paraId="64001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FEFEF"/>
          </w:tcPr>
          <w:p w14:paraId="6358964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组别</w:t>
            </w:r>
          </w:p>
        </w:tc>
        <w:tc>
          <w:tcPr>
            <w:tcW w:w="1020" w:type="dxa"/>
            <w:shd w:val="clear" w:color="auto" w:fill="EFEFEF"/>
          </w:tcPr>
          <w:p w14:paraId="6A09DAE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人数</w:t>
            </w:r>
          </w:p>
        </w:tc>
        <w:tc>
          <w:tcPr>
            <w:tcW w:w="4989" w:type="dxa"/>
            <w:shd w:val="clear" w:color="auto" w:fill="EFEFEF"/>
          </w:tcPr>
          <w:p w14:paraId="723046E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核心职责</w:t>
            </w:r>
          </w:p>
        </w:tc>
        <w:tc>
          <w:tcPr>
            <w:tcW w:w="1247" w:type="dxa"/>
            <w:shd w:val="clear" w:color="auto" w:fill="EFEFEF"/>
          </w:tcPr>
          <w:p w14:paraId="74939B7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负责人</w:t>
            </w:r>
          </w:p>
        </w:tc>
      </w:tr>
      <w:tr w14:paraId="7A5A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4803479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规划与算法组</w:t>
            </w:r>
          </w:p>
        </w:tc>
        <w:tc>
          <w:tcPr>
            <w:tcW w:w="1020" w:type="dxa"/>
          </w:tcPr>
          <w:p w14:paraId="5370F10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w="4989" w:type="dxa"/>
          </w:tcPr>
          <w:p w14:paraId="05D6361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任务分解、计划可满足性判定、失败诊断与修复策略</w:t>
            </w:r>
          </w:p>
        </w:tc>
        <w:tc>
          <w:tcPr>
            <w:tcW w:w="1247" w:type="dxa"/>
          </w:tcPr>
          <w:p w14:paraId="5486671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</w:t>
            </w:r>
          </w:p>
        </w:tc>
      </w:tr>
      <w:tr w14:paraId="3400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76F7DB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仿真与平台组</w:t>
            </w:r>
          </w:p>
        </w:tc>
        <w:tc>
          <w:tcPr>
            <w:tcW w:w="1020" w:type="dxa"/>
          </w:tcPr>
          <w:p w14:paraId="61A5E7B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w="4989" w:type="dxa"/>
          </w:tcPr>
          <w:p w14:paraId="4948AF7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多仿真器适配、并行批量评测、云平台与可视化</w:t>
            </w:r>
          </w:p>
        </w:tc>
        <w:tc>
          <w:tcPr>
            <w:tcW w:w="1247" w:type="dxa"/>
          </w:tcPr>
          <w:p w14:paraId="1B45429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</w:t>
            </w:r>
          </w:p>
        </w:tc>
      </w:tr>
      <w:tr w14:paraId="10C3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555D9CB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机器人与硬件组</w:t>
            </w:r>
          </w:p>
        </w:tc>
        <w:tc>
          <w:tcPr>
            <w:tcW w:w="1020" w:type="dxa"/>
          </w:tcPr>
          <w:p w14:paraId="7C90F05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1–2</w:t>
            </w:r>
          </w:p>
        </w:tc>
        <w:tc>
          <w:tcPr>
            <w:tcW w:w="4989" w:type="dxa"/>
          </w:tcPr>
          <w:p w14:paraId="12E6093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ROS 2 接入与真机联调、本体能力模型与参数标定</w:t>
            </w:r>
          </w:p>
        </w:tc>
        <w:tc>
          <w:tcPr>
            <w:tcW w:w="1247" w:type="dxa"/>
          </w:tcPr>
          <w:p w14:paraId="4A7C592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</w:t>
            </w:r>
          </w:p>
        </w:tc>
      </w:tr>
      <w:tr w14:paraId="66050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61980A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数据与评测组</w:t>
            </w:r>
          </w:p>
        </w:tc>
        <w:tc>
          <w:tcPr>
            <w:tcW w:w="1020" w:type="dxa"/>
          </w:tcPr>
          <w:p w14:paraId="27CFEA1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</w:t>
            </w:r>
          </w:p>
        </w:tc>
        <w:tc>
          <w:tcPr>
            <w:tcW w:w="4989" w:type="dxa"/>
          </w:tcPr>
          <w:p w14:paraId="6EF71B6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任务集构建、六项指标与统计、失败标注、基准发布</w:t>
            </w:r>
          </w:p>
        </w:tc>
        <w:tc>
          <w:tcPr>
            <w:tcW w:w="1247" w:type="dxa"/>
          </w:tcPr>
          <w:p w14:paraId="5313E86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</w:t>
            </w:r>
          </w:p>
        </w:tc>
      </w:tr>
      <w:tr w14:paraId="06E95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3991EDE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商业组</w:t>
            </w:r>
          </w:p>
        </w:tc>
        <w:tc>
          <w:tcPr>
            <w:tcW w:w="1020" w:type="dxa"/>
          </w:tcPr>
          <w:p w14:paraId="514B500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1–2</w:t>
            </w:r>
          </w:p>
        </w:tc>
        <w:tc>
          <w:tcPr>
            <w:tcW w:w="4989" w:type="dxa"/>
          </w:tcPr>
          <w:p w14:paraId="62F7445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市场调研与访谈、商业计划书与答辩、财务、机构对接</w:t>
            </w:r>
          </w:p>
        </w:tc>
        <w:tc>
          <w:tcPr>
            <w:tcW w:w="1247" w:type="dxa"/>
          </w:tcPr>
          <w:p w14:paraId="34739B7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【待填】</w:t>
            </w:r>
          </w:p>
        </w:tc>
      </w:tr>
      <w:tr w14:paraId="4E67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C8F126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合计</w:t>
            </w:r>
          </w:p>
        </w:tc>
        <w:tc>
          <w:tcPr>
            <w:tcW w:w="1020" w:type="dxa"/>
          </w:tcPr>
          <w:p w14:paraId="7716BA7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7（区间 6–8）</w:t>
            </w:r>
          </w:p>
        </w:tc>
        <w:tc>
          <w:tcPr>
            <w:tcW w:w="4989" w:type="dxa"/>
          </w:tcPr>
          <w:p w14:paraId="53DB9CE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一人多岗、无冗余配置；指导教师 2 位分别把关机器人方向与 AI 方向</w:t>
            </w:r>
          </w:p>
        </w:tc>
        <w:tc>
          <w:tcPr>
            <w:tcW w:w="1247" w:type="dxa"/>
          </w:tcPr>
          <w:p w14:paraId="29D20C5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</w:tbl>
    <w:p w14:paraId="76CC18C3">
      <w:pPr>
        <w:pStyle w:val="4"/>
        <w:keepNext/>
        <w:spacing w:before="200" w:after="120" w:line="312" w:lineRule="auto"/>
        <w:ind w:firstLine="0"/>
      </w:pPr>
      <w:bookmarkStart w:id="40" w:name="_Toc19384"/>
      <w:r>
        <w:rPr>
          <w:rFonts w:ascii="宋体" w:hAnsi="宋体" w:eastAsia="宋体" w:cs="宋体"/>
          <w:b/>
          <w:i w:val="0"/>
          <w:color w:val="000000"/>
          <w:sz w:val="28"/>
        </w:rPr>
        <w:t>10.2 团队优势</w:t>
      </w:r>
      <w:bookmarkEnd w:id="40"/>
    </w:p>
    <w:p w14:paraId="4D10C1CE">
      <w:pPr>
        <w:pStyle w:val="16"/>
        <w:spacing w:before="12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跨学科精干配置：覆盖规划、仿真平台、真机、数据评测与商业五个方向，其中"数据与评测"方向是区别于纯算法团队的关键。</w:t>
      </w:r>
    </w:p>
    <w:p w14:paraId="6087DF53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一人多岗、决策链极短：从算法改动到仿真验证可在一小时内闭环。</w:t>
      </w:r>
    </w:p>
    <w:p w14:paraId="40693569">
      <w:pPr>
        <w:pStyle w:val="16"/>
        <w:spacing w:before="0" w:after="60" w:line="312" w:lineRule="auto"/>
        <w:ind w:left="480" w:firstLine="0"/>
      </w:pPr>
      <w:r>
        <w:rPr>
          <w:rFonts w:ascii="宋体" w:hAnsi="宋体" w:eastAsia="宋体" w:cs="宋体"/>
          <w:b w:val="0"/>
          <w:i w:val="0"/>
          <w:sz w:val="24"/>
        </w:rPr>
        <w:t>不做重复造轮子：仿真器、运动规划、大模型全部使用成熟开源组件，创新集中于技能抽象与验证闭环。</w:t>
      </w:r>
    </w:p>
    <w:p w14:paraId="1B82A4AB">
      <w:pPr>
        <w:pStyle w:val="4"/>
        <w:keepNext/>
        <w:spacing w:before="200" w:after="120" w:line="312" w:lineRule="auto"/>
        <w:ind w:firstLine="0"/>
      </w:pPr>
      <w:bookmarkStart w:id="41" w:name="_Toc21012"/>
      <w:r>
        <w:rPr>
          <w:rFonts w:ascii="宋体" w:hAnsi="宋体" w:eastAsia="宋体" w:cs="宋体"/>
          <w:b/>
          <w:i w:val="0"/>
          <w:color w:val="000000"/>
          <w:sz w:val="28"/>
        </w:rPr>
        <w:t>10.3 团队风险与应对</w:t>
      </w:r>
      <w:bookmarkEnd w:id="41"/>
    </w:p>
    <w:p w14:paraId="1D73229B">
      <w:pPr>
        <w:keepNext w:val="0"/>
        <w:spacing w:before="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风险：仅 6–8 人而能力要求跨领域，核心成员退出会影响进度；真机资源与算力若不到位，迁移性验证会受阻。应对：关键模块文档化与脚本化，避免能力集中于单点；真机验证用小样本 + 借测，不把关键路径押在自有硬件上；两位指导教师分别把关机器人方向与 AI 方向。</w:t>
      </w:r>
    </w:p>
    <w:p w14:paraId="7BC529EB">
      <w:pPr>
        <w:pStyle w:val="3"/>
        <w:keepNext/>
        <w:pageBreakBefore/>
        <w:spacing w:before="280" w:after="120" w:line="312" w:lineRule="auto"/>
        <w:ind w:firstLine="0"/>
      </w:pPr>
      <w:bookmarkStart w:id="42" w:name="_Toc3507"/>
      <w:r>
        <w:rPr>
          <w:rFonts w:ascii="宋体" w:hAnsi="宋体" w:eastAsia="宋体" w:cs="宋体"/>
          <w:b/>
          <w:i w:val="0"/>
          <w:color w:val="000000"/>
          <w:sz w:val="32"/>
        </w:rPr>
        <w:t>第十一章  发展规划</w:t>
      </w:r>
      <w:bookmarkEnd w:id="42"/>
    </w:p>
    <w:p w14:paraId="428201C4">
      <w:pPr>
        <w:pStyle w:val="4"/>
        <w:keepNext/>
        <w:spacing w:before="200" w:after="120" w:line="312" w:lineRule="auto"/>
        <w:ind w:firstLine="0"/>
      </w:pPr>
      <w:bookmarkStart w:id="43" w:name="_Toc18032"/>
      <w:r>
        <w:rPr>
          <w:rFonts w:ascii="宋体" w:hAnsi="宋体" w:eastAsia="宋体" w:cs="宋体"/>
          <w:b/>
          <w:i w:val="0"/>
          <w:color w:val="000000"/>
          <w:sz w:val="28"/>
        </w:rPr>
        <w:t>11.1 五阶段技术路线图</w:t>
      </w:r>
      <w:bookmarkEnd w:id="4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4"/>
        <w:gridCol w:w="3969"/>
        <w:gridCol w:w="2381"/>
      </w:tblGrid>
      <w:tr w14:paraId="4850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FEFEF"/>
          </w:tcPr>
          <w:p w14:paraId="62DD953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阶段</w:t>
            </w:r>
          </w:p>
        </w:tc>
        <w:tc>
          <w:tcPr>
            <w:tcW w:w="794" w:type="dxa"/>
            <w:shd w:val="clear" w:color="auto" w:fill="EFEFEF"/>
          </w:tcPr>
          <w:p w14:paraId="6EDFAF4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时长</w:t>
            </w:r>
          </w:p>
        </w:tc>
        <w:tc>
          <w:tcPr>
            <w:tcW w:w="3969" w:type="dxa"/>
            <w:shd w:val="clear" w:color="auto" w:fill="EFEFEF"/>
          </w:tcPr>
          <w:p w14:paraId="50A018E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交付物</w:t>
            </w:r>
          </w:p>
        </w:tc>
        <w:tc>
          <w:tcPr>
            <w:tcW w:w="2381" w:type="dxa"/>
            <w:shd w:val="clear" w:color="auto" w:fill="EFEFEF"/>
          </w:tcPr>
          <w:p w14:paraId="03A00BFB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可演示状态</w:t>
            </w:r>
          </w:p>
        </w:tc>
      </w:tr>
      <w:tr w14:paraId="7FE5C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2933CA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P0 调研与需求锁定</w:t>
            </w:r>
          </w:p>
        </w:tc>
        <w:tc>
          <w:tcPr>
            <w:tcW w:w="794" w:type="dxa"/>
          </w:tcPr>
          <w:p w14:paraId="297F96A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个月</w:t>
            </w:r>
          </w:p>
        </w:tc>
        <w:tc>
          <w:tcPr>
            <w:tcW w:w="3969" w:type="dxa"/>
          </w:tcPr>
          <w:p w14:paraId="5CB401F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仿真器与基准盘点、访谈、不可行占比复现统计、许可合规清单</w:t>
            </w:r>
          </w:p>
        </w:tc>
        <w:tc>
          <w:tcPr>
            <w:tcW w:w="2381" w:type="dxa"/>
          </w:tcPr>
          <w:p w14:paraId="6239C4A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需求报告与取证材料</w:t>
            </w:r>
          </w:p>
        </w:tc>
      </w:tr>
      <w:tr w14:paraId="47C2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554D28D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P1 单仿真器 + 单本体 MVP</w:t>
            </w:r>
          </w:p>
        </w:tc>
        <w:tc>
          <w:tcPr>
            <w:tcW w:w="794" w:type="dxa"/>
          </w:tcPr>
          <w:p w14:paraId="3BE9778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 个月</w:t>
            </w:r>
          </w:p>
        </w:tc>
        <w:tc>
          <w:tcPr>
            <w:tcW w:w="3969" w:type="dxa"/>
          </w:tcPr>
          <w:p w14:paraId="0A626CA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技能抽象 v0、本体能力模型、开环规划基线、可执行性判定</w:t>
            </w:r>
          </w:p>
        </w:tc>
        <w:tc>
          <w:tcPr>
            <w:tcW w:w="2381" w:type="dxa"/>
          </w:tcPr>
          <w:p w14:paraId="144046D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可现场演示</w:t>
            </w:r>
          </w:p>
        </w:tc>
      </w:tr>
      <w:tr w14:paraId="1FE9E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22657F5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P2 验证—诊断—修复闭环</w:t>
            </w:r>
          </w:p>
        </w:tc>
        <w:tc>
          <w:tcPr>
            <w:tcW w:w="794" w:type="dxa"/>
          </w:tcPr>
          <w:p w14:paraId="14B11C0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 个月</w:t>
            </w:r>
          </w:p>
        </w:tc>
        <w:tc>
          <w:tcPr>
            <w:tcW w:w="3969" w:type="dxa"/>
          </w:tcPr>
          <w:p w14:paraId="2DE2BA0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失败诊断、反例回灌、三级修复、并行批量评测、失败模式库</w:t>
            </w:r>
          </w:p>
        </w:tc>
        <w:tc>
          <w:tcPr>
            <w:tcW w:w="2381" w:type="dxa"/>
          </w:tcPr>
          <w:p w14:paraId="5459D66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闭环录屏</w:t>
            </w:r>
          </w:p>
        </w:tc>
      </w:tr>
      <w:tr w14:paraId="4DB3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449B857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P3 跨本体与迁移性</w:t>
            </w:r>
          </w:p>
        </w:tc>
        <w:tc>
          <w:tcPr>
            <w:tcW w:w="794" w:type="dxa"/>
          </w:tcPr>
          <w:p w14:paraId="6F76173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 个月</w:t>
            </w:r>
          </w:p>
        </w:tc>
        <w:tc>
          <w:tcPr>
            <w:tcW w:w="3969" w:type="dxa"/>
          </w:tcPr>
          <w:p w14:paraId="0D9FA1D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第二本体接入与复用率实测、第二仿真器适配、真机相关性分析</w:t>
            </w:r>
          </w:p>
        </w:tc>
        <w:tc>
          <w:tcPr>
            <w:tcW w:w="2381" w:type="dxa"/>
          </w:tcPr>
          <w:p w14:paraId="0B446DD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答辩杀手锏</w:t>
            </w:r>
          </w:p>
        </w:tc>
      </w:tr>
      <w:tr w14:paraId="5836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</w:tcPr>
          <w:p w14:paraId="09F747D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P4 产品化与推广</w:t>
            </w:r>
          </w:p>
        </w:tc>
        <w:tc>
          <w:tcPr>
            <w:tcW w:w="794" w:type="dxa"/>
          </w:tcPr>
          <w:p w14:paraId="0541692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个月</w:t>
            </w:r>
          </w:p>
        </w:tc>
        <w:tc>
          <w:tcPr>
            <w:tcW w:w="3969" w:type="dxa"/>
          </w:tcPr>
          <w:p w14:paraId="23DF40A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评测云平台、报告与榜单、开源发布、软著专利、材料定稿</w:t>
            </w:r>
          </w:p>
        </w:tc>
        <w:tc>
          <w:tcPr>
            <w:tcW w:w="2381" w:type="dxa"/>
          </w:tcPr>
          <w:p w14:paraId="66D6018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完整产品与材料包</w:t>
            </w:r>
          </w:p>
        </w:tc>
      </w:tr>
    </w:tbl>
    <w:p w14:paraId="340D6673">
      <w:pPr>
        <w:pStyle w:val="4"/>
        <w:keepNext/>
        <w:spacing w:before="200" w:after="120" w:line="312" w:lineRule="auto"/>
        <w:ind w:firstLine="0"/>
      </w:pPr>
      <w:bookmarkStart w:id="44" w:name="_Toc4700"/>
      <w:r>
        <w:rPr>
          <w:rFonts w:ascii="宋体" w:hAnsi="宋体" w:eastAsia="宋体" w:cs="宋体"/>
          <w:b/>
          <w:i w:val="0"/>
          <w:color w:val="000000"/>
          <w:sz w:val="28"/>
        </w:rPr>
        <w:t>11.2 与赛事节奏的对齐</w:t>
      </w:r>
      <w:bookmarkEnd w:id="4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928"/>
        <w:gridCol w:w="5102"/>
      </w:tblGrid>
      <w:tr w14:paraId="3753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FEFEF"/>
          </w:tcPr>
          <w:p w14:paraId="5A4E960C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时间</w:t>
            </w:r>
          </w:p>
        </w:tc>
        <w:tc>
          <w:tcPr>
            <w:tcW w:w="1928" w:type="dxa"/>
            <w:shd w:val="clear" w:color="auto" w:fill="EFEFEF"/>
          </w:tcPr>
          <w:p w14:paraId="7667B23A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阶段</w:t>
            </w:r>
          </w:p>
        </w:tc>
        <w:tc>
          <w:tcPr>
            <w:tcW w:w="5102" w:type="dxa"/>
            <w:shd w:val="clear" w:color="auto" w:fill="EFEFEF"/>
          </w:tcPr>
          <w:p w14:paraId="4B6B3B4E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必须完成的交付物</w:t>
            </w:r>
          </w:p>
        </w:tc>
      </w:tr>
      <w:tr w14:paraId="33E90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113B1A7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立项后第 1–2 月</w:t>
            </w:r>
          </w:p>
        </w:tc>
        <w:tc>
          <w:tcPr>
            <w:tcW w:w="1928" w:type="dxa"/>
          </w:tcPr>
          <w:p w14:paraId="63179BF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调研与取证</w:t>
            </w:r>
          </w:p>
        </w:tc>
        <w:tc>
          <w:tcPr>
            <w:tcW w:w="5102" w:type="dxa"/>
          </w:tcPr>
          <w:p w14:paraId="30D2926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不可行占比复现统计、厂商与实验室访谈、仿真器对照表、许可合规清单</w:t>
            </w:r>
          </w:p>
        </w:tc>
      </w:tr>
      <w:tr w14:paraId="3642D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ADBFD0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 3–5 月</w:t>
            </w:r>
          </w:p>
        </w:tc>
        <w:tc>
          <w:tcPr>
            <w:tcW w:w="1928" w:type="dxa"/>
          </w:tcPr>
          <w:p w14:paraId="4E4A51D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原型开发</w:t>
            </w:r>
          </w:p>
        </w:tc>
        <w:tc>
          <w:tcPr>
            <w:tcW w:w="5102" w:type="dxa"/>
          </w:tcPr>
          <w:p w14:paraId="779C3C3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可现场演示的"规划 → 仿真验证 → 失败归因"链路</w:t>
            </w:r>
          </w:p>
        </w:tc>
      </w:tr>
      <w:tr w14:paraId="3967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E2A06E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校赛前 1 个月</w:t>
            </w:r>
          </w:p>
        </w:tc>
        <w:tc>
          <w:tcPr>
            <w:tcW w:w="1928" w:type="dxa"/>
          </w:tcPr>
          <w:p w14:paraId="6DEDD78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材料初稿</w:t>
            </w:r>
          </w:p>
        </w:tc>
        <w:tc>
          <w:tcPr>
            <w:tcW w:w="5102" w:type="dxa"/>
          </w:tcPr>
          <w:p w14:paraId="2E0116E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申报书初稿、演示视频 v1、离线部署包</w:t>
            </w:r>
          </w:p>
        </w:tc>
      </w:tr>
      <w:tr w14:paraId="37954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38E840A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省赛至国赛之间</w:t>
            </w:r>
          </w:p>
        </w:tc>
        <w:tc>
          <w:tcPr>
            <w:tcW w:w="1928" w:type="dxa"/>
          </w:tcPr>
          <w:p w14:paraId="315472C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跨本体验证与产品化</w:t>
            </w:r>
          </w:p>
        </w:tc>
        <w:tc>
          <w:tcPr>
            <w:tcW w:w="5102" w:type="dxa"/>
          </w:tcPr>
          <w:p w14:paraId="76C7157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第二本体复用实测、仿真—真机相关性数据、标杆合作、评测协议发布</w:t>
            </w:r>
          </w:p>
        </w:tc>
      </w:tr>
    </w:tbl>
    <w:p w14:paraId="3C81AE13">
      <w:pPr>
        <w:keepNext w:val="0"/>
        <w:spacing w:before="120" w:after="80" w:line="312" w:lineRule="auto"/>
        <w:ind w:firstLine="480"/>
      </w:pPr>
      <w:r>
        <w:rPr>
          <w:rFonts w:ascii="宋体" w:hAnsi="宋体" w:eastAsia="宋体" w:cs="宋体"/>
          <w:b w:val="0"/>
          <w:i w:val="0"/>
          <w:sz w:val="24"/>
        </w:rPr>
        <w:t>关键提醒：校赛阶段必须已经有一个能现场运行的 Demo。本项目有一个天然优势：一次"失败 → 诊断 → 修复"的现场回放，比任何架构图都有说服力。</w:t>
      </w:r>
    </w:p>
    <w:p w14:paraId="64B65B78">
      <w:pPr>
        <w:pStyle w:val="3"/>
        <w:keepNext/>
        <w:pageBreakBefore/>
        <w:spacing w:before="280" w:after="120" w:line="312" w:lineRule="auto"/>
        <w:ind w:firstLine="0"/>
      </w:pPr>
      <w:bookmarkStart w:id="45" w:name="_Toc24926"/>
      <w:r>
        <w:rPr>
          <w:rFonts w:ascii="宋体" w:hAnsi="宋体" w:eastAsia="宋体" w:cs="宋体"/>
          <w:b/>
          <w:i w:val="0"/>
          <w:color w:val="000000"/>
          <w:sz w:val="32"/>
        </w:rPr>
        <w:t>第十二章  风险与应对</w:t>
      </w:r>
      <w:bookmarkEnd w:id="4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175"/>
        <w:gridCol w:w="4195"/>
      </w:tblGrid>
      <w:tr w14:paraId="0CDF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EFEFEF"/>
          </w:tcPr>
          <w:p w14:paraId="20C8FC61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风险类别</w:t>
            </w:r>
          </w:p>
        </w:tc>
        <w:tc>
          <w:tcPr>
            <w:tcW w:w="3175" w:type="dxa"/>
            <w:shd w:val="clear" w:color="auto" w:fill="EFEFEF"/>
          </w:tcPr>
          <w:p w14:paraId="1C4DBA10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具体风险</w:t>
            </w:r>
          </w:p>
        </w:tc>
        <w:tc>
          <w:tcPr>
            <w:tcW w:w="4195" w:type="dxa"/>
            <w:shd w:val="clear" w:color="auto" w:fill="EFEFEF"/>
          </w:tcPr>
          <w:p w14:paraId="09C88BB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7"/>
              </w:rPr>
              <w:t>应对措施</w:t>
            </w:r>
          </w:p>
        </w:tc>
      </w:tr>
      <w:tr w14:paraId="2D993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656AE3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技术风险</w:t>
            </w:r>
          </w:p>
        </w:tc>
        <w:tc>
          <w:tcPr>
            <w:tcW w:w="3175" w:type="dxa"/>
          </w:tcPr>
          <w:p w14:paraId="02E96EC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长程任务的规划不稳定；约束解码降低生成多样性</w:t>
            </w:r>
          </w:p>
        </w:tc>
        <w:tc>
          <w:tcPr>
            <w:tcW w:w="4195" w:type="dxa"/>
          </w:tcPr>
          <w:p w14:paraId="54BEC81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约束预筛 + 候选采样；如实报告未找到可行计划的情形</w:t>
            </w:r>
          </w:p>
        </w:tc>
      </w:tr>
      <w:tr w14:paraId="16B8A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619D5DD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技术风险</w:t>
            </w:r>
          </w:p>
        </w:tc>
        <w:tc>
          <w:tcPr>
            <w:tcW w:w="3175" w:type="dxa"/>
          </w:tcPr>
          <w:p w14:paraId="620E465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仿真器适配工作量大、接口变动造成返工</w:t>
            </w:r>
          </w:p>
        </w:tc>
        <w:tc>
          <w:tcPr>
            <w:tcW w:w="4195" w:type="dxa"/>
          </w:tcPr>
          <w:p w14:paraId="19AF2AE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薄适配器隔离版本差异；优先支持两个仿真器，不追求全覆盖</w:t>
            </w:r>
          </w:p>
        </w:tc>
      </w:tr>
      <w:tr w14:paraId="4361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0EA97795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技术风险</w:t>
            </w:r>
          </w:p>
        </w:tc>
        <w:tc>
          <w:tcPr>
            <w:tcW w:w="3175" w:type="dxa"/>
          </w:tcPr>
          <w:p w14:paraId="6D554FB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失败模式诊断准确率不达预期</w:t>
            </w:r>
          </w:p>
        </w:tc>
        <w:tc>
          <w:tcPr>
            <w:tcW w:w="4195" w:type="dxa"/>
          </w:tcPr>
          <w:p w14:paraId="776CDDA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先用规则化物理判据覆盖主要类别，再用轨迹特征细分；如实报告混淆矩阵</w:t>
            </w:r>
          </w:p>
        </w:tc>
      </w:tr>
      <w:tr w14:paraId="67C5A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326609F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验证风险</w:t>
            </w:r>
          </w:p>
        </w:tc>
        <w:tc>
          <w:tcPr>
            <w:tcW w:w="3175" w:type="dxa"/>
          </w:tcPr>
          <w:p w14:paraId="5412C79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仿真—真机相关性需要真机数据，资源不稳定</w:t>
            </w:r>
          </w:p>
        </w:tc>
        <w:tc>
          <w:tcPr>
            <w:tcW w:w="4195" w:type="dxa"/>
          </w:tcPr>
          <w:p w14:paraId="68ED1F4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 最早启动；桌面级小样本 + 借测；如实报告样本量与置信区间</w:t>
            </w:r>
          </w:p>
        </w:tc>
      </w:tr>
      <w:tr w14:paraId="4BB6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3B48BAE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标准风险</w:t>
            </w:r>
          </w:p>
        </w:tc>
        <w:tc>
          <w:tcPr>
            <w:tcW w:w="3175" w:type="dxa"/>
          </w:tcPr>
          <w:p w14:paraId="580A8EE0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评测协议公信力需时间积累，社区未必采用</w:t>
            </w:r>
          </w:p>
        </w:tc>
        <w:tc>
          <w:tcPr>
            <w:tcW w:w="4195" w:type="dxa"/>
          </w:tcPr>
          <w:p w14:paraId="4A5CAD6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与创新中心、检测机构共建；协议做成可导入导出的开放格式</w:t>
            </w:r>
          </w:p>
        </w:tc>
      </w:tr>
      <w:tr w14:paraId="03F4D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21E5B0B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合规风险</w:t>
            </w:r>
          </w:p>
        </w:tc>
        <w:tc>
          <w:tcPr>
            <w:tcW w:w="3175" w:type="dxa"/>
          </w:tcPr>
          <w:p w14:paraId="6BCCACE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仿真器与模型的许可条款差异大</w:t>
            </w:r>
          </w:p>
        </w:tc>
        <w:tc>
          <w:tcPr>
            <w:tcW w:w="4195" w:type="dxa"/>
          </w:tcPr>
          <w:p w14:paraId="1081293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建立许可清单逐项核对；提供完全离线的本地部署模式</w:t>
            </w:r>
          </w:p>
        </w:tc>
      </w:tr>
      <w:tr w14:paraId="29EC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39A93AF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市场风险</w:t>
            </w:r>
          </w:p>
        </w:tc>
        <w:tc>
          <w:tcPr>
            <w:tcW w:w="3175" w:type="dxa"/>
          </w:tcPr>
          <w:p w14:paraId="690166C2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生态方或整机厂商自行补齐该层；高校预算有限</w:t>
            </w:r>
          </w:p>
        </w:tc>
        <w:tc>
          <w:tcPr>
            <w:tcW w:w="4195" w:type="dxa"/>
          </w:tcPr>
          <w:p w14:paraId="7E316B5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以中立性与社区资产建壁垒；分层收费，把付费点放在批量评测与报告上</w:t>
            </w:r>
          </w:p>
        </w:tc>
      </w:tr>
      <w:tr w14:paraId="7990C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</w:tcPr>
          <w:p w14:paraId="6116B89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团队风险</w:t>
            </w:r>
          </w:p>
        </w:tc>
        <w:tc>
          <w:tcPr>
            <w:tcW w:w="3175" w:type="dxa"/>
          </w:tcPr>
          <w:p w14:paraId="03E3B9F6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仅 6–8 人，跨领域能力要求高，成员退出影响进度</w:t>
            </w:r>
          </w:p>
        </w:tc>
        <w:tc>
          <w:tcPr>
            <w:tcW w:w="4195" w:type="dxa"/>
          </w:tcPr>
          <w:p w14:paraId="6099747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关键模块文档化脚本化；两位指导教师分别把关</w:t>
            </w:r>
          </w:p>
        </w:tc>
      </w:tr>
    </w:tbl>
    <w:p w14:paraId="16F77714">
      <w:pPr>
        <w:pStyle w:val="3"/>
        <w:keepNext/>
        <w:pageBreakBefore/>
        <w:spacing w:before="280" w:after="120" w:line="312" w:lineRule="auto"/>
        <w:ind w:firstLine="0"/>
      </w:pPr>
      <w:bookmarkStart w:id="46" w:name="_Toc23672"/>
      <w:r>
        <w:rPr>
          <w:rFonts w:ascii="宋体" w:hAnsi="宋体" w:eastAsia="宋体" w:cs="宋体"/>
          <w:b/>
          <w:i w:val="0"/>
          <w:color w:val="000000"/>
          <w:sz w:val="32"/>
        </w:rPr>
        <w:t>第十三章  项目成果</w:t>
      </w:r>
      <w:bookmarkEnd w:id="4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5329"/>
        <w:gridCol w:w="1928"/>
      </w:tblGrid>
      <w:tr w14:paraId="4B98D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FEFEF"/>
          </w:tcPr>
          <w:p w14:paraId="073AE0D8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成果类型</w:t>
            </w:r>
          </w:p>
        </w:tc>
        <w:tc>
          <w:tcPr>
            <w:tcW w:w="5329" w:type="dxa"/>
            <w:shd w:val="clear" w:color="auto" w:fill="EFEFEF"/>
          </w:tcPr>
          <w:p w14:paraId="0055E1C3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具体内容</w:t>
            </w:r>
          </w:p>
        </w:tc>
        <w:tc>
          <w:tcPr>
            <w:tcW w:w="1928" w:type="dxa"/>
            <w:shd w:val="clear" w:color="auto" w:fill="EFEFEF"/>
          </w:tcPr>
          <w:p w14:paraId="4316986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状态</w:t>
            </w:r>
          </w:p>
        </w:tc>
      </w:tr>
      <w:tr w14:paraId="2760B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69289FB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发明专利</w:t>
            </w:r>
          </w:p>
        </w:tc>
        <w:tc>
          <w:tcPr>
            <w:tcW w:w="5329" w:type="dxa"/>
          </w:tcPr>
          <w:p w14:paraId="69E62E5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① 基于本体能力约束的具身任务分解方法；② 跨本体技能抽象与复用方法</w:t>
            </w:r>
          </w:p>
        </w:tc>
        <w:tc>
          <w:tcPr>
            <w:tcW w:w="1928" w:type="dxa"/>
          </w:tcPr>
          <w:p w14:paraId="711B362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【待申请】</w:t>
            </w:r>
          </w:p>
        </w:tc>
      </w:tr>
      <w:tr w14:paraId="4D6BF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784F028D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发明专利</w:t>
            </w:r>
          </w:p>
        </w:tc>
        <w:tc>
          <w:tcPr>
            <w:tcW w:w="5329" w:type="dxa"/>
          </w:tcPr>
          <w:p w14:paraId="71A1F8B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③ 仿真在环的规划验证与自动修复方法；④ 仿真—真机迁移性评测方法</w:t>
            </w:r>
          </w:p>
        </w:tc>
        <w:tc>
          <w:tcPr>
            <w:tcW w:w="1928" w:type="dxa"/>
          </w:tcPr>
          <w:p w14:paraId="0B38EF1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【待申请】</w:t>
            </w:r>
          </w:p>
        </w:tc>
      </w:tr>
      <w:tr w14:paraId="5FC0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514CE0D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软件著作权</w:t>
            </w:r>
          </w:p>
        </w:tc>
        <w:tc>
          <w:tcPr>
            <w:tcW w:w="5329" w:type="dxa"/>
          </w:tcPr>
          <w:p w14:paraId="6F887A5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① 知行具身智能任务规划中间件；② 知行评测平台（含可视化与报告）</w:t>
            </w:r>
          </w:p>
        </w:tc>
        <w:tc>
          <w:tcPr>
            <w:tcW w:w="1928" w:type="dxa"/>
          </w:tcPr>
          <w:p w14:paraId="43044FE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【待申请】</w:t>
            </w:r>
          </w:p>
        </w:tc>
      </w:tr>
      <w:tr w14:paraId="265E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5A27C6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学术论文</w:t>
            </w:r>
          </w:p>
        </w:tc>
        <w:tc>
          <w:tcPr>
            <w:tcW w:w="5329" w:type="dxa"/>
          </w:tcPr>
          <w:p w14:paraId="4964800B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约束感知分解 / 验证修复闭环 / 评测协议三个方向</w:t>
            </w:r>
          </w:p>
        </w:tc>
        <w:tc>
          <w:tcPr>
            <w:tcW w:w="1928" w:type="dxa"/>
          </w:tcPr>
          <w:p w14:paraId="1A1AE86F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【待投稿】</w:t>
            </w:r>
          </w:p>
        </w:tc>
      </w:tr>
      <w:tr w14:paraId="76D6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4779ADD7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数据集与基准</w:t>
            </w:r>
          </w:p>
        </w:tc>
        <w:tc>
          <w:tcPr>
            <w:tcW w:w="5329" w:type="dxa"/>
          </w:tcPr>
          <w:p w14:paraId="4542FC5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标准化任务集、配置快照与评测脚本</w:t>
            </w:r>
          </w:p>
        </w:tc>
        <w:tc>
          <w:tcPr>
            <w:tcW w:w="1928" w:type="dxa"/>
          </w:tcPr>
          <w:p w14:paraId="7390515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【待发布】</w:t>
            </w:r>
          </w:p>
        </w:tc>
      </w:tr>
      <w:tr w14:paraId="6E79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9AD77A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验证数据</w:t>
            </w:r>
          </w:p>
        </w:tc>
        <w:tc>
          <w:tcPr>
            <w:tcW w:w="5329" w:type="dxa"/>
          </w:tcPr>
          <w:p w14:paraId="79D888FA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技能跨本体复用实测 + 仿真—真机相关性数据（★ 最硬证据）</w:t>
            </w:r>
          </w:p>
        </w:tc>
        <w:tc>
          <w:tcPr>
            <w:tcW w:w="1928" w:type="dxa"/>
          </w:tcPr>
          <w:p w14:paraId="00AA7704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  <w:tr w14:paraId="1DBF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57D4A66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用户验证</w:t>
            </w:r>
          </w:p>
        </w:tc>
        <w:tc>
          <w:tcPr>
            <w:tcW w:w="5329" w:type="dxa"/>
          </w:tcPr>
          <w:p w14:paraId="331B85FE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3–5 家高校实验室或厂商算法团队的试用报告或合作意向书</w:t>
            </w:r>
          </w:p>
        </w:tc>
        <w:tc>
          <w:tcPr>
            <w:tcW w:w="1928" w:type="dxa"/>
          </w:tcPr>
          <w:p w14:paraId="3FEB9F3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【待完成】</w:t>
            </w:r>
          </w:p>
        </w:tc>
      </w:tr>
      <w:tr w14:paraId="0E82D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941FAC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查新报告</w:t>
            </w:r>
          </w:p>
        </w:tc>
        <w:tc>
          <w:tcPr>
            <w:tcW w:w="5329" w:type="dxa"/>
          </w:tcPr>
          <w:p w14:paraId="334F9761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教育部科技查新工作站出具</w:t>
            </w:r>
          </w:p>
        </w:tc>
        <w:tc>
          <w:tcPr>
            <w:tcW w:w="1928" w:type="dxa"/>
          </w:tcPr>
          <w:p w14:paraId="16822143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【待申请】</w:t>
            </w:r>
          </w:p>
        </w:tc>
      </w:tr>
      <w:tr w14:paraId="791F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334192C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标准与白皮书</w:t>
            </w:r>
          </w:p>
        </w:tc>
        <w:tc>
          <w:tcPr>
            <w:tcW w:w="5329" w:type="dxa"/>
          </w:tcPr>
          <w:p w14:paraId="3A32F3F9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参与具身智能任务规划或测评相关标准、白皮书编写</w:t>
            </w:r>
          </w:p>
        </w:tc>
        <w:tc>
          <w:tcPr>
            <w:tcW w:w="1928" w:type="dxa"/>
          </w:tcPr>
          <w:p w14:paraId="6A3E1438">
            <w:pPr>
              <w:keepNext/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【待争取】</w:t>
            </w:r>
          </w:p>
        </w:tc>
      </w:tr>
      <w:tr w14:paraId="67BF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15CC234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赛事荣誉</w:t>
            </w:r>
          </w:p>
        </w:tc>
        <w:tc>
          <w:tcPr>
            <w:tcW w:w="5329" w:type="dxa"/>
          </w:tcPr>
          <w:p w14:paraId="47F6515A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【待填：校级 / 省级 / 国家级获奖】</w:t>
            </w:r>
          </w:p>
        </w:tc>
        <w:tc>
          <w:tcPr>
            <w:tcW w:w="1928" w:type="dxa"/>
          </w:tcPr>
          <w:p w14:paraId="6D02CD1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</w:t>
            </w:r>
          </w:p>
        </w:tc>
      </w:tr>
    </w:tbl>
    <w:p w14:paraId="1C3189C9">
      <w:pPr>
        <w:pStyle w:val="3"/>
        <w:keepNext/>
        <w:pageBreakBefore/>
        <w:spacing w:before="280" w:after="120" w:line="312" w:lineRule="auto"/>
        <w:ind w:firstLine="0"/>
      </w:pPr>
      <w:bookmarkStart w:id="47" w:name="_Toc29049"/>
      <w:r>
        <w:rPr>
          <w:rFonts w:ascii="宋体" w:hAnsi="宋体" w:eastAsia="宋体" w:cs="宋体"/>
          <w:b/>
          <w:i w:val="0"/>
          <w:color w:val="000000"/>
          <w:sz w:val="32"/>
        </w:rPr>
        <w:t>附录  商业计划书定稿检查清单</w:t>
      </w:r>
      <w:bookmarkEnd w:id="47"/>
    </w:p>
    <w:p w14:paraId="453053E7">
      <w:pPr>
        <w:keepNext w:val="0"/>
        <w:spacing w:before="120" w:after="80" w:line="312" w:lineRule="auto"/>
        <w:ind w:firstLine="440"/>
      </w:pPr>
      <w:r>
        <w:rPr>
          <w:rFonts w:ascii="宋体" w:hAnsi="宋体" w:eastAsia="宋体" w:cs="宋体"/>
          <w:b w:val="0"/>
          <w:i w:val="0"/>
          <w:sz w:val="22"/>
        </w:rPr>
        <w:t>提交前逐条自查，任一条不通过就不得定稿。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494"/>
        <w:gridCol w:w="5613"/>
      </w:tblGrid>
      <w:tr w14:paraId="4C24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" w:type="dxa"/>
            <w:shd w:val="clear" w:color="auto" w:fill="EFEFEF"/>
          </w:tcPr>
          <w:p w14:paraId="4B347BED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序</w:t>
            </w:r>
          </w:p>
        </w:tc>
        <w:tc>
          <w:tcPr>
            <w:tcW w:w="2494" w:type="dxa"/>
            <w:shd w:val="clear" w:color="auto" w:fill="EFEFEF"/>
          </w:tcPr>
          <w:p w14:paraId="1A2DFC85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检查项</w:t>
            </w:r>
          </w:p>
        </w:tc>
        <w:tc>
          <w:tcPr>
            <w:tcW w:w="5613" w:type="dxa"/>
            <w:shd w:val="clear" w:color="auto" w:fill="EFEFEF"/>
          </w:tcPr>
          <w:p w14:paraId="47E3AD0F">
            <w:pPr>
              <w:keepNext/>
              <w:spacing w:after="4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18"/>
              </w:rPr>
              <w:t>判定标准</w:t>
            </w:r>
          </w:p>
        </w:tc>
      </w:tr>
      <w:tr w14:paraId="6244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0B569E3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</w:t>
            </w:r>
          </w:p>
        </w:tc>
        <w:tc>
          <w:tcPr>
            <w:tcW w:w="2494" w:type="dxa"/>
          </w:tcPr>
          <w:p w14:paraId="7B906960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摘要是否独立成立</w:t>
            </w:r>
          </w:p>
        </w:tc>
        <w:tc>
          <w:tcPr>
            <w:tcW w:w="5613" w:type="dxa"/>
          </w:tcPr>
          <w:p w14:paraId="42682AE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摘要页能单独讲清"做什么、给谁、凭什么、要多少钱"，且含"可验证、可复现、跨本体"三个关键词</w:t>
            </w:r>
          </w:p>
        </w:tc>
      </w:tr>
      <w:tr w14:paraId="3323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4EDCF02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w="2494" w:type="dxa"/>
          </w:tcPr>
          <w:p w14:paraId="6D1DEDC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每个痛点是否都有数字</w:t>
            </w:r>
          </w:p>
        </w:tc>
        <w:tc>
          <w:tcPr>
            <w:tcW w:w="5613" w:type="dxa"/>
          </w:tcPr>
          <w:p w14:paraId="4CD2CBA8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逐段检查，凡只有形容词没有数字或案例的段落一律重写</w:t>
            </w:r>
          </w:p>
        </w:tc>
      </w:tr>
      <w:tr w14:paraId="6668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4ADAEA7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w="2494" w:type="dxa"/>
          </w:tcPr>
          <w:p w14:paraId="31360BD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★ 数据是否全部核实</w:t>
            </w:r>
          </w:p>
        </w:tc>
        <w:tc>
          <w:tcPr>
            <w:tcW w:w="5613" w:type="dxa"/>
          </w:tcPr>
          <w:p w14:paraId="269895C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《项目简介文档》附录 E 中标注 ★ 的条目逐项清零；无法核实的宁删不糊</w:t>
            </w:r>
          </w:p>
        </w:tc>
      </w:tr>
      <w:tr w14:paraId="14DB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309E1389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w="2494" w:type="dxa"/>
          </w:tcPr>
          <w:p w14:paraId="2ABB2FC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市场测算是否可检验</w:t>
            </w:r>
          </w:p>
        </w:tc>
        <w:tc>
          <w:tcPr>
            <w:tcW w:w="5613" w:type="dxa"/>
          </w:tcPr>
          <w:p w14:paraId="1C4336DC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自下而上公式的每一步都有取值与来源；明确标注哪些是假设、哪些是调研数据</w:t>
            </w:r>
          </w:p>
        </w:tc>
      </w:tr>
      <w:tr w14:paraId="64045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4649080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w="2494" w:type="dxa"/>
          </w:tcPr>
          <w:p w14:paraId="57481121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财务是否避免了编造</w:t>
            </w:r>
          </w:p>
        </w:tc>
        <w:tc>
          <w:tcPr>
            <w:tcW w:w="5613" w:type="dxa"/>
          </w:tcPr>
          <w:p w14:paraId="6E4CFA7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没有未经说明的精细收入预测；单位经济模型的每个假设都有依据</w:t>
            </w:r>
          </w:p>
        </w:tc>
      </w:tr>
      <w:tr w14:paraId="79127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4350700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w="2494" w:type="dxa"/>
          </w:tcPr>
          <w:p w14:paraId="2403D5A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竞品结论是否自测取证</w:t>
            </w:r>
          </w:p>
        </w:tc>
        <w:tc>
          <w:tcPr>
            <w:tcW w:w="5613" w:type="dxa"/>
          </w:tcPr>
          <w:p w14:paraId="7C39915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每条竞品能力判定都有实测记录或可核实的公开资料与访问日期</w:t>
            </w:r>
          </w:p>
        </w:tc>
      </w:tr>
      <w:tr w14:paraId="572C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70F4306E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w="2494" w:type="dxa"/>
          </w:tcPr>
          <w:p w14:paraId="04AEC93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创新点是否四段式</w:t>
            </w:r>
          </w:p>
        </w:tc>
        <w:tc>
          <w:tcPr>
            <w:tcW w:w="5613" w:type="dxa"/>
          </w:tcPr>
          <w:p w14:paraId="24EF27E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每条均含"现有做法失败 + 我们怎么做 + 量化对比 + 证据形态"</w:t>
            </w:r>
          </w:p>
        </w:tc>
      </w:tr>
      <w:tr w14:paraId="19278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52E94F5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w="2494" w:type="dxa"/>
          </w:tcPr>
          <w:p w14:paraId="5CC1D81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技术边界是否主动声明</w:t>
            </w:r>
          </w:p>
        </w:tc>
        <w:tc>
          <w:tcPr>
            <w:tcW w:w="5613" w:type="dxa"/>
          </w:tcPr>
          <w:p w14:paraId="5ED0721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承诺边界（4.5 / 第九章）在正文中可见，不藏在附件里</w:t>
            </w:r>
          </w:p>
        </w:tc>
      </w:tr>
      <w:tr w14:paraId="41C6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1E4F76CD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w="2494" w:type="dxa"/>
          </w:tcPr>
          <w:p w14:paraId="0773789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团队风险是否主动说明</w:t>
            </w:r>
          </w:p>
        </w:tc>
        <w:tc>
          <w:tcPr>
            <w:tcW w:w="5613" w:type="dxa"/>
          </w:tcPr>
          <w:p w14:paraId="79CF5DE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有人力与真机资源风险的应对，而不是宣称没有问题</w:t>
            </w:r>
          </w:p>
        </w:tc>
      </w:tr>
      <w:tr w14:paraId="605B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4D497D9B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w="2494" w:type="dxa"/>
          </w:tcPr>
          <w:p w14:paraId="5940418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图表是否可直接引用</w:t>
            </w:r>
          </w:p>
        </w:tc>
        <w:tc>
          <w:tcPr>
            <w:tcW w:w="5613" w:type="dxa"/>
          </w:tcPr>
          <w:p w14:paraId="73C2D97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架构图、链路图、飞轮图与竞品矩阵均为可读的独立图，配有编号与说明</w:t>
            </w:r>
          </w:p>
        </w:tc>
      </w:tr>
      <w:tr w14:paraId="66367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4B1A3893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w="2494" w:type="dxa"/>
          </w:tcPr>
          <w:p w14:paraId="3B03C512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演示与备份是否就绪</w:t>
            </w:r>
          </w:p>
        </w:tc>
        <w:tc>
          <w:tcPr>
            <w:tcW w:w="5613" w:type="dxa"/>
          </w:tcPr>
          <w:p w14:paraId="6E7F6827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离线可跑的 Demo + 闭环录屏 + U 盘与云端双备份</w:t>
            </w:r>
          </w:p>
        </w:tc>
      </w:tr>
      <w:tr w14:paraId="7CA1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</w:tcPr>
          <w:p w14:paraId="3AA2B805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12</w:t>
            </w:r>
          </w:p>
        </w:tc>
        <w:tc>
          <w:tcPr>
            <w:tcW w:w="2494" w:type="dxa"/>
          </w:tcPr>
          <w:p w14:paraId="55C8D1BF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附件是否齐全</w:t>
            </w:r>
          </w:p>
        </w:tc>
        <w:tc>
          <w:tcPr>
            <w:tcW w:w="5613" w:type="dxa"/>
          </w:tcPr>
          <w:p w14:paraId="46B83424">
            <w:pPr>
              <w:spacing w:after="40" w:line="240" w:lineRule="auto"/>
              <w:ind w:firstLine="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问答库、素材与证据清单、竞品实测报告、访谈记录、真机与仿真对照数据</w:t>
            </w:r>
          </w:p>
        </w:tc>
      </w:tr>
    </w:tbl>
    <w:p w14:paraId="3E03C407">
      <w:pPr>
        <w:pBdr>
          <w:bottom w:val="single" w:color="888888" w:sz="8" w:space="0"/>
        </w:pBdr>
        <w:spacing w:before="40" w:after="160"/>
        <w:ind w:firstLine="0"/>
      </w:pPr>
    </w:p>
    <w:p w14:paraId="1D2A9A8F">
      <w:pPr>
        <w:keepNext w:val="0"/>
        <w:spacing w:before="320" w:after="80" w:line="312" w:lineRule="auto"/>
        <w:jc w:val="center"/>
      </w:pPr>
      <w:r>
        <w:rPr>
          <w:rFonts w:ascii="宋体" w:hAnsi="宋体" w:eastAsia="宋体" w:cs="宋体"/>
          <w:b w:val="0"/>
          <w:i w:val="0"/>
          <w:sz w:val="22"/>
        </w:rPr>
        <w:t>（文档结束）</w:t>
      </w:r>
    </w:p>
    <w:sectPr>
      <w:footerReference r:id="rId5" w:type="default"/>
      <w:pgSz w:w="11906" w:h="16838"/>
      <w:pgMar w:top="1440" w:right="1474" w:bottom="1440" w:left="158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731C1">
    <w:pPr>
      <w:pStyle w:val="24"/>
      <w:ind w:firstLine="0"/>
      <w:jc w:val="center"/>
    </w:pPr>
    <w:r>
      <w:rPr>
        <w:rFonts w:ascii="宋体" w:hAnsi="宋体" w:eastAsia="宋体" w:cs="宋体"/>
        <w:b w:val="0"/>
        <w:i w:val="0"/>
        <w:sz w:val="21"/>
      </w:rPr>
      <w:fldChar w:fldCharType="begin"/>
    </w:r>
    <w:r>
      <w:rPr>
        <w:rFonts w:ascii="宋体" w:hAnsi="宋体" w:eastAsia="宋体" w:cs="宋体"/>
        <w:b w:val="0"/>
        <w:i w:val="0"/>
        <w:sz w:val="21"/>
      </w:rPr>
      <w:instrText xml:space="preserve">PAGE \* arabic \* MERGEFORMAT</w:instrText>
    </w:r>
    <w:r>
      <w:rPr>
        <w:rFonts w:ascii="宋体" w:hAnsi="宋体" w:eastAsia="宋体" w:cs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50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  <w:rPr>
      <w:rFonts w:ascii="宋体" w:hAnsi="宋体" w:eastAsia="宋体" w:cs="宋体"/>
    </w:rPr>
  </w:style>
  <w:style w:type="table" w:default="1" w:styleId="34">
    <w:name w:val="Normal Table"/>
    <w:semiHidden/>
    <w:unhideWhenUsed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6"/>
    <w:unhideWhenUsed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rFonts w:ascii="宋体" w:hAnsi="宋体" w:eastAsia="宋体" w:cs="宋体"/>
      <w:b/>
      <w:bCs/>
    </w:rPr>
  </w:style>
  <w:style w:type="character" w:styleId="136">
    <w:name w:val="Emphasis"/>
    <w:basedOn w:val="134"/>
    <w:qFormat/>
    <w:uiPriority w:val="20"/>
    <w:rPr>
      <w:rFonts w:ascii="宋体" w:hAnsi="宋体" w:eastAsia="宋体" w:cs="宋体"/>
      <w:i/>
      <w:iCs/>
    </w:rPr>
  </w:style>
  <w:style w:type="character" w:customStyle="1" w:styleId="137">
    <w:name w:val="Header Char"/>
    <w:basedOn w:val="134"/>
    <w:link w:val="25"/>
    <w:uiPriority w:val="99"/>
    <w:rPr>
      <w:rFonts w:ascii="宋体" w:hAnsi="宋体" w:eastAsia="宋体" w:cs="宋体"/>
    </w:rPr>
  </w:style>
  <w:style w:type="character" w:customStyle="1" w:styleId="138">
    <w:name w:val="Footer Char"/>
    <w:basedOn w:val="134"/>
    <w:link w:val="24"/>
    <w:uiPriority w:val="99"/>
    <w:rPr>
      <w:rFonts w:ascii="宋体" w:hAnsi="宋体" w:eastAsia="宋体" w:cs="宋体"/>
    </w:rPr>
  </w:style>
  <w:style w:type="paragraph" w:styleId="139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6">
    <w:name w:val="Body Text Char"/>
    <w:basedOn w:val="134"/>
    <w:link w:val="19"/>
    <w:uiPriority w:val="99"/>
    <w:rPr>
      <w:rFonts w:ascii="宋体" w:hAnsi="宋体" w:eastAsia="宋体" w:cs="宋体"/>
    </w:rPr>
  </w:style>
  <w:style w:type="character" w:customStyle="1" w:styleId="147">
    <w:name w:val="Body Text 2 Char"/>
    <w:basedOn w:val="134"/>
    <w:link w:val="30"/>
    <w:uiPriority w:val="99"/>
    <w:rPr>
      <w:rFonts w:ascii="宋体" w:hAnsi="宋体" w:eastAsia="宋体" w:cs="宋体"/>
    </w:rPr>
  </w:style>
  <w:style w:type="character" w:customStyle="1" w:styleId="148">
    <w:name w:val="Body Text 3 Char"/>
    <w:basedOn w:val="134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宋体" w:hAnsi="宋体" w:eastAsia="宋体" w:cs="宋体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4083</Words>
  <Characters>4373</Characters>
  <Lines>0</Lines>
  <Paragraphs>0</Paragraphs>
  <TotalTime>0</TotalTime>
  <ScaleCrop>false</ScaleCrop>
  <LinksUpToDate>false</LinksUpToDate>
  <CharactersWithSpaces>4767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白青凌</cp:lastModifiedBy>
  <dcterms:modified xsi:type="dcterms:W3CDTF">2026-10-04T09:34:42Z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eyJoZGlkIjoiODcwNGE0MDNlNDAwZDc4MGFmZWEzZWYxZjIxZDYyZGUiLCJ1c2VySWQiOiIxNzIzODA3OTcxIn0=</vt:lpwstr>
  </property>
  <property fmtid="{D5CDD505-2E9C-101B-9397-08002B2CF9AE}" pid="3" name="KSOProductBuildVer">
    <vt:lpwstr>2052-12.1.0.26375</vt:lpwstr>
  </property>
  <property fmtid="{D5CDD505-2E9C-101B-9397-08002B2CF9AE}" pid="4" name="ICV">
    <vt:lpwstr>61126C4B835849E397B04DA3877E881C_12</vt:lpwstr>
  </property>
</Properties>
</file>