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F0547" w14:textId="356016BB" w:rsidR="0049285B" w:rsidRDefault="00873440" w:rsidP="00873440">
      <w:pPr>
        <w:pBdr>
          <w:bottom w:val="single" w:sz="6" w:space="1" w:color="auto"/>
        </w:pBdr>
        <w:jc w:val="center"/>
        <w:rPr>
          <w:rFonts w:ascii="Arial" w:hAnsi="Arial" w:cs="Arial"/>
          <w:b/>
        </w:rPr>
      </w:pPr>
      <w:r>
        <w:rPr>
          <w:rFonts w:ascii="Arial" w:hAnsi="Arial" w:cs="Arial"/>
          <w:b/>
        </w:rPr>
        <w:t>Probiotic Oral Dosage Form – Literature Review</w:t>
      </w:r>
    </w:p>
    <w:p w14:paraId="15E2BF55" w14:textId="7FFE68D5" w:rsidR="00873440" w:rsidRDefault="00873440" w:rsidP="00604279">
      <w:pPr>
        <w:jc w:val="both"/>
        <w:rPr>
          <w:rFonts w:ascii="Arial" w:hAnsi="Arial" w:cs="Arial"/>
        </w:rPr>
      </w:pPr>
      <w:bookmarkStart w:id="0" w:name="_GoBack"/>
      <w:bookmarkEnd w:id="0"/>
      <w:r>
        <w:rPr>
          <w:rFonts w:ascii="Arial" w:hAnsi="Arial" w:cs="Arial"/>
        </w:rPr>
        <w:t xml:space="preserve">To design an adequate and successful </w:t>
      </w:r>
      <w:r w:rsidR="00081932">
        <w:rPr>
          <w:rFonts w:ascii="Arial" w:hAnsi="Arial" w:cs="Arial"/>
        </w:rPr>
        <w:t>probiotic</w:t>
      </w:r>
      <w:r>
        <w:rPr>
          <w:rFonts w:ascii="Arial" w:hAnsi="Arial" w:cs="Arial"/>
        </w:rPr>
        <w:t>, one must take care and precision in the strains that they select. Collins et. al. have outlined 12 specific properties of what they consider to be a “good probiotic strain” (Collins et</w:t>
      </w:r>
      <w:proofErr w:type="gramStart"/>
      <w:r>
        <w:rPr>
          <w:rFonts w:ascii="Arial" w:hAnsi="Arial" w:cs="Arial"/>
        </w:rPr>
        <w:t xml:space="preserve">. </w:t>
      </w:r>
      <w:proofErr w:type="gramEnd"/>
      <w:r>
        <w:rPr>
          <w:rFonts w:ascii="Arial" w:hAnsi="Arial" w:cs="Arial"/>
        </w:rPr>
        <w:t>al., 1998):</w:t>
      </w:r>
    </w:p>
    <w:p w14:paraId="753EC338" w14:textId="7F5203A8" w:rsidR="00873440" w:rsidRDefault="00873440" w:rsidP="00604279">
      <w:pPr>
        <w:pStyle w:val="ListParagraph"/>
        <w:numPr>
          <w:ilvl w:val="0"/>
          <w:numId w:val="1"/>
        </w:numPr>
        <w:jc w:val="both"/>
        <w:rPr>
          <w:rFonts w:ascii="Arial" w:hAnsi="Arial" w:cs="Arial"/>
        </w:rPr>
      </w:pPr>
      <w:r>
        <w:rPr>
          <w:rFonts w:ascii="Arial" w:hAnsi="Arial" w:cs="Arial"/>
        </w:rPr>
        <w:t>Human origin</w:t>
      </w:r>
    </w:p>
    <w:p w14:paraId="4B0D17A6" w14:textId="61E1C19E" w:rsidR="00873440" w:rsidRDefault="00873440" w:rsidP="00604279">
      <w:pPr>
        <w:pStyle w:val="ListParagraph"/>
        <w:numPr>
          <w:ilvl w:val="0"/>
          <w:numId w:val="1"/>
        </w:numPr>
        <w:jc w:val="both"/>
        <w:rPr>
          <w:rFonts w:ascii="Arial" w:hAnsi="Arial" w:cs="Arial"/>
        </w:rPr>
      </w:pPr>
      <w:r>
        <w:rPr>
          <w:rFonts w:ascii="Arial" w:hAnsi="Arial" w:cs="Arial"/>
        </w:rPr>
        <w:t>Possession of GRAS status</w:t>
      </w:r>
    </w:p>
    <w:p w14:paraId="2CCDB553" w14:textId="70E526F3" w:rsidR="00873440" w:rsidRDefault="00873440" w:rsidP="00604279">
      <w:pPr>
        <w:pStyle w:val="ListParagraph"/>
        <w:numPr>
          <w:ilvl w:val="0"/>
          <w:numId w:val="1"/>
        </w:numPr>
        <w:jc w:val="both"/>
        <w:rPr>
          <w:rFonts w:ascii="Arial" w:hAnsi="Arial" w:cs="Arial"/>
        </w:rPr>
      </w:pPr>
      <w:r>
        <w:rPr>
          <w:rFonts w:ascii="Arial" w:hAnsi="Arial" w:cs="Arial"/>
        </w:rPr>
        <w:t>Possession of a desirable antibiogram profiles (e.g. metronidazole resistance)</w:t>
      </w:r>
    </w:p>
    <w:p w14:paraId="22142380" w14:textId="488EA37C" w:rsidR="004E130C" w:rsidRDefault="004E130C" w:rsidP="00604279">
      <w:pPr>
        <w:pStyle w:val="ListParagraph"/>
        <w:numPr>
          <w:ilvl w:val="0"/>
          <w:numId w:val="1"/>
        </w:numPr>
        <w:jc w:val="both"/>
        <w:rPr>
          <w:rFonts w:ascii="Arial" w:hAnsi="Arial" w:cs="Arial"/>
        </w:rPr>
      </w:pPr>
      <w:r>
        <w:rPr>
          <w:rFonts w:ascii="Arial" w:hAnsi="Arial" w:cs="Arial"/>
        </w:rPr>
        <w:t>Production of antibacterial factors antagonistic for potentially pathogenic microorganisms, particularly invasive gram-negative pathogens.</w:t>
      </w:r>
    </w:p>
    <w:p w14:paraId="2322AEF4" w14:textId="001CF79A" w:rsidR="004E130C" w:rsidRDefault="004E130C" w:rsidP="00604279">
      <w:pPr>
        <w:pStyle w:val="ListParagraph"/>
        <w:numPr>
          <w:ilvl w:val="0"/>
          <w:numId w:val="1"/>
        </w:numPr>
        <w:jc w:val="both"/>
        <w:rPr>
          <w:rFonts w:ascii="Arial" w:hAnsi="Arial" w:cs="Arial"/>
        </w:rPr>
      </w:pPr>
      <w:r>
        <w:rPr>
          <w:rFonts w:ascii="Arial" w:hAnsi="Arial" w:cs="Arial"/>
        </w:rPr>
        <w:t>Desirable metabolic activity</w:t>
      </w:r>
    </w:p>
    <w:p w14:paraId="725388A3" w14:textId="59E64428" w:rsidR="004E130C" w:rsidRDefault="004E130C" w:rsidP="00604279">
      <w:pPr>
        <w:pStyle w:val="ListParagraph"/>
        <w:numPr>
          <w:ilvl w:val="0"/>
          <w:numId w:val="1"/>
        </w:numPr>
        <w:jc w:val="both"/>
        <w:rPr>
          <w:rFonts w:ascii="Arial" w:hAnsi="Arial" w:cs="Arial"/>
        </w:rPr>
      </w:pPr>
      <w:r>
        <w:rPr>
          <w:rFonts w:ascii="Arial" w:hAnsi="Arial" w:cs="Arial"/>
        </w:rPr>
        <w:t>Technologically suitable</w:t>
      </w:r>
    </w:p>
    <w:p w14:paraId="71D1A445" w14:textId="333378F1" w:rsidR="004E130C" w:rsidRDefault="004E130C" w:rsidP="00604279">
      <w:pPr>
        <w:pStyle w:val="ListParagraph"/>
        <w:numPr>
          <w:ilvl w:val="0"/>
          <w:numId w:val="1"/>
        </w:numPr>
        <w:jc w:val="both"/>
        <w:rPr>
          <w:rFonts w:ascii="Arial" w:hAnsi="Arial" w:cs="Arial"/>
        </w:rPr>
      </w:pPr>
      <w:r>
        <w:rPr>
          <w:rFonts w:ascii="Arial" w:hAnsi="Arial" w:cs="Arial"/>
        </w:rPr>
        <w:t>Non-pathogenic even in immunocompromised hosts</w:t>
      </w:r>
    </w:p>
    <w:p w14:paraId="60E4D939" w14:textId="0BEC6B40" w:rsidR="004E130C" w:rsidRDefault="004E130C" w:rsidP="00604279">
      <w:pPr>
        <w:pStyle w:val="ListParagraph"/>
        <w:numPr>
          <w:ilvl w:val="0"/>
          <w:numId w:val="1"/>
        </w:numPr>
        <w:jc w:val="both"/>
        <w:rPr>
          <w:rFonts w:ascii="Arial" w:hAnsi="Arial" w:cs="Arial"/>
        </w:rPr>
      </w:pPr>
      <w:r>
        <w:rPr>
          <w:rFonts w:ascii="Arial" w:hAnsi="Arial" w:cs="Arial"/>
        </w:rPr>
        <w:t>Non-inflammatory-promoting microorganisms</w:t>
      </w:r>
    </w:p>
    <w:p w14:paraId="72442A24" w14:textId="26F943E4" w:rsidR="004E130C" w:rsidRDefault="004E130C" w:rsidP="00604279">
      <w:pPr>
        <w:pStyle w:val="ListParagraph"/>
        <w:numPr>
          <w:ilvl w:val="0"/>
          <w:numId w:val="1"/>
        </w:numPr>
        <w:jc w:val="both"/>
        <w:rPr>
          <w:rFonts w:ascii="Arial" w:hAnsi="Arial" w:cs="Arial"/>
        </w:rPr>
      </w:pPr>
      <w:r>
        <w:rPr>
          <w:rFonts w:ascii="Arial" w:hAnsi="Arial" w:cs="Arial"/>
        </w:rPr>
        <w:t>Survival in association with the adult mucosal immune system</w:t>
      </w:r>
    </w:p>
    <w:p w14:paraId="43AE44F7" w14:textId="73F635B4" w:rsidR="004E130C" w:rsidRDefault="004E130C" w:rsidP="00604279">
      <w:pPr>
        <w:pStyle w:val="ListParagraph"/>
        <w:numPr>
          <w:ilvl w:val="0"/>
          <w:numId w:val="1"/>
        </w:numPr>
        <w:jc w:val="both"/>
        <w:rPr>
          <w:rFonts w:ascii="Arial" w:hAnsi="Arial" w:cs="Arial"/>
        </w:rPr>
      </w:pPr>
      <w:r>
        <w:rPr>
          <w:rFonts w:ascii="Arial" w:hAnsi="Arial" w:cs="Arial"/>
        </w:rPr>
        <w:t>Immunostimulatory for the mucosal immune system with appropriate cytokine release</w:t>
      </w:r>
    </w:p>
    <w:p w14:paraId="47773A98" w14:textId="5B5C908B" w:rsidR="004E130C" w:rsidRDefault="004E130C" w:rsidP="00604279">
      <w:pPr>
        <w:pStyle w:val="ListParagraph"/>
        <w:numPr>
          <w:ilvl w:val="0"/>
          <w:numId w:val="1"/>
        </w:numPr>
        <w:jc w:val="both"/>
        <w:rPr>
          <w:rFonts w:ascii="Arial" w:hAnsi="Arial" w:cs="Arial"/>
        </w:rPr>
      </w:pPr>
      <w:r>
        <w:rPr>
          <w:rFonts w:ascii="Arial" w:hAnsi="Arial" w:cs="Arial"/>
        </w:rPr>
        <w:t>Antimutagenic and anticarcinogenic properties.</w:t>
      </w:r>
    </w:p>
    <w:p w14:paraId="092208E7" w14:textId="4D056369" w:rsidR="004E130C" w:rsidRDefault="004E130C" w:rsidP="00604279">
      <w:pPr>
        <w:pStyle w:val="ListParagraph"/>
        <w:numPr>
          <w:ilvl w:val="0"/>
          <w:numId w:val="1"/>
        </w:numPr>
        <w:jc w:val="both"/>
        <w:rPr>
          <w:rFonts w:ascii="Arial" w:hAnsi="Arial" w:cs="Arial"/>
        </w:rPr>
      </w:pPr>
      <w:r>
        <w:rPr>
          <w:rFonts w:ascii="Arial" w:hAnsi="Arial" w:cs="Arial"/>
        </w:rPr>
        <w:t>Potential vehicle for the delivery of recombinant proteins and peptides in a site-specific fashion to the human gastrointestinal tract.</w:t>
      </w:r>
    </w:p>
    <w:p w14:paraId="62C39586" w14:textId="67617AD5" w:rsidR="00604279" w:rsidRDefault="00604279" w:rsidP="00604279">
      <w:pPr>
        <w:jc w:val="both"/>
        <w:rPr>
          <w:rFonts w:ascii="Arial" w:hAnsi="Arial" w:cs="Arial"/>
        </w:rPr>
      </w:pPr>
      <w:r>
        <w:rPr>
          <w:rFonts w:ascii="Arial" w:hAnsi="Arial" w:cs="Arial"/>
        </w:rPr>
        <w:t xml:space="preserve">There are currently several identified strains that meet the above criteria and are frequently used in probiotic consumer products. The two most common are </w:t>
      </w:r>
      <w:r>
        <w:rPr>
          <w:rFonts w:ascii="Arial" w:hAnsi="Arial" w:cs="Arial"/>
          <w:i/>
        </w:rPr>
        <w:t>l</w:t>
      </w:r>
      <w:r w:rsidRPr="00604279">
        <w:rPr>
          <w:rFonts w:ascii="Arial" w:hAnsi="Arial" w:cs="Arial"/>
          <w:i/>
        </w:rPr>
        <w:t>actobacillus acidophilus</w:t>
      </w:r>
      <w:r>
        <w:rPr>
          <w:rFonts w:ascii="Arial" w:hAnsi="Arial" w:cs="Arial"/>
        </w:rPr>
        <w:t xml:space="preserve">, and </w:t>
      </w:r>
      <w:proofErr w:type="spellStart"/>
      <w:r>
        <w:rPr>
          <w:rFonts w:ascii="Arial" w:hAnsi="Arial" w:cs="Arial"/>
        </w:rPr>
        <w:t>bifidobacteria</w:t>
      </w:r>
      <w:proofErr w:type="spellEnd"/>
      <w:r w:rsidR="0055018A">
        <w:rPr>
          <w:rFonts w:ascii="Arial" w:hAnsi="Arial" w:cs="Arial"/>
        </w:rPr>
        <w:t xml:space="preserve"> (</w:t>
      </w:r>
      <w:proofErr w:type="spellStart"/>
      <w:r w:rsidR="0055018A">
        <w:rPr>
          <w:rFonts w:ascii="Arial" w:hAnsi="Arial" w:cs="Arial"/>
        </w:rPr>
        <w:t>Saarela</w:t>
      </w:r>
      <w:proofErr w:type="spellEnd"/>
      <w:r w:rsidR="0055018A">
        <w:rPr>
          <w:rFonts w:ascii="Arial" w:hAnsi="Arial" w:cs="Arial"/>
        </w:rPr>
        <w:t>, 2000).</w:t>
      </w:r>
      <w:r w:rsidR="00081932">
        <w:rPr>
          <w:rFonts w:ascii="Arial" w:hAnsi="Arial" w:cs="Arial"/>
        </w:rPr>
        <w:t xml:space="preserve"> There are safety considerations when it comes to the two </w:t>
      </w:r>
      <w:proofErr w:type="gramStart"/>
      <w:r w:rsidR="00081932">
        <w:rPr>
          <w:rFonts w:ascii="Arial" w:hAnsi="Arial" w:cs="Arial"/>
        </w:rPr>
        <w:t>aforementioned strains</w:t>
      </w:r>
      <w:proofErr w:type="gramEnd"/>
      <w:r w:rsidR="00081932">
        <w:rPr>
          <w:rFonts w:ascii="Arial" w:hAnsi="Arial" w:cs="Arial"/>
        </w:rPr>
        <w:t xml:space="preserve">, however. It is well known that the rapid </w:t>
      </w:r>
      <w:r w:rsidR="00C96270">
        <w:rPr>
          <w:rFonts w:ascii="Arial" w:hAnsi="Arial" w:cs="Arial"/>
        </w:rPr>
        <w:t>proliferation</w:t>
      </w:r>
      <w:r w:rsidR="00081932">
        <w:rPr>
          <w:rFonts w:ascii="Arial" w:hAnsi="Arial" w:cs="Arial"/>
        </w:rPr>
        <w:t xml:space="preserve"> of bacteria leaves them </w:t>
      </w:r>
      <w:r w:rsidR="00C96270">
        <w:rPr>
          <w:rFonts w:ascii="Arial" w:hAnsi="Arial" w:cs="Arial"/>
        </w:rPr>
        <w:t>with a wide range of opportunities to develop antibiotic resistance. This coupled with the world’s increasingly prevalent and haphazard use of antibiotics makes the concern of our strains developing resistant a concern. It is known that lactobacilli possess many natural resistances, however, these resistances are not transmittable, and they do not usually form a safety concern</w:t>
      </w:r>
      <w:r w:rsidR="00857FA3">
        <w:rPr>
          <w:rFonts w:ascii="Arial" w:hAnsi="Arial" w:cs="Arial"/>
        </w:rPr>
        <w:t xml:space="preserve"> (Charteris et al., 1998)</w:t>
      </w:r>
      <w:r w:rsidR="00C96270">
        <w:rPr>
          <w:rFonts w:ascii="Arial" w:hAnsi="Arial" w:cs="Arial"/>
        </w:rPr>
        <w:t>.</w:t>
      </w:r>
      <w:r w:rsidR="00857FA3">
        <w:rPr>
          <w:rFonts w:ascii="Arial" w:hAnsi="Arial" w:cs="Arial"/>
        </w:rPr>
        <w:t xml:space="preserve"> </w:t>
      </w:r>
      <w:proofErr w:type="spellStart"/>
      <w:r w:rsidR="00857FA3">
        <w:rPr>
          <w:rFonts w:ascii="Arial" w:hAnsi="Arial" w:cs="Arial"/>
        </w:rPr>
        <w:t>Bifidobacteria</w:t>
      </w:r>
      <w:proofErr w:type="spellEnd"/>
      <w:r w:rsidR="00857FA3">
        <w:rPr>
          <w:rFonts w:ascii="Arial" w:hAnsi="Arial" w:cs="Arial"/>
        </w:rPr>
        <w:t>, although desired for their intrinsic low pH resistance, they may be of concern given their additional intrinsic resistance to common antibiotics. However, studies reveal that it is susceptible to vancomycin treatment and dosing (</w:t>
      </w:r>
      <w:proofErr w:type="spellStart"/>
      <w:r w:rsidR="00857FA3">
        <w:rPr>
          <w:rFonts w:ascii="Arial" w:hAnsi="Arial" w:cs="Arial"/>
        </w:rPr>
        <w:t>Edlund</w:t>
      </w:r>
      <w:proofErr w:type="spellEnd"/>
      <w:r w:rsidR="00857FA3">
        <w:rPr>
          <w:rFonts w:ascii="Arial" w:hAnsi="Arial" w:cs="Arial"/>
        </w:rPr>
        <w:t xml:space="preserve"> at al., 1997).</w:t>
      </w:r>
      <w:r w:rsidR="00480321">
        <w:rPr>
          <w:rFonts w:ascii="Arial" w:hAnsi="Arial" w:cs="Arial"/>
        </w:rPr>
        <w:t xml:space="preserve"> </w:t>
      </w:r>
    </w:p>
    <w:p w14:paraId="7B317EE3" w14:textId="77777777" w:rsidR="009345D4" w:rsidRPr="00604279" w:rsidRDefault="009345D4" w:rsidP="00604279">
      <w:pPr>
        <w:jc w:val="both"/>
        <w:rPr>
          <w:rFonts w:ascii="Arial" w:hAnsi="Arial" w:cs="Arial"/>
        </w:rPr>
      </w:pPr>
    </w:p>
    <w:sectPr w:rsidR="009345D4" w:rsidRPr="00604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A2C19"/>
    <w:multiLevelType w:val="hybridMultilevel"/>
    <w:tmpl w:val="DDCEB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40"/>
    <w:rsid w:val="00081932"/>
    <w:rsid w:val="00291ADB"/>
    <w:rsid w:val="003D15CC"/>
    <w:rsid w:val="00480321"/>
    <w:rsid w:val="0049285B"/>
    <w:rsid w:val="004C2EB2"/>
    <w:rsid w:val="004E130C"/>
    <w:rsid w:val="0055018A"/>
    <w:rsid w:val="00604279"/>
    <w:rsid w:val="00857FA3"/>
    <w:rsid w:val="00873440"/>
    <w:rsid w:val="009345D4"/>
    <w:rsid w:val="009531C9"/>
    <w:rsid w:val="00AF583F"/>
    <w:rsid w:val="00B40B15"/>
    <w:rsid w:val="00C9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D167"/>
  <w15:chartTrackingRefBased/>
  <w15:docId w15:val="{F94D2947-5B39-4B7F-8F07-B072DC09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20151">
      <w:bodyDiv w:val="1"/>
      <w:marLeft w:val="0"/>
      <w:marRight w:val="0"/>
      <w:marTop w:val="0"/>
      <w:marBottom w:val="0"/>
      <w:divBdr>
        <w:top w:val="none" w:sz="0" w:space="0" w:color="auto"/>
        <w:left w:val="none" w:sz="0" w:space="0" w:color="auto"/>
        <w:bottom w:val="none" w:sz="0" w:space="0" w:color="auto"/>
        <w:right w:val="none" w:sz="0" w:space="0" w:color="auto"/>
      </w:divBdr>
      <w:divsChild>
        <w:div w:id="634530252">
          <w:marLeft w:val="0"/>
          <w:marRight w:val="0"/>
          <w:marTop w:val="0"/>
          <w:marBottom w:val="0"/>
          <w:divBdr>
            <w:top w:val="none" w:sz="0" w:space="0" w:color="auto"/>
            <w:left w:val="none" w:sz="0" w:space="0" w:color="auto"/>
            <w:bottom w:val="none" w:sz="0" w:space="0" w:color="auto"/>
            <w:right w:val="none" w:sz="0" w:space="0" w:color="auto"/>
          </w:divBdr>
        </w:div>
        <w:div w:id="84615366">
          <w:marLeft w:val="0"/>
          <w:marRight w:val="0"/>
          <w:marTop w:val="0"/>
          <w:marBottom w:val="0"/>
          <w:divBdr>
            <w:top w:val="none" w:sz="0" w:space="0" w:color="auto"/>
            <w:left w:val="none" w:sz="0" w:space="0" w:color="auto"/>
            <w:bottom w:val="none" w:sz="0" w:space="0" w:color="auto"/>
            <w:right w:val="none" w:sz="0" w:space="0" w:color="auto"/>
          </w:divBdr>
        </w:div>
        <w:div w:id="1867676262">
          <w:marLeft w:val="0"/>
          <w:marRight w:val="0"/>
          <w:marTop w:val="0"/>
          <w:marBottom w:val="0"/>
          <w:divBdr>
            <w:top w:val="none" w:sz="0" w:space="0" w:color="auto"/>
            <w:left w:val="none" w:sz="0" w:space="0" w:color="auto"/>
            <w:bottom w:val="none" w:sz="0" w:space="0" w:color="auto"/>
            <w:right w:val="none" w:sz="0" w:space="0" w:color="auto"/>
          </w:divBdr>
        </w:div>
        <w:div w:id="1386028987">
          <w:marLeft w:val="0"/>
          <w:marRight w:val="0"/>
          <w:marTop w:val="0"/>
          <w:marBottom w:val="0"/>
          <w:divBdr>
            <w:top w:val="none" w:sz="0" w:space="0" w:color="auto"/>
            <w:left w:val="none" w:sz="0" w:space="0" w:color="auto"/>
            <w:bottom w:val="none" w:sz="0" w:space="0" w:color="auto"/>
            <w:right w:val="none" w:sz="0" w:space="0" w:color="auto"/>
          </w:divBdr>
        </w:div>
        <w:div w:id="1500998093">
          <w:marLeft w:val="0"/>
          <w:marRight w:val="0"/>
          <w:marTop w:val="0"/>
          <w:marBottom w:val="0"/>
          <w:divBdr>
            <w:top w:val="none" w:sz="0" w:space="0" w:color="auto"/>
            <w:left w:val="none" w:sz="0" w:space="0" w:color="auto"/>
            <w:bottom w:val="none" w:sz="0" w:space="0" w:color="auto"/>
            <w:right w:val="none" w:sz="0" w:space="0" w:color="auto"/>
          </w:divBdr>
        </w:div>
        <w:div w:id="1989938746">
          <w:marLeft w:val="0"/>
          <w:marRight w:val="0"/>
          <w:marTop w:val="0"/>
          <w:marBottom w:val="0"/>
          <w:divBdr>
            <w:top w:val="none" w:sz="0" w:space="0" w:color="auto"/>
            <w:left w:val="none" w:sz="0" w:space="0" w:color="auto"/>
            <w:bottom w:val="none" w:sz="0" w:space="0" w:color="auto"/>
            <w:right w:val="none" w:sz="0" w:space="0" w:color="auto"/>
          </w:divBdr>
        </w:div>
        <w:div w:id="1397390465">
          <w:marLeft w:val="0"/>
          <w:marRight w:val="0"/>
          <w:marTop w:val="0"/>
          <w:marBottom w:val="0"/>
          <w:divBdr>
            <w:top w:val="none" w:sz="0" w:space="0" w:color="auto"/>
            <w:left w:val="none" w:sz="0" w:space="0" w:color="auto"/>
            <w:bottom w:val="none" w:sz="0" w:space="0" w:color="auto"/>
            <w:right w:val="none" w:sz="0" w:space="0" w:color="auto"/>
          </w:divBdr>
        </w:div>
        <w:div w:id="489180151">
          <w:marLeft w:val="0"/>
          <w:marRight w:val="0"/>
          <w:marTop w:val="0"/>
          <w:marBottom w:val="0"/>
          <w:divBdr>
            <w:top w:val="none" w:sz="0" w:space="0" w:color="auto"/>
            <w:left w:val="none" w:sz="0" w:space="0" w:color="auto"/>
            <w:bottom w:val="none" w:sz="0" w:space="0" w:color="auto"/>
            <w:right w:val="none" w:sz="0" w:space="0" w:color="auto"/>
          </w:divBdr>
        </w:div>
        <w:div w:id="1915159463">
          <w:marLeft w:val="0"/>
          <w:marRight w:val="0"/>
          <w:marTop w:val="0"/>
          <w:marBottom w:val="0"/>
          <w:divBdr>
            <w:top w:val="none" w:sz="0" w:space="0" w:color="auto"/>
            <w:left w:val="none" w:sz="0" w:space="0" w:color="auto"/>
            <w:bottom w:val="none" w:sz="0" w:space="0" w:color="auto"/>
            <w:right w:val="none" w:sz="0" w:space="0" w:color="auto"/>
          </w:divBdr>
        </w:div>
        <w:div w:id="914973463">
          <w:marLeft w:val="0"/>
          <w:marRight w:val="0"/>
          <w:marTop w:val="0"/>
          <w:marBottom w:val="0"/>
          <w:divBdr>
            <w:top w:val="none" w:sz="0" w:space="0" w:color="auto"/>
            <w:left w:val="none" w:sz="0" w:space="0" w:color="auto"/>
            <w:bottom w:val="none" w:sz="0" w:space="0" w:color="auto"/>
            <w:right w:val="none" w:sz="0" w:space="0" w:color="auto"/>
          </w:divBdr>
        </w:div>
        <w:div w:id="493763343">
          <w:marLeft w:val="0"/>
          <w:marRight w:val="0"/>
          <w:marTop w:val="0"/>
          <w:marBottom w:val="0"/>
          <w:divBdr>
            <w:top w:val="none" w:sz="0" w:space="0" w:color="auto"/>
            <w:left w:val="none" w:sz="0" w:space="0" w:color="auto"/>
            <w:bottom w:val="none" w:sz="0" w:space="0" w:color="auto"/>
            <w:right w:val="none" w:sz="0" w:space="0" w:color="auto"/>
          </w:divBdr>
        </w:div>
        <w:div w:id="1342505963">
          <w:marLeft w:val="0"/>
          <w:marRight w:val="0"/>
          <w:marTop w:val="0"/>
          <w:marBottom w:val="0"/>
          <w:divBdr>
            <w:top w:val="none" w:sz="0" w:space="0" w:color="auto"/>
            <w:left w:val="none" w:sz="0" w:space="0" w:color="auto"/>
            <w:bottom w:val="none" w:sz="0" w:space="0" w:color="auto"/>
            <w:right w:val="none" w:sz="0" w:space="0" w:color="auto"/>
          </w:divBdr>
        </w:div>
        <w:div w:id="1157039468">
          <w:marLeft w:val="0"/>
          <w:marRight w:val="0"/>
          <w:marTop w:val="0"/>
          <w:marBottom w:val="0"/>
          <w:divBdr>
            <w:top w:val="none" w:sz="0" w:space="0" w:color="auto"/>
            <w:left w:val="none" w:sz="0" w:space="0" w:color="auto"/>
            <w:bottom w:val="none" w:sz="0" w:space="0" w:color="auto"/>
            <w:right w:val="none" w:sz="0" w:space="0" w:color="auto"/>
          </w:divBdr>
        </w:div>
        <w:div w:id="1993094257">
          <w:marLeft w:val="0"/>
          <w:marRight w:val="0"/>
          <w:marTop w:val="0"/>
          <w:marBottom w:val="0"/>
          <w:divBdr>
            <w:top w:val="none" w:sz="0" w:space="0" w:color="auto"/>
            <w:left w:val="none" w:sz="0" w:space="0" w:color="auto"/>
            <w:bottom w:val="none" w:sz="0" w:space="0" w:color="auto"/>
            <w:right w:val="none" w:sz="0" w:space="0" w:color="auto"/>
          </w:divBdr>
        </w:div>
        <w:div w:id="1865054081">
          <w:marLeft w:val="0"/>
          <w:marRight w:val="0"/>
          <w:marTop w:val="0"/>
          <w:marBottom w:val="0"/>
          <w:divBdr>
            <w:top w:val="none" w:sz="0" w:space="0" w:color="auto"/>
            <w:left w:val="none" w:sz="0" w:space="0" w:color="auto"/>
            <w:bottom w:val="none" w:sz="0" w:space="0" w:color="auto"/>
            <w:right w:val="none" w:sz="0" w:space="0" w:color="auto"/>
          </w:divBdr>
        </w:div>
        <w:div w:id="1263028731">
          <w:marLeft w:val="0"/>
          <w:marRight w:val="0"/>
          <w:marTop w:val="0"/>
          <w:marBottom w:val="0"/>
          <w:divBdr>
            <w:top w:val="none" w:sz="0" w:space="0" w:color="auto"/>
            <w:left w:val="none" w:sz="0" w:space="0" w:color="auto"/>
            <w:bottom w:val="none" w:sz="0" w:space="0" w:color="auto"/>
            <w:right w:val="none" w:sz="0" w:space="0" w:color="auto"/>
          </w:divBdr>
        </w:div>
        <w:div w:id="1230965322">
          <w:marLeft w:val="0"/>
          <w:marRight w:val="0"/>
          <w:marTop w:val="0"/>
          <w:marBottom w:val="0"/>
          <w:divBdr>
            <w:top w:val="none" w:sz="0" w:space="0" w:color="auto"/>
            <w:left w:val="none" w:sz="0" w:space="0" w:color="auto"/>
            <w:bottom w:val="none" w:sz="0" w:space="0" w:color="auto"/>
            <w:right w:val="none" w:sz="0" w:space="0" w:color="auto"/>
          </w:divBdr>
        </w:div>
        <w:div w:id="1416590526">
          <w:marLeft w:val="0"/>
          <w:marRight w:val="0"/>
          <w:marTop w:val="0"/>
          <w:marBottom w:val="0"/>
          <w:divBdr>
            <w:top w:val="none" w:sz="0" w:space="0" w:color="auto"/>
            <w:left w:val="none" w:sz="0" w:space="0" w:color="auto"/>
            <w:bottom w:val="none" w:sz="0" w:space="0" w:color="auto"/>
            <w:right w:val="none" w:sz="0" w:space="0" w:color="auto"/>
          </w:divBdr>
        </w:div>
        <w:div w:id="1101224147">
          <w:marLeft w:val="0"/>
          <w:marRight w:val="0"/>
          <w:marTop w:val="0"/>
          <w:marBottom w:val="0"/>
          <w:divBdr>
            <w:top w:val="none" w:sz="0" w:space="0" w:color="auto"/>
            <w:left w:val="none" w:sz="0" w:space="0" w:color="auto"/>
            <w:bottom w:val="none" w:sz="0" w:space="0" w:color="auto"/>
            <w:right w:val="none" w:sz="0" w:space="0" w:color="auto"/>
          </w:divBdr>
        </w:div>
        <w:div w:id="1272863011">
          <w:marLeft w:val="0"/>
          <w:marRight w:val="0"/>
          <w:marTop w:val="0"/>
          <w:marBottom w:val="0"/>
          <w:divBdr>
            <w:top w:val="none" w:sz="0" w:space="0" w:color="auto"/>
            <w:left w:val="none" w:sz="0" w:space="0" w:color="auto"/>
            <w:bottom w:val="none" w:sz="0" w:space="0" w:color="auto"/>
            <w:right w:val="none" w:sz="0" w:space="0" w:color="auto"/>
          </w:divBdr>
        </w:div>
        <w:div w:id="1036856897">
          <w:marLeft w:val="0"/>
          <w:marRight w:val="0"/>
          <w:marTop w:val="0"/>
          <w:marBottom w:val="0"/>
          <w:divBdr>
            <w:top w:val="none" w:sz="0" w:space="0" w:color="auto"/>
            <w:left w:val="none" w:sz="0" w:space="0" w:color="auto"/>
            <w:bottom w:val="none" w:sz="0" w:space="0" w:color="auto"/>
            <w:right w:val="none" w:sz="0" w:space="0" w:color="auto"/>
          </w:divBdr>
        </w:div>
        <w:div w:id="178155558">
          <w:marLeft w:val="0"/>
          <w:marRight w:val="0"/>
          <w:marTop w:val="0"/>
          <w:marBottom w:val="0"/>
          <w:divBdr>
            <w:top w:val="none" w:sz="0" w:space="0" w:color="auto"/>
            <w:left w:val="none" w:sz="0" w:space="0" w:color="auto"/>
            <w:bottom w:val="none" w:sz="0" w:space="0" w:color="auto"/>
            <w:right w:val="none" w:sz="0" w:space="0" w:color="auto"/>
          </w:divBdr>
        </w:div>
        <w:div w:id="19674150">
          <w:marLeft w:val="0"/>
          <w:marRight w:val="0"/>
          <w:marTop w:val="0"/>
          <w:marBottom w:val="0"/>
          <w:divBdr>
            <w:top w:val="none" w:sz="0" w:space="0" w:color="auto"/>
            <w:left w:val="none" w:sz="0" w:space="0" w:color="auto"/>
            <w:bottom w:val="none" w:sz="0" w:space="0" w:color="auto"/>
            <w:right w:val="none" w:sz="0" w:space="0" w:color="auto"/>
          </w:divBdr>
        </w:div>
        <w:div w:id="908615621">
          <w:marLeft w:val="0"/>
          <w:marRight w:val="0"/>
          <w:marTop w:val="0"/>
          <w:marBottom w:val="0"/>
          <w:divBdr>
            <w:top w:val="none" w:sz="0" w:space="0" w:color="auto"/>
            <w:left w:val="none" w:sz="0" w:space="0" w:color="auto"/>
            <w:bottom w:val="none" w:sz="0" w:space="0" w:color="auto"/>
            <w:right w:val="none" w:sz="0" w:space="0" w:color="auto"/>
          </w:divBdr>
        </w:div>
        <w:div w:id="468281139">
          <w:marLeft w:val="0"/>
          <w:marRight w:val="0"/>
          <w:marTop w:val="0"/>
          <w:marBottom w:val="0"/>
          <w:divBdr>
            <w:top w:val="none" w:sz="0" w:space="0" w:color="auto"/>
            <w:left w:val="none" w:sz="0" w:space="0" w:color="auto"/>
            <w:bottom w:val="none" w:sz="0" w:space="0" w:color="auto"/>
            <w:right w:val="none" w:sz="0" w:space="0" w:color="auto"/>
          </w:divBdr>
        </w:div>
        <w:div w:id="1064451833">
          <w:marLeft w:val="0"/>
          <w:marRight w:val="0"/>
          <w:marTop w:val="0"/>
          <w:marBottom w:val="0"/>
          <w:divBdr>
            <w:top w:val="none" w:sz="0" w:space="0" w:color="auto"/>
            <w:left w:val="none" w:sz="0" w:space="0" w:color="auto"/>
            <w:bottom w:val="none" w:sz="0" w:space="0" w:color="auto"/>
            <w:right w:val="none" w:sz="0" w:space="0" w:color="auto"/>
          </w:divBdr>
        </w:div>
        <w:div w:id="1591162178">
          <w:marLeft w:val="0"/>
          <w:marRight w:val="0"/>
          <w:marTop w:val="0"/>
          <w:marBottom w:val="0"/>
          <w:divBdr>
            <w:top w:val="none" w:sz="0" w:space="0" w:color="auto"/>
            <w:left w:val="none" w:sz="0" w:space="0" w:color="auto"/>
            <w:bottom w:val="none" w:sz="0" w:space="0" w:color="auto"/>
            <w:right w:val="none" w:sz="0" w:space="0" w:color="auto"/>
          </w:divBdr>
        </w:div>
        <w:div w:id="1277175136">
          <w:marLeft w:val="0"/>
          <w:marRight w:val="0"/>
          <w:marTop w:val="0"/>
          <w:marBottom w:val="0"/>
          <w:divBdr>
            <w:top w:val="none" w:sz="0" w:space="0" w:color="auto"/>
            <w:left w:val="none" w:sz="0" w:space="0" w:color="auto"/>
            <w:bottom w:val="none" w:sz="0" w:space="0" w:color="auto"/>
            <w:right w:val="none" w:sz="0" w:space="0" w:color="auto"/>
          </w:divBdr>
        </w:div>
        <w:div w:id="2034190626">
          <w:marLeft w:val="0"/>
          <w:marRight w:val="0"/>
          <w:marTop w:val="0"/>
          <w:marBottom w:val="0"/>
          <w:divBdr>
            <w:top w:val="none" w:sz="0" w:space="0" w:color="auto"/>
            <w:left w:val="none" w:sz="0" w:space="0" w:color="auto"/>
            <w:bottom w:val="none" w:sz="0" w:space="0" w:color="auto"/>
            <w:right w:val="none" w:sz="0" w:space="0" w:color="auto"/>
          </w:divBdr>
        </w:div>
        <w:div w:id="727534235">
          <w:marLeft w:val="0"/>
          <w:marRight w:val="0"/>
          <w:marTop w:val="0"/>
          <w:marBottom w:val="0"/>
          <w:divBdr>
            <w:top w:val="none" w:sz="0" w:space="0" w:color="auto"/>
            <w:left w:val="none" w:sz="0" w:space="0" w:color="auto"/>
            <w:bottom w:val="none" w:sz="0" w:space="0" w:color="auto"/>
            <w:right w:val="none" w:sz="0" w:space="0" w:color="auto"/>
          </w:divBdr>
        </w:div>
        <w:div w:id="1257517912">
          <w:marLeft w:val="0"/>
          <w:marRight w:val="0"/>
          <w:marTop w:val="0"/>
          <w:marBottom w:val="0"/>
          <w:divBdr>
            <w:top w:val="none" w:sz="0" w:space="0" w:color="auto"/>
            <w:left w:val="none" w:sz="0" w:space="0" w:color="auto"/>
            <w:bottom w:val="none" w:sz="0" w:space="0" w:color="auto"/>
            <w:right w:val="none" w:sz="0" w:space="0" w:color="auto"/>
          </w:divBdr>
        </w:div>
        <w:div w:id="142514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10</cp:revision>
  <dcterms:created xsi:type="dcterms:W3CDTF">2018-09-15T14:19:00Z</dcterms:created>
  <dcterms:modified xsi:type="dcterms:W3CDTF">2018-09-15T14:55:00Z</dcterms:modified>
</cp:coreProperties>
</file>