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342DD" w14:textId="642AA80C" w:rsidR="0049285B" w:rsidRDefault="00A31023" w:rsidP="00A31023">
      <w:pPr>
        <w:jc w:val="center"/>
        <w:rPr>
          <w:rFonts w:ascii="Arial" w:hAnsi="Arial" w:cs="Arial"/>
          <w:b/>
          <w:sz w:val="32"/>
        </w:rPr>
      </w:pPr>
      <w:r w:rsidRPr="00A31023">
        <w:rPr>
          <w:rFonts w:ascii="Arial" w:hAnsi="Arial" w:cs="Arial"/>
          <w:b/>
          <w:sz w:val="32"/>
        </w:rPr>
        <w:t>Phase 3</w:t>
      </w:r>
    </w:p>
    <w:p w14:paraId="537DB65D" w14:textId="478FAC55" w:rsidR="00A31023" w:rsidRDefault="00A31023" w:rsidP="00A31023">
      <w:pPr>
        <w:rPr>
          <w:rFonts w:ascii="Arial" w:hAnsi="Arial" w:cs="Arial"/>
          <w:i/>
          <w:sz w:val="24"/>
        </w:rPr>
      </w:pPr>
      <w:r>
        <w:rPr>
          <w:rFonts w:ascii="Arial" w:hAnsi="Arial" w:cs="Arial"/>
          <w:i/>
          <w:sz w:val="24"/>
        </w:rPr>
        <w:t>Process Control Diagram –</w:t>
      </w:r>
    </w:p>
    <w:p w14:paraId="33D278AB" w14:textId="2C34E2D1" w:rsidR="00A31023" w:rsidRDefault="00A31023" w:rsidP="00A31023">
      <w:pPr>
        <w:jc w:val="center"/>
        <w:rPr>
          <w:rFonts w:ascii="Arial" w:hAnsi="Arial" w:cs="Arial"/>
          <w:i/>
          <w:sz w:val="24"/>
        </w:rPr>
      </w:pPr>
      <w:r>
        <w:rPr>
          <w:rFonts w:ascii="Arial" w:hAnsi="Arial" w:cs="Arial"/>
          <w:i/>
          <w:noProof/>
          <w:sz w:val="24"/>
        </w:rPr>
        <w:drawing>
          <wp:inline distT="0" distB="0" distL="0" distR="0" wp14:anchorId="665EF230" wp14:editId="371DAC51">
            <wp:extent cx="5830836" cy="2676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30836" cy="2676149"/>
                    </a:xfrm>
                    <a:prstGeom prst="rect">
                      <a:avLst/>
                    </a:prstGeom>
                  </pic:spPr>
                </pic:pic>
              </a:graphicData>
            </a:graphic>
          </wp:inline>
        </w:drawing>
      </w:r>
      <w:r w:rsidR="00A004ED">
        <w:rPr>
          <w:rFonts w:ascii="Arial" w:hAnsi="Arial" w:cs="Arial"/>
          <w:i/>
          <w:sz w:val="24"/>
        </w:rPr>
        <w:t>0</w:t>
      </w:r>
    </w:p>
    <w:p w14:paraId="25383459" w14:textId="004E1B36" w:rsidR="00A31023" w:rsidRDefault="00A31023" w:rsidP="00A31023">
      <w:pPr>
        <w:jc w:val="both"/>
        <w:rPr>
          <w:rFonts w:ascii="Arial" w:hAnsi="Arial" w:cs="Arial"/>
        </w:rPr>
      </w:pPr>
      <w:r>
        <w:rPr>
          <w:rFonts w:ascii="Arial" w:hAnsi="Arial" w:cs="Arial"/>
        </w:rPr>
        <w:t>The main controlled variable in this system is the powder flow pump. This vacuum conveyor manifold will transport mixed formulation from the storage tank to the encapsulator unit operation. The</w:t>
      </w:r>
      <w:r w:rsidR="00BE38F1">
        <w:rPr>
          <w:rFonts w:ascii="Arial" w:hAnsi="Arial" w:cs="Arial"/>
        </w:rPr>
        <w:t xml:space="preserve"> pump must operate at a very specific flow rate to ensure that the encapsulator has enough formulation to operate at the desired output rate. Too much powder, we could overflow the machine and lose product, not enough, and the line will </w:t>
      </w:r>
      <w:r w:rsidR="00D00F99">
        <w:rPr>
          <w:rFonts w:ascii="Arial" w:hAnsi="Arial" w:cs="Arial"/>
        </w:rPr>
        <w:t xml:space="preserve">stall, </w:t>
      </w:r>
      <w:r w:rsidR="00BE38F1">
        <w:rPr>
          <w:rFonts w:ascii="Arial" w:hAnsi="Arial" w:cs="Arial"/>
        </w:rPr>
        <w:t>and product output will decrease.</w:t>
      </w:r>
    </w:p>
    <w:p w14:paraId="7F9B7B9A" w14:textId="41F22FBF" w:rsidR="00F51420" w:rsidRDefault="00B62C22" w:rsidP="00A31023">
      <w:pPr>
        <w:jc w:val="both"/>
        <w:rPr>
          <w:rFonts w:ascii="Arial" w:hAnsi="Arial" w:cs="Arial"/>
        </w:rPr>
      </w:pPr>
      <w:r>
        <w:rPr>
          <w:rFonts w:ascii="Arial" w:hAnsi="Arial" w:cs="Arial"/>
        </w:rPr>
        <w:t xml:space="preserve">We utilize a proportional, integral, and derivative control mechanism to control this system. Below is a list of </w:t>
      </w:r>
      <w:r w:rsidRPr="00B62C22">
        <w:rPr>
          <w:rFonts w:ascii="Arial" w:hAnsi="Arial" w:cs="Arial"/>
          <w:b/>
        </w:rPr>
        <w:t>uncontrolled, manipulated, and output variables</w:t>
      </w:r>
      <w:r w:rsidR="00537826">
        <w:rPr>
          <w:rFonts w:ascii="Arial" w:hAnsi="Arial" w:cs="Arial"/>
        </w:rPr>
        <w:t>.</w:t>
      </w:r>
    </w:p>
    <w:p w14:paraId="3A4CD8B5" w14:textId="31227232" w:rsidR="00B62C22" w:rsidRDefault="00B62C22" w:rsidP="00A31023">
      <w:pPr>
        <w:jc w:val="both"/>
        <w:rPr>
          <w:rFonts w:ascii="Arial" w:hAnsi="Arial" w:cs="Arial"/>
        </w:rPr>
      </w:pPr>
    </w:p>
    <w:p w14:paraId="1183A4DC" w14:textId="28EE8C24" w:rsidR="00B62C22" w:rsidRDefault="00B62C22" w:rsidP="00B62C22">
      <w:pPr>
        <w:jc w:val="center"/>
        <w:rPr>
          <w:rFonts w:ascii="Arial" w:hAnsi="Arial" w:cs="Arial"/>
        </w:rPr>
      </w:pPr>
      <w:r>
        <w:rPr>
          <w:rFonts w:ascii="Arial" w:hAnsi="Arial" w:cs="Arial"/>
        </w:rPr>
        <w:t>Variables:</w:t>
      </w:r>
    </w:p>
    <w:tbl>
      <w:tblPr>
        <w:tblStyle w:val="TableGrid"/>
        <w:tblW w:w="0" w:type="auto"/>
        <w:tblLook w:val="04A0" w:firstRow="1" w:lastRow="0" w:firstColumn="1" w:lastColumn="0" w:noHBand="0" w:noVBand="1"/>
      </w:tblPr>
      <w:tblGrid>
        <w:gridCol w:w="3116"/>
        <w:gridCol w:w="3117"/>
        <w:gridCol w:w="3117"/>
      </w:tblGrid>
      <w:tr w:rsidR="00B62C22" w14:paraId="42732DA5" w14:textId="77777777" w:rsidTr="00B62C22">
        <w:tc>
          <w:tcPr>
            <w:tcW w:w="3116" w:type="dxa"/>
          </w:tcPr>
          <w:p w14:paraId="735D3A5B" w14:textId="3408F713" w:rsidR="00B62C22" w:rsidRPr="00B62C22" w:rsidRDefault="00B62C22" w:rsidP="00B62C22">
            <w:pPr>
              <w:jc w:val="center"/>
              <w:rPr>
                <w:rFonts w:ascii="Arial" w:hAnsi="Arial" w:cs="Arial"/>
                <w:b/>
              </w:rPr>
            </w:pPr>
            <w:r w:rsidRPr="00B62C22">
              <w:rPr>
                <w:rFonts w:ascii="Arial" w:hAnsi="Arial" w:cs="Arial"/>
                <w:b/>
              </w:rPr>
              <w:t>Uncontrolled</w:t>
            </w:r>
          </w:p>
        </w:tc>
        <w:tc>
          <w:tcPr>
            <w:tcW w:w="3117" w:type="dxa"/>
          </w:tcPr>
          <w:p w14:paraId="5A94B915" w14:textId="66C72BF5" w:rsidR="00B62C22" w:rsidRPr="00B62C22" w:rsidRDefault="00B62C22" w:rsidP="00B62C22">
            <w:pPr>
              <w:jc w:val="center"/>
              <w:rPr>
                <w:rFonts w:ascii="Arial" w:hAnsi="Arial" w:cs="Arial"/>
                <w:b/>
              </w:rPr>
            </w:pPr>
            <w:r w:rsidRPr="00B62C22">
              <w:rPr>
                <w:rFonts w:ascii="Arial" w:hAnsi="Arial" w:cs="Arial"/>
                <w:b/>
              </w:rPr>
              <w:t>Manipulated</w:t>
            </w:r>
          </w:p>
        </w:tc>
        <w:tc>
          <w:tcPr>
            <w:tcW w:w="3117" w:type="dxa"/>
          </w:tcPr>
          <w:p w14:paraId="168D3692" w14:textId="4506906A" w:rsidR="00B62C22" w:rsidRPr="00B62C22" w:rsidRDefault="00B62C22" w:rsidP="00B62C22">
            <w:pPr>
              <w:jc w:val="center"/>
              <w:rPr>
                <w:rFonts w:ascii="Arial" w:hAnsi="Arial" w:cs="Arial"/>
                <w:b/>
              </w:rPr>
            </w:pPr>
            <w:r w:rsidRPr="00B62C22">
              <w:rPr>
                <w:rFonts w:ascii="Arial" w:hAnsi="Arial" w:cs="Arial"/>
                <w:b/>
              </w:rPr>
              <w:t>Output</w:t>
            </w:r>
          </w:p>
        </w:tc>
      </w:tr>
      <w:tr w:rsidR="00B62C22" w14:paraId="7D5CF97A" w14:textId="77777777" w:rsidTr="00B62C22">
        <w:tc>
          <w:tcPr>
            <w:tcW w:w="3116" w:type="dxa"/>
          </w:tcPr>
          <w:p w14:paraId="57AAEC08" w14:textId="6A2ECFCB" w:rsidR="00B62C22" w:rsidRDefault="00FF252C" w:rsidP="00B62C22">
            <w:pPr>
              <w:jc w:val="center"/>
              <w:rPr>
                <w:rFonts w:ascii="Arial" w:hAnsi="Arial" w:cs="Arial"/>
              </w:rPr>
            </w:pPr>
            <w:r>
              <w:rPr>
                <w:rFonts w:ascii="Arial" w:hAnsi="Arial" w:cs="Arial"/>
              </w:rPr>
              <w:t>Voltage to Pump</w:t>
            </w:r>
          </w:p>
        </w:tc>
        <w:tc>
          <w:tcPr>
            <w:tcW w:w="3117" w:type="dxa"/>
          </w:tcPr>
          <w:p w14:paraId="532DC79F" w14:textId="5A20163D" w:rsidR="00B62C22" w:rsidRDefault="00FF252C" w:rsidP="00B62C22">
            <w:pPr>
              <w:jc w:val="center"/>
              <w:rPr>
                <w:rFonts w:ascii="Arial" w:hAnsi="Arial" w:cs="Arial"/>
              </w:rPr>
            </w:pPr>
            <w:r>
              <w:rPr>
                <w:rFonts w:ascii="Arial" w:hAnsi="Arial" w:cs="Arial"/>
              </w:rPr>
              <w:t>Error</w:t>
            </w:r>
          </w:p>
        </w:tc>
        <w:tc>
          <w:tcPr>
            <w:tcW w:w="3117" w:type="dxa"/>
          </w:tcPr>
          <w:p w14:paraId="1E4FFB00" w14:textId="44C4DFBF" w:rsidR="00B62C22" w:rsidRDefault="00FF252C" w:rsidP="00B62C22">
            <w:pPr>
              <w:jc w:val="center"/>
              <w:rPr>
                <w:rFonts w:ascii="Arial" w:hAnsi="Arial" w:cs="Arial"/>
              </w:rPr>
            </w:pPr>
            <w:r>
              <w:rPr>
                <w:rFonts w:ascii="Arial" w:hAnsi="Arial" w:cs="Arial"/>
              </w:rPr>
              <w:t>Mass Flow Rate</w:t>
            </w:r>
          </w:p>
        </w:tc>
      </w:tr>
      <w:tr w:rsidR="00B62C22" w14:paraId="35B3DA6B" w14:textId="77777777" w:rsidTr="00B62C22">
        <w:tc>
          <w:tcPr>
            <w:tcW w:w="3116" w:type="dxa"/>
          </w:tcPr>
          <w:p w14:paraId="72DBAC49" w14:textId="204244A7" w:rsidR="00B62C22" w:rsidRDefault="00B62C22" w:rsidP="00B62C22">
            <w:pPr>
              <w:jc w:val="center"/>
              <w:rPr>
                <w:rFonts w:ascii="Arial" w:hAnsi="Arial" w:cs="Arial"/>
              </w:rPr>
            </w:pPr>
          </w:p>
        </w:tc>
        <w:tc>
          <w:tcPr>
            <w:tcW w:w="3117" w:type="dxa"/>
          </w:tcPr>
          <w:p w14:paraId="706D6D2B" w14:textId="279C7AFD" w:rsidR="00B62C22" w:rsidRDefault="00FF252C" w:rsidP="00B62C22">
            <w:pPr>
              <w:jc w:val="center"/>
              <w:rPr>
                <w:rFonts w:ascii="Arial" w:hAnsi="Arial" w:cs="Arial"/>
              </w:rPr>
            </w:pPr>
            <w:r>
              <w:rPr>
                <w:rFonts w:ascii="Arial" w:hAnsi="Arial" w:cs="Arial"/>
              </w:rPr>
              <w:t>Input</w:t>
            </w:r>
          </w:p>
        </w:tc>
        <w:tc>
          <w:tcPr>
            <w:tcW w:w="3117" w:type="dxa"/>
          </w:tcPr>
          <w:p w14:paraId="3102062E" w14:textId="62D4209C" w:rsidR="00B62C22" w:rsidRDefault="00FF252C" w:rsidP="00B62C22">
            <w:pPr>
              <w:jc w:val="center"/>
              <w:rPr>
                <w:rFonts w:ascii="Arial" w:hAnsi="Arial" w:cs="Arial"/>
              </w:rPr>
            </w:pPr>
            <w:r>
              <w:rPr>
                <w:rFonts w:ascii="Arial" w:hAnsi="Arial" w:cs="Arial"/>
              </w:rPr>
              <w:t>Capsule Fill Rate</w:t>
            </w:r>
          </w:p>
        </w:tc>
      </w:tr>
      <w:tr w:rsidR="00B62C22" w14:paraId="28799184" w14:textId="77777777" w:rsidTr="00B62C22">
        <w:tc>
          <w:tcPr>
            <w:tcW w:w="3116" w:type="dxa"/>
          </w:tcPr>
          <w:p w14:paraId="4FCF0E31" w14:textId="77777777" w:rsidR="00B62C22" w:rsidRDefault="00B62C22" w:rsidP="00B62C22">
            <w:pPr>
              <w:jc w:val="center"/>
              <w:rPr>
                <w:rFonts w:ascii="Arial" w:hAnsi="Arial" w:cs="Arial"/>
              </w:rPr>
            </w:pPr>
          </w:p>
        </w:tc>
        <w:tc>
          <w:tcPr>
            <w:tcW w:w="3117" w:type="dxa"/>
          </w:tcPr>
          <w:p w14:paraId="5560470A" w14:textId="77777777" w:rsidR="00B62C22" w:rsidRDefault="00B62C22" w:rsidP="00B62C22">
            <w:pPr>
              <w:jc w:val="center"/>
              <w:rPr>
                <w:rFonts w:ascii="Arial" w:hAnsi="Arial" w:cs="Arial"/>
              </w:rPr>
            </w:pPr>
          </w:p>
        </w:tc>
        <w:tc>
          <w:tcPr>
            <w:tcW w:w="3117" w:type="dxa"/>
          </w:tcPr>
          <w:p w14:paraId="69923148" w14:textId="77777777" w:rsidR="00B62C22" w:rsidRDefault="00B62C22" w:rsidP="00B62C22">
            <w:pPr>
              <w:jc w:val="center"/>
              <w:rPr>
                <w:rFonts w:ascii="Arial" w:hAnsi="Arial" w:cs="Arial"/>
              </w:rPr>
            </w:pPr>
          </w:p>
        </w:tc>
      </w:tr>
      <w:tr w:rsidR="00B62C22" w14:paraId="4BFD4607" w14:textId="77777777" w:rsidTr="00B62C22">
        <w:tc>
          <w:tcPr>
            <w:tcW w:w="3116" w:type="dxa"/>
          </w:tcPr>
          <w:p w14:paraId="5AD0402E" w14:textId="77777777" w:rsidR="00B62C22" w:rsidRDefault="00B62C22" w:rsidP="00B62C22">
            <w:pPr>
              <w:jc w:val="center"/>
              <w:rPr>
                <w:rFonts w:ascii="Arial" w:hAnsi="Arial" w:cs="Arial"/>
              </w:rPr>
            </w:pPr>
          </w:p>
        </w:tc>
        <w:tc>
          <w:tcPr>
            <w:tcW w:w="3117" w:type="dxa"/>
          </w:tcPr>
          <w:p w14:paraId="023B0CA4" w14:textId="77777777" w:rsidR="00B62C22" w:rsidRDefault="00B62C22" w:rsidP="00B62C22">
            <w:pPr>
              <w:jc w:val="center"/>
              <w:rPr>
                <w:rFonts w:ascii="Arial" w:hAnsi="Arial" w:cs="Arial"/>
              </w:rPr>
            </w:pPr>
          </w:p>
        </w:tc>
        <w:tc>
          <w:tcPr>
            <w:tcW w:w="3117" w:type="dxa"/>
          </w:tcPr>
          <w:p w14:paraId="2E60A095" w14:textId="77777777" w:rsidR="00B62C22" w:rsidRDefault="00B62C22" w:rsidP="00B62C22">
            <w:pPr>
              <w:jc w:val="center"/>
              <w:rPr>
                <w:rFonts w:ascii="Arial" w:hAnsi="Arial" w:cs="Arial"/>
              </w:rPr>
            </w:pPr>
          </w:p>
        </w:tc>
      </w:tr>
    </w:tbl>
    <w:p w14:paraId="6282FCA5" w14:textId="031E7766" w:rsidR="00B62C22" w:rsidRDefault="00B62C22" w:rsidP="00537826">
      <w:pPr>
        <w:rPr>
          <w:rFonts w:ascii="Arial" w:hAnsi="Arial" w:cs="Arial"/>
        </w:rPr>
      </w:pPr>
    </w:p>
    <w:p w14:paraId="42D742B2" w14:textId="2621FC62" w:rsidR="00537826" w:rsidRDefault="00537826" w:rsidP="00537826">
      <w:pPr>
        <w:rPr>
          <w:rFonts w:ascii="Arial" w:hAnsi="Arial" w:cs="Arial"/>
          <w:i/>
        </w:rPr>
      </w:pPr>
      <w:r>
        <w:rPr>
          <w:rFonts w:ascii="Arial" w:hAnsi="Arial" w:cs="Arial"/>
          <w:i/>
        </w:rPr>
        <w:t xml:space="preserve">Optimization – </w:t>
      </w:r>
    </w:p>
    <w:p w14:paraId="25718230" w14:textId="17C4F863" w:rsidR="0055288D" w:rsidRDefault="00537826" w:rsidP="00537826">
      <w:pPr>
        <w:rPr>
          <w:rFonts w:ascii="Arial" w:hAnsi="Arial" w:cs="Arial"/>
        </w:rPr>
      </w:pPr>
      <w:r>
        <w:rPr>
          <w:rFonts w:ascii="Arial" w:hAnsi="Arial" w:cs="Arial"/>
        </w:rPr>
        <w:t>The main concern for optimization of the encapsulation process is the cost to power the vacuum conveyor pumps that push around our product.</w:t>
      </w:r>
      <w:r w:rsidR="0085330A">
        <w:rPr>
          <w:rFonts w:ascii="Arial" w:hAnsi="Arial" w:cs="Arial"/>
        </w:rPr>
        <w:t xml:space="preserve"> In industry, the angle of repose is a metric that can characterize the powder flowability of product. A smaller angle corresponds to a higher degree of flowability. Glidants are often added to formulations to help bring down this angle of repose and subsequently increase the flowability. Glidants are expensive, however, and there is a trade off between the amount that can be added and the product cost of our material. We wanted to optimize the mass fraction of glidant in our formulation.</w:t>
      </w:r>
      <w:r w:rsidR="008B48CF">
        <w:rPr>
          <w:rFonts w:ascii="Arial" w:hAnsi="Arial" w:cs="Arial"/>
        </w:rPr>
        <w:t xml:space="preserve"> To do so, we had to be able </w:t>
      </w:r>
      <w:r w:rsidR="008B48CF">
        <w:rPr>
          <w:rFonts w:ascii="Arial" w:hAnsi="Arial" w:cs="Arial"/>
        </w:rPr>
        <w:lastRenderedPageBreak/>
        <w:t xml:space="preserve">to estimate the </w:t>
      </w:r>
      <w:r w:rsidR="0055288D">
        <w:rPr>
          <w:rFonts w:ascii="Arial" w:hAnsi="Arial" w:cs="Arial"/>
        </w:rPr>
        <w:t>angle of repose of our product, and we had to calculate the hourly product cost while comparing that to the hourly pumping cost.</w:t>
      </w:r>
    </w:p>
    <w:p w14:paraId="7A79B2D2" w14:textId="29CE1FB9" w:rsidR="0055288D" w:rsidRDefault="0055288D" w:rsidP="00537826">
      <w:pPr>
        <w:rPr>
          <w:rFonts w:ascii="Arial" w:hAnsi="Arial" w:cs="Arial"/>
        </w:rPr>
      </w:pPr>
    </w:p>
    <w:p w14:paraId="63A3B261" w14:textId="5859D43E" w:rsidR="0055288D" w:rsidRPr="009878A3" w:rsidRDefault="009878A3" w:rsidP="00537826">
      <w:pPr>
        <w:rPr>
          <w:rFonts w:ascii="Arial" w:eastAsiaTheme="minorEastAsia" w:hAnsi="Arial" w:cs="Arial"/>
        </w:rPr>
      </w:pPr>
      <m:oMathPara>
        <m:oMath>
          <m:r>
            <w:rPr>
              <w:rFonts w:ascii="Cambria Math" w:hAnsi="Cambria Math" w:cs="Arial"/>
            </w:rPr>
            <m:t>Cost of Pumping = α</m:t>
          </m:r>
          <m:sSup>
            <m:sSupPr>
              <m:ctrlPr>
                <w:rPr>
                  <w:rFonts w:ascii="Cambria Math" w:hAnsi="Cambria Math" w:cs="Arial"/>
                  <w:i/>
                </w:rPr>
              </m:ctrlPr>
            </m:sSupPr>
            <m:e>
              <m:r>
                <w:rPr>
                  <w:rFonts w:ascii="Cambria Math" w:hAnsi="Cambria Math" w:cs="Arial"/>
                </w:rPr>
                <m:t>θ</m:t>
              </m:r>
            </m:e>
            <m:sup>
              <m:r>
                <w:rPr>
                  <w:rFonts w:ascii="Cambria Math" w:hAnsi="Cambria Math" w:cs="Arial"/>
                </w:rPr>
                <m:t>2</m:t>
              </m:r>
            </m:sup>
          </m:sSup>
        </m:oMath>
      </m:oMathPara>
    </w:p>
    <w:p w14:paraId="0930255E" w14:textId="6E189877" w:rsidR="009878A3" w:rsidRPr="009878A3" w:rsidRDefault="009878A3" w:rsidP="00537826">
      <w:pPr>
        <w:rPr>
          <w:rFonts w:ascii="Arial" w:eastAsiaTheme="minorEastAsia" w:hAnsi="Arial" w:cs="Arial"/>
        </w:rPr>
      </w:pPr>
      <m:oMathPara>
        <m:oMath>
          <m:r>
            <w:rPr>
              <w:rFonts w:ascii="Cambria Math" w:hAnsi="Cambria Math" w:cs="Arial"/>
            </w:rPr>
            <m:t xml:space="preserve">Cost of Material = </m:t>
          </m:r>
          <m:acc>
            <m:accPr>
              <m:chr m:val="̇"/>
              <m:ctrlPr>
                <w:rPr>
                  <w:rFonts w:ascii="Cambria Math" w:hAnsi="Cambria Math" w:cs="Arial"/>
                  <w:i/>
                </w:rPr>
              </m:ctrlPr>
            </m:accPr>
            <m:e>
              <m:r>
                <w:rPr>
                  <w:rFonts w:ascii="Cambria Math" w:hAnsi="Cambria Math" w:cs="Arial"/>
                </w:rPr>
                <m:t>m</m:t>
              </m:r>
            </m:e>
          </m:acc>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g</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d</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d</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f</m:t>
                  </m:r>
                </m:sub>
              </m:sSub>
            </m:e>
          </m:d>
        </m:oMath>
      </m:oMathPara>
    </w:p>
    <w:p w14:paraId="5239CBF0" w14:textId="77777777" w:rsidR="006576E3" w:rsidRDefault="006576E3" w:rsidP="00537826">
      <w:pPr>
        <w:rPr>
          <w:rFonts w:ascii="Arial" w:eastAsiaTheme="minorEastAsia" w:hAnsi="Arial" w:cs="Arial"/>
        </w:rPr>
      </w:pPr>
    </w:p>
    <w:p w14:paraId="236BDB86" w14:textId="5138E2EE" w:rsidR="00B15A1A" w:rsidRDefault="009878A3" w:rsidP="00537826">
      <w:pPr>
        <w:rPr>
          <w:rFonts w:ascii="Arial" w:eastAsiaTheme="minorEastAsia" w:hAnsi="Arial" w:cs="Arial"/>
        </w:rPr>
      </w:pPr>
      <w:r>
        <w:rPr>
          <w:rFonts w:ascii="Arial" w:eastAsiaTheme="minorEastAsia" w:hAnsi="Arial" w:cs="Arial"/>
        </w:rPr>
        <w:t>While the equation for the angle of repose is a Choi-Okos type equation.</w:t>
      </w:r>
      <w:r w:rsidR="00B15A1A">
        <w:rPr>
          <w:rFonts w:ascii="Arial" w:eastAsiaTheme="minorEastAsia" w:hAnsi="Arial" w:cs="Arial"/>
        </w:rPr>
        <w:t xml:space="preserve"> Calculating the total cost of materials and pumping for various mass fractions of glidant </w:t>
      </w:r>
      <w:proofErr w:type="spellStart"/>
      <w:r w:rsidR="00B15A1A">
        <w:rPr>
          <w:rFonts w:ascii="Arial" w:eastAsiaTheme="minorEastAsia" w:hAnsi="Arial" w:cs="Arial"/>
        </w:rPr>
        <w:t>x</w:t>
      </w:r>
      <w:r w:rsidR="00B15A1A">
        <w:rPr>
          <w:rFonts w:ascii="Arial" w:eastAsiaTheme="minorEastAsia" w:hAnsi="Arial" w:cs="Arial"/>
          <w:vertAlign w:val="subscript"/>
        </w:rPr>
        <w:t>g</w:t>
      </w:r>
      <w:proofErr w:type="spellEnd"/>
      <w:r w:rsidR="00B15A1A">
        <w:rPr>
          <w:rFonts w:ascii="Arial" w:eastAsiaTheme="minorEastAsia" w:hAnsi="Arial" w:cs="Arial"/>
        </w:rPr>
        <w:t>, we obtain the following graph:</w:t>
      </w:r>
    </w:p>
    <w:p w14:paraId="0E669935" w14:textId="04296171" w:rsidR="00B15A1A" w:rsidRDefault="00B15A1A" w:rsidP="00B15A1A">
      <w:pPr>
        <w:jc w:val="center"/>
        <w:rPr>
          <w:rFonts w:ascii="Arial" w:eastAsiaTheme="minorEastAsia" w:hAnsi="Arial" w:cs="Arial"/>
        </w:rPr>
      </w:pPr>
      <w:r>
        <w:rPr>
          <w:noProof/>
        </w:rPr>
        <w:drawing>
          <wp:inline distT="0" distB="0" distL="0" distR="0" wp14:anchorId="6DB9F62C" wp14:editId="25EDEF39">
            <wp:extent cx="4572000" cy="2743200"/>
            <wp:effectExtent l="0" t="0" r="0" b="0"/>
            <wp:docPr id="2" name="Chart 2">
              <a:extLst xmlns:a="http://schemas.openxmlformats.org/drawingml/2006/main">
                <a:ext uri="{FF2B5EF4-FFF2-40B4-BE49-F238E27FC236}">
                  <a16:creationId xmlns:a16="http://schemas.microsoft.com/office/drawing/2014/main" id="{95CF9028-D5E9-4347-9057-A294FA759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8BD45D" w14:textId="622CC44D" w:rsidR="00B15A1A" w:rsidRPr="00B15A1A" w:rsidRDefault="00B15A1A" w:rsidP="00B15A1A">
      <w:pPr>
        <w:rPr>
          <w:rFonts w:ascii="Arial" w:eastAsiaTheme="minorEastAsia" w:hAnsi="Arial" w:cs="Arial"/>
        </w:rPr>
      </w:pPr>
      <w:r>
        <w:rPr>
          <w:rFonts w:ascii="Arial" w:eastAsiaTheme="minorEastAsia" w:hAnsi="Arial" w:cs="Arial"/>
        </w:rPr>
        <w:t>One can see quickly that a minimum is reached at just about 37% magnesium stearate.</w:t>
      </w:r>
      <w:r w:rsidR="00465D40">
        <w:rPr>
          <w:rFonts w:ascii="Arial" w:eastAsiaTheme="minorEastAsia" w:hAnsi="Arial" w:cs="Arial"/>
        </w:rPr>
        <w:t xml:space="preserve"> This puts our dextrose weight percent at 31.5% and our fiber weight percent at 31.5%. From there, we can then go on to calculate the hourly, monthly, and yearly production costs due to the powder flow and the actual raw material costs.</w:t>
      </w:r>
      <w:bookmarkStart w:id="0" w:name="_GoBack"/>
      <w:bookmarkEnd w:id="0"/>
    </w:p>
    <w:sectPr w:rsidR="00B15A1A" w:rsidRPr="00B1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23"/>
    <w:rsid w:val="002D0312"/>
    <w:rsid w:val="00465D40"/>
    <w:rsid w:val="0049285B"/>
    <w:rsid w:val="004C2EB2"/>
    <w:rsid w:val="00537826"/>
    <w:rsid w:val="0055288D"/>
    <w:rsid w:val="006576E3"/>
    <w:rsid w:val="0085330A"/>
    <w:rsid w:val="008B48CF"/>
    <w:rsid w:val="009531C9"/>
    <w:rsid w:val="009878A3"/>
    <w:rsid w:val="00A004ED"/>
    <w:rsid w:val="00A31023"/>
    <w:rsid w:val="00B15A1A"/>
    <w:rsid w:val="00B62C22"/>
    <w:rsid w:val="00BE38F1"/>
    <w:rsid w:val="00C87350"/>
    <w:rsid w:val="00D00F99"/>
    <w:rsid w:val="00D9595B"/>
    <w:rsid w:val="00F51420"/>
    <w:rsid w:val="00FF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3794"/>
  <w15:chartTrackingRefBased/>
  <w15:docId w15:val="{00094261-EF24-4240-A320-AA381D00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023"/>
    <w:rPr>
      <w:rFonts w:ascii="Segoe UI" w:hAnsi="Segoe UI" w:cs="Segoe UI"/>
      <w:sz w:val="18"/>
      <w:szCs w:val="18"/>
    </w:rPr>
  </w:style>
  <w:style w:type="table" w:styleId="TableGrid">
    <w:name w:val="Table Grid"/>
    <w:basedOn w:val="TableNormal"/>
    <w:uiPriority w:val="39"/>
    <w:rsid w:val="00B62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78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00\Senior%20Design\phase3\phase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4943569553805774"/>
          <c:y val="0.16067147856517935"/>
          <c:w val="0.79961286089238848"/>
          <c:h val="0.63581729367162443"/>
        </c:manualLayout>
      </c:layout>
      <c:scatterChart>
        <c:scatterStyle val="lineMarker"/>
        <c:varyColors val="0"/>
        <c:ser>
          <c:idx val="0"/>
          <c:order val="0"/>
          <c:tx>
            <c:strRef>
              <c:f>optimization!$K$1</c:f>
              <c:strCache>
                <c:ptCount val="1"/>
                <c:pt idx="0">
                  <c:v>Total Cost</c:v>
                </c:pt>
              </c:strCache>
            </c:strRef>
          </c:tx>
          <c:spPr>
            <a:ln w="9525" cap="rnd">
              <a:solidFill>
                <a:srgbClr val="FF0000"/>
              </a:solidFill>
              <a:round/>
            </a:ln>
            <a:effectLst/>
          </c:spPr>
          <c:marker>
            <c:symbol val="none"/>
          </c:marker>
          <c:xVal>
            <c:numRef>
              <c:f>optimization!$E$2:$E$68</c:f>
              <c:numCache>
                <c:formatCode>General</c:formatCode>
                <c:ptCount val="6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numCache>
            </c:numRef>
          </c:xVal>
          <c:yVal>
            <c:numRef>
              <c:f>optimization!$K$2:$K$68</c:f>
              <c:numCache>
                <c:formatCode>General</c:formatCode>
                <c:ptCount val="67"/>
                <c:pt idx="0">
                  <c:v>1051.6500000000001</c:v>
                </c:pt>
                <c:pt idx="1">
                  <c:v>1050.6104149999999</c:v>
                </c:pt>
                <c:pt idx="2">
                  <c:v>1049.5996599999999</c:v>
                </c:pt>
                <c:pt idx="3">
                  <c:v>1048.6177349999998</c:v>
                </c:pt>
                <c:pt idx="4">
                  <c:v>1047.6646399999997</c:v>
                </c:pt>
                <c:pt idx="5">
                  <c:v>1046.7403749999999</c:v>
                </c:pt>
                <c:pt idx="6">
                  <c:v>1045.8449399999997</c:v>
                </c:pt>
                <c:pt idx="7">
                  <c:v>1044.9783349999998</c:v>
                </c:pt>
                <c:pt idx="8">
                  <c:v>1044.1405600000003</c:v>
                </c:pt>
                <c:pt idx="9">
                  <c:v>1043.3316150000001</c:v>
                </c:pt>
                <c:pt idx="10">
                  <c:v>1042.5515</c:v>
                </c:pt>
                <c:pt idx="11">
                  <c:v>1041.8002150000002</c:v>
                </c:pt>
                <c:pt idx="12">
                  <c:v>1041.0777599999999</c:v>
                </c:pt>
                <c:pt idx="13">
                  <c:v>1040.384135</c:v>
                </c:pt>
                <c:pt idx="14">
                  <c:v>1039.7193399999999</c:v>
                </c:pt>
                <c:pt idx="15">
                  <c:v>1039.0833749999999</c:v>
                </c:pt>
                <c:pt idx="16">
                  <c:v>1038.47624</c:v>
                </c:pt>
                <c:pt idx="17">
                  <c:v>1037.897935</c:v>
                </c:pt>
                <c:pt idx="18">
                  <c:v>1037.3484599999997</c:v>
                </c:pt>
                <c:pt idx="19">
                  <c:v>1036.8278150000001</c:v>
                </c:pt>
                <c:pt idx="20">
                  <c:v>1036.336</c:v>
                </c:pt>
                <c:pt idx="21">
                  <c:v>1035.8730150000001</c:v>
                </c:pt>
                <c:pt idx="22">
                  <c:v>1035.4388600000002</c:v>
                </c:pt>
                <c:pt idx="23">
                  <c:v>1035.033535</c:v>
                </c:pt>
                <c:pt idx="24">
                  <c:v>1034.6570400000001</c:v>
                </c:pt>
                <c:pt idx="25">
                  <c:v>1034.309375</c:v>
                </c:pt>
                <c:pt idx="26">
                  <c:v>1033.99054</c:v>
                </c:pt>
                <c:pt idx="27">
                  <c:v>1033.7005350000004</c:v>
                </c:pt>
                <c:pt idx="28">
                  <c:v>1033.4393599999999</c:v>
                </c:pt>
                <c:pt idx="29">
                  <c:v>1033.207015</c:v>
                </c:pt>
                <c:pt idx="30">
                  <c:v>1033.0035</c:v>
                </c:pt>
                <c:pt idx="31">
                  <c:v>1032.8288150000001</c:v>
                </c:pt>
                <c:pt idx="32">
                  <c:v>1032.6829600000001</c:v>
                </c:pt>
                <c:pt idx="33">
                  <c:v>1032.5659349999999</c:v>
                </c:pt>
                <c:pt idx="34">
                  <c:v>1032.4777400000003</c:v>
                </c:pt>
                <c:pt idx="35">
                  <c:v>1032.4183750000002</c:v>
                </c:pt>
                <c:pt idx="36">
                  <c:v>1032.3878400000001</c:v>
                </c:pt>
                <c:pt idx="37">
                  <c:v>1032.3861350000002</c:v>
                </c:pt>
                <c:pt idx="38">
                  <c:v>1032.41326</c:v>
                </c:pt>
                <c:pt idx="39">
                  <c:v>1032.4692150000001</c:v>
                </c:pt>
                <c:pt idx="40">
                  <c:v>1032.5540000000001</c:v>
                </c:pt>
                <c:pt idx="41">
                  <c:v>1032.6676150000001</c:v>
                </c:pt>
                <c:pt idx="42">
                  <c:v>1032.81006</c:v>
                </c:pt>
                <c:pt idx="43">
                  <c:v>1032.9813350000002</c:v>
                </c:pt>
                <c:pt idx="44">
                  <c:v>1033.1814400000001</c:v>
                </c:pt>
                <c:pt idx="45">
                  <c:v>1033.4103750000002</c:v>
                </c:pt>
                <c:pt idx="46">
                  <c:v>1033.6681400000002</c:v>
                </c:pt>
                <c:pt idx="47">
                  <c:v>1033.954735</c:v>
                </c:pt>
                <c:pt idx="48">
                  <c:v>1034.27016</c:v>
                </c:pt>
                <c:pt idx="49">
                  <c:v>1034.6144150000002</c:v>
                </c:pt>
                <c:pt idx="50">
                  <c:v>1034.9875</c:v>
                </c:pt>
                <c:pt idx="51">
                  <c:v>1035.3894150000001</c:v>
                </c:pt>
                <c:pt idx="52">
                  <c:v>1035.82016</c:v>
                </c:pt>
                <c:pt idx="53">
                  <c:v>1036.2797350000001</c:v>
                </c:pt>
                <c:pt idx="54">
                  <c:v>1036.7681399999999</c:v>
                </c:pt>
                <c:pt idx="55">
                  <c:v>1037.2853749999999</c:v>
                </c:pt>
                <c:pt idx="56">
                  <c:v>1037.8314399999999</c:v>
                </c:pt>
                <c:pt idx="57">
                  <c:v>1038.4063350000001</c:v>
                </c:pt>
                <c:pt idx="58">
                  <c:v>1039.0100600000001</c:v>
                </c:pt>
                <c:pt idx="59">
                  <c:v>1039.642615</c:v>
                </c:pt>
                <c:pt idx="60">
                  <c:v>1040.3040000000001</c:v>
                </c:pt>
                <c:pt idx="61">
                  <c:v>1040.9942149999999</c:v>
                </c:pt>
                <c:pt idx="62">
                  <c:v>1041.71326</c:v>
                </c:pt>
                <c:pt idx="63">
                  <c:v>1042.461135</c:v>
                </c:pt>
                <c:pt idx="64">
                  <c:v>1043.2378400000002</c:v>
                </c:pt>
                <c:pt idx="65">
                  <c:v>1044.043375</c:v>
                </c:pt>
                <c:pt idx="66">
                  <c:v>1044.8777400000001</c:v>
                </c:pt>
              </c:numCache>
            </c:numRef>
          </c:yVal>
          <c:smooth val="0"/>
          <c:extLst>
            <c:ext xmlns:c16="http://schemas.microsoft.com/office/drawing/2014/chart" uri="{C3380CC4-5D6E-409C-BE32-E72D297353CC}">
              <c16:uniqueId val="{00000000-C102-45D0-9A4E-0634FBC6E288}"/>
            </c:ext>
          </c:extLst>
        </c:ser>
        <c:dLbls>
          <c:showLegendKey val="0"/>
          <c:showVal val="0"/>
          <c:showCatName val="0"/>
          <c:showSerName val="0"/>
          <c:showPercent val="0"/>
          <c:showBubbleSize val="0"/>
        </c:dLbls>
        <c:axId val="581201408"/>
        <c:axId val="581209608"/>
        <c:extLst>
          <c:ext xmlns:c15="http://schemas.microsoft.com/office/drawing/2012/chart" uri="{02D57815-91ED-43cb-92C2-25804820EDAC}">
            <c15:filteredScatterSeries>
              <c15:ser>
                <c:idx val="1"/>
                <c:order val="1"/>
                <c:tx>
                  <c:strRef>
                    <c:extLst>
                      <c:ext uri="{02D57815-91ED-43cb-92C2-25804820EDAC}">
                        <c15:formulaRef>
                          <c15:sqref>optimization!$J$1</c15:sqref>
                        </c15:formulaRef>
                      </c:ext>
                    </c:extLst>
                    <c:strCache>
                      <c:ptCount val="1"/>
                      <c:pt idx="0">
                        <c:v>Cost of Material</c:v>
                      </c:pt>
                    </c:strCache>
                  </c:strRef>
                </c:tx>
                <c:spPr>
                  <a:ln w="12700" cap="rnd">
                    <a:solidFill>
                      <a:srgbClr val="002060"/>
                    </a:solidFill>
                    <a:round/>
                  </a:ln>
                  <a:effectLst/>
                </c:spPr>
                <c:marker>
                  <c:symbol val="none"/>
                </c:marker>
                <c:xVal>
                  <c:numRef>
                    <c:extLst>
                      <c:ext uri="{02D57815-91ED-43cb-92C2-25804820EDAC}">
                        <c15:formulaRef>
                          <c15:sqref>optimization!$E$2:$E$68</c15:sqref>
                        </c15:formulaRef>
                      </c:ext>
                    </c:extLst>
                    <c:numCache>
                      <c:formatCode>General</c:formatCode>
                      <c:ptCount val="6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numCache>
                  </c:numRef>
                </c:xVal>
                <c:yVal>
                  <c:numRef>
                    <c:extLst>
                      <c:ext uri="{02D57815-91ED-43cb-92C2-25804820EDAC}">
                        <c15:formulaRef>
                          <c15:sqref>optimization!$J$2:$J$68</c15:sqref>
                        </c15:formulaRef>
                      </c:ext>
                    </c:extLst>
                    <c:numCache>
                      <c:formatCode>General</c:formatCode>
                      <c:ptCount val="67"/>
                      <c:pt idx="0">
                        <c:v>207.89999999999998</c:v>
                      </c:pt>
                      <c:pt idx="1">
                        <c:v>213.82099999999997</c:v>
                      </c:pt>
                      <c:pt idx="2">
                        <c:v>219.74199999999996</c:v>
                      </c:pt>
                      <c:pt idx="3">
                        <c:v>225.66299999999998</c:v>
                      </c:pt>
                      <c:pt idx="4">
                        <c:v>231.584</c:v>
                      </c:pt>
                      <c:pt idx="5">
                        <c:v>237.505</c:v>
                      </c:pt>
                      <c:pt idx="6">
                        <c:v>243.42599999999999</c:v>
                      </c:pt>
                      <c:pt idx="7">
                        <c:v>249.34699999999998</c:v>
                      </c:pt>
                      <c:pt idx="8">
                        <c:v>255.26800000000003</c:v>
                      </c:pt>
                      <c:pt idx="9">
                        <c:v>261.18900000000002</c:v>
                      </c:pt>
                      <c:pt idx="10">
                        <c:v>267.11</c:v>
                      </c:pt>
                      <c:pt idx="11">
                        <c:v>273.03099999999995</c:v>
                      </c:pt>
                      <c:pt idx="12">
                        <c:v>278.95199999999994</c:v>
                      </c:pt>
                      <c:pt idx="13">
                        <c:v>284.87299999999999</c:v>
                      </c:pt>
                      <c:pt idx="14">
                        <c:v>290.79399999999998</c:v>
                      </c:pt>
                      <c:pt idx="15">
                        <c:v>296.71499999999997</c:v>
                      </c:pt>
                      <c:pt idx="16">
                        <c:v>302.63599999999997</c:v>
                      </c:pt>
                      <c:pt idx="17">
                        <c:v>308.55700000000002</c:v>
                      </c:pt>
                      <c:pt idx="18">
                        <c:v>314.47800000000001</c:v>
                      </c:pt>
                      <c:pt idx="19">
                        <c:v>320.399</c:v>
                      </c:pt>
                      <c:pt idx="20">
                        <c:v>326.32000000000005</c:v>
                      </c:pt>
                      <c:pt idx="21">
                        <c:v>332.2410000000001</c:v>
                      </c:pt>
                      <c:pt idx="22">
                        <c:v>338.16200000000003</c:v>
                      </c:pt>
                      <c:pt idx="23">
                        <c:v>344.08300000000003</c:v>
                      </c:pt>
                      <c:pt idx="24">
                        <c:v>350.00400000000002</c:v>
                      </c:pt>
                      <c:pt idx="25">
                        <c:v>355.92500000000001</c:v>
                      </c:pt>
                      <c:pt idx="26">
                        <c:v>361.846</c:v>
                      </c:pt>
                      <c:pt idx="27">
                        <c:v>367.76700000000005</c:v>
                      </c:pt>
                      <c:pt idx="28">
                        <c:v>373.6880000000001</c:v>
                      </c:pt>
                      <c:pt idx="29">
                        <c:v>379.60900000000004</c:v>
                      </c:pt>
                      <c:pt idx="30">
                        <c:v>385.53000000000003</c:v>
                      </c:pt>
                      <c:pt idx="31">
                        <c:v>391.45100000000008</c:v>
                      </c:pt>
                      <c:pt idx="32">
                        <c:v>397.37200000000007</c:v>
                      </c:pt>
                      <c:pt idx="33">
                        <c:v>403.29300000000001</c:v>
                      </c:pt>
                      <c:pt idx="34">
                        <c:v>409.21400000000006</c:v>
                      </c:pt>
                      <c:pt idx="35">
                        <c:v>415.1350000000001</c:v>
                      </c:pt>
                      <c:pt idx="36">
                        <c:v>421.0560000000001</c:v>
                      </c:pt>
                      <c:pt idx="37">
                        <c:v>426.97700000000009</c:v>
                      </c:pt>
                      <c:pt idx="38">
                        <c:v>432.89800000000008</c:v>
                      </c:pt>
                      <c:pt idx="39">
                        <c:v>438.81900000000007</c:v>
                      </c:pt>
                      <c:pt idx="40">
                        <c:v>444.74000000000012</c:v>
                      </c:pt>
                      <c:pt idx="41">
                        <c:v>450.66100000000012</c:v>
                      </c:pt>
                      <c:pt idx="42">
                        <c:v>456.58200000000016</c:v>
                      </c:pt>
                      <c:pt idx="43">
                        <c:v>462.50300000000016</c:v>
                      </c:pt>
                      <c:pt idx="44">
                        <c:v>468.42400000000009</c:v>
                      </c:pt>
                      <c:pt idx="45">
                        <c:v>474.3450000000002</c:v>
                      </c:pt>
                      <c:pt idx="46">
                        <c:v>480.26600000000019</c:v>
                      </c:pt>
                      <c:pt idx="47">
                        <c:v>486.18700000000018</c:v>
                      </c:pt>
                      <c:pt idx="48">
                        <c:v>492.10800000000017</c:v>
                      </c:pt>
                      <c:pt idx="49">
                        <c:v>498.02900000000022</c:v>
                      </c:pt>
                      <c:pt idx="50">
                        <c:v>503.9500000000001</c:v>
                      </c:pt>
                      <c:pt idx="51">
                        <c:v>509.87100000000009</c:v>
                      </c:pt>
                      <c:pt idx="52">
                        <c:v>515.79200000000014</c:v>
                      </c:pt>
                      <c:pt idx="53">
                        <c:v>521.71300000000008</c:v>
                      </c:pt>
                      <c:pt idx="54">
                        <c:v>527.63400000000013</c:v>
                      </c:pt>
                      <c:pt idx="55">
                        <c:v>533.55500000000018</c:v>
                      </c:pt>
                      <c:pt idx="56">
                        <c:v>539.47600000000011</c:v>
                      </c:pt>
                      <c:pt idx="57">
                        <c:v>545.39700000000016</c:v>
                      </c:pt>
                      <c:pt idx="58">
                        <c:v>551.3180000000001</c:v>
                      </c:pt>
                      <c:pt idx="59">
                        <c:v>557.23900000000015</c:v>
                      </c:pt>
                      <c:pt idx="60">
                        <c:v>563.1600000000002</c:v>
                      </c:pt>
                      <c:pt idx="61">
                        <c:v>569.08100000000013</c:v>
                      </c:pt>
                      <c:pt idx="62">
                        <c:v>575.00200000000018</c:v>
                      </c:pt>
                      <c:pt idx="63">
                        <c:v>580.92300000000023</c:v>
                      </c:pt>
                      <c:pt idx="64">
                        <c:v>586.84400000000028</c:v>
                      </c:pt>
                      <c:pt idx="65">
                        <c:v>592.76500000000021</c:v>
                      </c:pt>
                      <c:pt idx="66">
                        <c:v>598.68600000000026</c:v>
                      </c:pt>
                    </c:numCache>
                  </c:numRef>
                </c:yVal>
                <c:smooth val="0"/>
                <c:extLst>
                  <c:ext xmlns:c16="http://schemas.microsoft.com/office/drawing/2014/chart" uri="{C3380CC4-5D6E-409C-BE32-E72D297353CC}">
                    <c16:uniqueId val="{00000001-C102-45D0-9A4E-0634FBC6E28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optimization!$I$1</c15:sqref>
                        </c15:formulaRef>
                      </c:ext>
                    </c:extLst>
                    <c:strCache>
                      <c:ptCount val="1"/>
                      <c:pt idx="0">
                        <c:v>Cost to pump/hr</c:v>
                      </c:pt>
                    </c:strCache>
                  </c:strRef>
                </c:tx>
                <c:spPr>
                  <a:ln w="9525" cap="rnd">
                    <a:solidFill>
                      <a:srgbClr val="00B050"/>
                    </a:solidFill>
                    <a:round/>
                  </a:ln>
                  <a:effectLst/>
                </c:spPr>
                <c:marker>
                  <c:symbol val="none"/>
                </c:marker>
                <c:xVal>
                  <c:numRef>
                    <c:extLst xmlns:c15="http://schemas.microsoft.com/office/drawing/2012/chart">
                      <c:ext xmlns:c15="http://schemas.microsoft.com/office/drawing/2012/chart" uri="{02D57815-91ED-43cb-92C2-25804820EDAC}">
                        <c15:formulaRef>
                          <c15:sqref>optimization!$E$2:$E$68</c15:sqref>
                        </c15:formulaRef>
                      </c:ext>
                    </c:extLst>
                    <c:numCache>
                      <c:formatCode>General</c:formatCode>
                      <c:ptCount val="6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numCache>
                  </c:numRef>
                </c:xVal>
                <c:yVal>
                  <c:numRef>
                    <c:extLst xmlns:c15="http://schemas.microsoft.com/office/drawing/2012/chart">
                      <c:ext xmlns:c15="http://schemas.microsoft.com/office/drawing/2012/chart" uri="{02D57815-91ED-43cb-92C2-25804820EDAC}">
                        <c15:formulaRef>
                          <c15:sqref>optimization!$I$2:$I$68</c15:sqref>
                        </c15:formulaRef>
                      </c:ext>
                    </c:extLst>
                    <c:numCache>
                      <c:formatCode>General</c:formatCode>
                      <c:ptCount val="67"/>
                      <c:pt idx="0">
                        <c:v>843.75</c:v>
                      </c:pt>
                      <c:pt idx="1">
                        <c:v>836.78941499999996</c:v>
                      </c:pt>
                      <c:pt idx="2">
                        <c:v>829.85765999999978</c:v>
                      </c:pt>
                      <c:pt idx="3">
                        <c:v>822.9547349999998</c:v>
                      </c:pt>
                      <c:pt idx="4">
                        <c:v>816.08063999999979</c:v>
                      </c:pt>
                      <c:pt idx="5">
                        <c:v>809.23537499999998</c:v>
                      </c:pt>
                      <c:pt idx="6">
                        <c:v>802.41893999999968</c:v>
                      </c:pt>
                      <c:pt idx="7">
                        <c:v>795.63133499999969</c:v>
                      </c:pt>
                      <c:pt idx="8">
                        <c:v>788.87256000000014</c:v>
                      </c:pt>
                      <c:pt idx="9">
                        <c:v>782.14261500000009</c:v>
                      </c:pt>
                      <c:pt idx="10">
                        <c:v>775.44150000000002</c:v>
                      </c:pt>
                      <c:pt idx="11">
                        <c:v>768.76921500000014</c:v>
                      </c:pt>
                      <c:pt idx="12">
                        <c:v>762.12576000000001</c:v>
                      </c:pt>
                      <c:pt idx="13">
                        <c:v>755.51113499999997</c:v>
                      </c:pt>
                      <c:pt idx="14">
                        <c:v>748.92533999999989</c:v>
                      </c:pt>
                      <c:pt idx="15">
                        <c:v>742.3683749999999</c:v>
                      </c:pt>
                      <c:pt idx="16">
                        <c:v>735.84023999999988</c:v>
                      </c:pt>
                      <c:pt idx="17">
                        <c:v>729.34093499999983</c:v>
                      </c:pt>
                      <c:pt idx="18">
                        <c:v>722.87045999999975</c:v>
                      </c:pt>
                      <c:pt idx="19">
                        <c:v>716.42881499999999</c:v>
                      </c:pt>
                      <c:pt idx="20">
                        <c:v>710.01599999999996</c:v>
                      </c:pt>
                      <c:pt idx="21">
                        <c:v>703.63201499999991</c:v>
                      </c:pt>
                      <c:pt idx="22">
                        <c:v>697.27686000000006</c:v>
                      </c:pt>
                      <c:pt idx="23">
                        <c:v>690.95053500000006</c:v>
                      </c:pt>
                      <c:pt idx="24">
                        <c:v>684.65304000000003</c:v>
                      </c:pt>
                      <c:pt idx="25">
                        <c:v>678.38437499999998</c:v>
                      </c:pt>
                      <c:pt idx="26">
                        <c:v>672.14454000000001</c:v>
                      </c:pt>
                      <c:pt idx="27">
                        <c:v>665.93353500000023</c:v>
                      </c:pt>
                      <c:pt idx="28">
                        <c:v>659.75135999999986</c:v>
                      </c:pt>
                      <c:pt idx="29">
                        <c:v>653.5980149999998</c:v>
                      </c:pt>
                      <c:pt idx="30">
                        <c:v>647.47350000000006</c:v>
                      </c:pt>
                      <c:pt idx="31">
                        <c:v>641.37781499999994</c:v>
                      </c:pt>
                      <c:pt idx="32">
                        <c:v>635.31095999999991</c:v>
                      </c:pt>
                      <c:pt idx="33">
                        <c:v>629.27293499999985</c:v>
                      </c:pt>
                      <c:pt idx="34">
                        <c:v>623.2637400000001</c:v>
                      </c:pt>
                      <c:pt idx="35">
                        <c:v>617.28337500000009</c:v>
                      </c:pt>
                      <c:pt idx="36">
                        <c:v>611.33183999999994</c:v>
                      </c:pt>
                      <c:pt idx="37">
                        <c:v>605.40913499999999</c:v>
                      </c:pt>
                      <c:pt idx="38">
                        <c:v>599.51526000000001</c:v>
                      </c:pt>
                      <c:pt idx="39">
                        <c:v>593.65021499999989</c:v>
                      </c:pt>
                      <c:pt idx="40">
                        <c:v>587.81399999999996</c:v>
                      </c:pt>
                      <c:pt idx="41">
                        <c:v>582.00661500000001</c:v>
                      </c:pt>
                      <c:pt idx="42">
                        <c:v>576.22805999999991</c:v>
                      </c:pt>
                      <c:pt idx="43">
                        <c:v>570.47833500000002</c:v>
                      </c:pt>
                      <c:pt idx="44">
                        <c:v>564.75743999999997</c:v>
                      </c:pt>
                      <c:pt idx="45">
                        <c:v>559.0653749999999</c:v>
                      </c:pt>
                      <c:pt idx="46">
                        <c:v>553.40213999999992</c:v>
                      </c:pt>
                      <c:pt idx="47">
                        <c:v>547.7677349999999</c:v>
                      </c:pt>
                      <c:pt idx="48">
                        <c:v>542.16215999999997</c:v>
                      </c:pt>
                      <c:pt idx="49">
                        <c:v>536.58541500000001</c:v>
                      </c:pt>
                      <c:pt idx="50">
                        <c:v>531.0374999999998</c:v>
                      </c:pt>
                      <c:pt idx="51">
                        <c:v>525.518415</c:v>
                      </c:pt>
                      <c:pt idx="52">
                        <c:v>520.02815999999984</c:v>
                      </c:pt>
                      <c:pt idx="53">
                        <c:v>514.56673499999988</c:v>
                      </c:pt>
                      <c:pt idx="54">
                        <c:v>509.13413999999977</c:v>
                      </c:pt>
                      <c:pt idx="55">
                        <c:v>503.73037499999975</c:v>
                      </c:pt>
                      <c:pt idx="56">
                        <c:v>498.35543999999976</c:v>
                      </c:pt>
                      <c:pt idx="57">
                        <c:v>493.00933499999985</c:v>
                      </c:pt>
                      <c:pt idx="58">
                        <c:v>487.69205999999991</c:v>
                      </c:pt>
                      <c:pt idx="59">
                        <c:v>482.40361499999983</c:v>
                      </c:pt>
                      <c:pt idx="60">
                        <c:v>477.14399999999983</c:v>
                      </c:pt>
                      <c:pt idx="61">
                        <c:v>471.91321499999975</c:v>
                      </c:pt>
                      <c:pt idx="62">
                        <c:v>466.71125999999987</c:v>
                      </c:pt>
                      <c:pt idx="63">
                        <c:v>461.53813499999973</c:v>
                      </c:pt>
                      <c:pt idx="64">
                        <c:v>456.39383999999984</c:v>
                      </c:pt>
                      <c:pt idx="65">
                        <c:v>451.27837499999981</c:v>
                      </c:pt>
                      <c:pt idx="66">
                        <c:v>446.19173999999987</c:v>
                      </c:pt>
                    </c:numCache>
                  </c:numRef>
                </c:yVal>
                <c:smooth val="0"/>
                <c:extLst xmlns:c15="http://schemas.microsoft.com/office/drawing/2012/chart">
                  <c:ext xmlns:c16="http://schemas.microsoft.com/office/drawing/2014/chart" uri="{C3380CC4-5D6E-409C-BE32-E72D297353CC}">
                    <c16:uniqueId val="{00000002-C102-45D0-9A4E-0634FBC6E288}"/>
                  </c:ext>
                </c:extLst>
              </c15:ser>
            </c15:filteredScatterSeries>
          </c:ext>
        </c:extLst>
      </c:scatterChart>
      <c:valAx>
        <c:axId val="581201408"/>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Mass Fraction Mg Stearate</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81209608"/>
        <c:crosses val="autoZero"/>
        <c:crossBetween val="midCat"/>
      </c:valAx>
      <c:valAx>
        <c:axId val="5812096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Total Cost/hr</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81201408"/>
        <c:crosses val="autoZero"/>
        <c:crossBetween val="midCat"/>
      </c:valAx>
      <c:spPr>
        <a:noFill/>
        <a:ln>
          <a:solidFill>
            <a:schemeClr val="tx1"/>
          </a:solidFill>
        </a:ln>
        <a:effectLst/>
      </c:spPr>
    </c:plotArea>
    <c:legend>
      <c:legendPos val="r"/>
      <c:layout>
        <c:manualLayout>
          <c:xMode val="edge"/>
          <c:yMode val="edge"/>
          <c:x val="0.68850000000000011"/>
          <c:y val="0.21483850976961213"/>
          <c:w val="0.20991666666666667"/>
          <c:h val="7.8996427529892096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b="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10</cp:revision>
  <dcterms:created xsi:type="dcterms:W3CDTF">2019-04-16T18:31:00Z</dcterms:created>
  <dcterms:modified xsi:type="dcterms:W3CDTF">2019-04-17T19:38:00Z</dcterms:modified>
</cp:coreProperties>
</file>