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3.jpg" ContentType="image/jpeg"/>
  <Override PartName="/word/media/rId224.jpg" ContentType="image/jpeg"/>
  <Override PartName="/word/media/rId225.jpg" ContentType="image/jpeg"/>
  <Override PartName="/word/media/rId226.jpg" ContentType="image/jpeg"/>
  <Override PartName="/word/media/rId227.jpg" ContentType="image/jpeg"/>
  <Override PartName="/word/media/rId228.jpg" ContentType="image/jpeg"/>
  <Override PartName="/word/media/rId229.jpg" ContentType="image/jpeg"/>
  <Override PartName="/word/media/rId230.jpg" ContentType="image/jpeg"/>
  <Override PartName="/word/media/rId2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081b99130ef4c87e611251402429544d1bf499"/>
      <w:r>
        <w:t xml:space="preserve">The gut bacterial community potentiates</w:t>
      </w:r>
      <w:r>
        <w:t xml:space="preserve"> </w:t>
      </w:r>
      <w:r>
        <w:rPr>
          <w:i/>
        </w:rPr>
        <w:t xml:space="preserve">Clostridiodes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Flynn</w:t>
      </w:r>
      <m:oMath>
        <m:sSup>
          <m:e>
            <m:r>
              <m:t>​</m:t>
            </m:r>
          </m:e>
          <m:sup>
            <m:r>
              <m:t>1</m:t>
            </m:r>
          </m:sup>
        </m:sSup>
      </m:oMath>
      <w:r>
        <w:t xml:space="preserve">, Jhansi L Leslie</w:t>
      </w:r>
      <m:oMath>
        <m:sSup>
          <m:e>
            <m:r>
              <m:t>​</m:t>
            </m:r>
          </m:e>
          <m:sup>
            <m:r>
              <m:t>1</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t xml:space="preserve"> </w:t>
      </w:r>
      <w:r>
        <w:t xml:space="preserve">3. Unit for Laboratory Animal Medicine, University of Michigan, Ann Arbor, MI</w:t>
      </w:r>
    </w:p>
    <w:p>
      <w:r>
        <w:br w:type="page"/>
      </w:r>
    </w:p>
    <w:p>
      <w:pPr>
        <w:pStyle w:val="Heading2"/>
      </w:pPr>
      <w:bookmarkStart w:id="22" w:name="abstract"/>
      <w:r>
        <w:t xml:space="preserve">Abstract</w:t>
      </w:r>
      <w:bookmarkEnd w:id="22"/>
    </w:p>
    <w:p>
      <w:pPr>
        <w:pStyle w:val="FirstParagraph"/>
      </w:pPr>
      <w:r>
        <w:rPr>
          <w:i/>
        </w:rPr>
        <w:t xml:space="preserve">Clostridioides difficile</w:t>
      </w:r>
      <w:r>
        <w:t xml:space="preserve"> </w:t>
      </w:r>
      <w:r>
        <w:t xml:space="preserve">infection (CDI) disease severity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current models of CDI disease severity that incorporate these factors are not robust enough to be broadly applied. These models lack data describing the gut microbiota. Perturbations to the gut microbiota are necessary for</w:t>
      </w:r>
      <w:r>
        <w:t xml:space="preserve"> </w:t>
      </w:r>
      <w:r>
        <w:rPr>
          <w:i/>
        </w:rPr>
        <w:t xml:space="preserve">C. difficile</w:t>
      </w:r>
      <w:r>
        <w:t xml:space="preserve"> </w:t>
      </w:r>
      <w:r>
        <w:t xml:space="preserve">to colonize the gut. The gut microbiota is thought to impair</w:t>
      </w:r>
      <w:r>
        <w:t xml:space="preserve"> </w:t>
      </w:r>
      <w:r>
        <w:rPr>
          <w:i/>
        </w:rPr>
        <w:t xml:space="preserve">C. difficile</w:t>
      </w:r>
      <w:r>
        <w:t xml:space="preserve"> </w:t>
      </w:r>
      <w:r>
        <w:t xml:space="preserve">colonization through bile acid metabolism, nutrient consumption and bacteriocin production. It has been unclear whether the gut microbiota affect CDI disease severity. However, here we demonstrate that gut bacterial communities can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RT027 clinical isolate which resulted in moribundity and histopathologic differences. The variation in severity was associated with the human fecal community that the mice received. Generally, facultative anaerobes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such as</w:t>
      </w:r>
      <w:r>
        <w:t xml:space="preserve"> </w:t>
      </w:r>
      <w:r>
        <w:rPr>
          <w:i/>
        </w:rPr>
        <w:t xml:space="preserve">Coprobacillus</w:t>
      </w:r>
      <w:r>
        <w:t xml:space="preserve">, were associated with less severe outcomes. Finally, we showed that, when infected with a different</w:t>
      </w:r>
      <w:r>
        <w:t xml:space="preserve"> </w:t>
      </w:r>
      <w:r>
        <w:rPr>
          <w:i/>
        </w:rPr>
        <w:t xml:space="preserve">C. difficile</w:t>
      </w:r>
      <w:r>
        <w:t xml:space="preserve"> </w:t>
      </w:r>
      <w:r>
        <w:t xml:space="preserve">isolate, the outcome of the infection was similar between the mice that received the same fecal donor community. These data have demonstrated that the gut bacteria can influence CDI disease severity and may improve clinical models.</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infections (CDI) can be asymptomatic or range in severity from mild diarrhea to severe outcomes including surgical interventions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 has not been investigated for its effect on CDI disease severity or incorporated into attempts to predict disease severity. We demonstrated that variation in the microbiome of mice colonized with human feces was sufficient to result in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treat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asymptomatic to mild diarrhea to toxic megacolon and death. Treatment for CDI is driven by the disease severity. The Infectious Diseases Society of America (IDSA) and Society for Healthcare Epidemiology of America (SHEA) guidelines categorize severe disease based on white blood cell count greater than 15,000 cells/mm</w:t>
      </w:r>
      <m:oMath>
        <m:sSup>
          <m:e>
            <m:r>
              <m:t>​</m:t>
            </m:r>
          </m:e>
          <m:sup>
            <m:r>
              <m:t>3</m:t>
            </m:r>
          </m:sup>
        </m:sSup>
      </m:oMath>
      <w:r>
        <w:t xml:space="preserve"> </w:t>
      </w:r>
      <w:r>
        <w:t xml:space="preserve">and/or a serum creatinine greater than 1.5 mg/dL, and complicated disease based on systolic blood pressure below 90, ileus, or toxic megacolon</w:t>
      </w:r>
      <w:r>
        <w:t xml:space="preserve"> </w:t>
      </w:r>
      <w:r>
        <w:t xml:space="preserve">(2)</w:t>
      </w:r>
      <w:r>
        <w:t xml:space="preserve">. Since these measures are only present once the disease has advanced, the IDSA classification does not allow for identification of patients at risk of severe CDI. Thus, we have limited ability to prevent patients from developing severe CDI. Ideally, we could identify patients that are high-risk of severe disease and adjust their treatments to halt the disease before it worsens.</w:t>
      </w:r>
    </w:p>
    <w:p>
      <w:pPr>
        <w:pStyle w:val="BodyText"/>
      </w:pPr>
      <w:r>
        <w:t xml:space="preserve">Prediction models have been developed to score a patients risk for severe CDI outcomes but have not been robust for broad application</w:t>
      </w:r>
      <w:r>
        <w:t xml:space="preserve"> </w:t>
      </w:r>
      <w:r>
        <w:t xml:space="preserve">(3–6)</w:t>
      </w:r>
      <w:r>
        <w:t xml:space="preserve">. There is no widely accepted definition of severe disease</w:t>
      </w:r>
      <w:r>
        <w:t xml:space="preserve"> </w:t>
      </w:r>
      <w:r>
        <w:t xml:space="preserve">(7)</w:t>
      </w:r>
      <w:r>
        <w:t xml:space="preserve">. While the IDSA guideline is frequently used, many studies develop their own severity definitions. Aside from the features utilized by the IDSA guidelines, other severity measures use patient demographics, vital information, laboratory test results, disease complications, or infection outcomes such as ICU admission, surgery and/or death</w:t>
      </w:r>
      <w:r>
        <w:t xml:space="preserve"> </w:t>
      </w:r>
      <w:r>
        <w:t xml:space="preserve">(3, 8–10)</w:t>
      </w:r>
      <w:r>
        <w:t xml:space="preserve">. However, a recent multi-center external validation of these scoring systems using a consistent severity definition - transfer or admission to the intensive care unit, colectomy, and/or death within 30 days of diagnosis - demonstrated a decline in performance and high false positivity rate</w:t>
      </w:r>
      <w:r>
        <w:t xml:space="preserve"> </w:t>
      </w:r>
      <w:r>
        <w:t xml:space="preserve">(5)</w:t>
      </w:r>
      <w:r>
        <w:t xml:space="preserve">. Thus, patient and clinical factors have not been sufficient to accurately identify patients at risk of severe CDI and may benefit from additional information involved in the development of CDI disease.</w:t>
      </w:r>
    </w:p>
    <w:p>
      <w:pPr>
        <w:pStyle w:val="BodyText"/>
      </w:pPr>
      <w:r>
        <w:t xml:space="preserve">Severity has been associated with characteristics of</w:t>
      </w:r>
      <w:r>
        <w:t xml:space="preserve"> </w:t>
      </w:r>
      <w:r>
        <w:rPr>
          <w:i/>
        </w:rPr>
        <w:t xml:space="preserve">C. difficile</w:t>
      </w:r>
      <w:r>
        <w:t xml:space="preserve"> </w:t>
      </w:r>
      <w:r>
        <w:t xml:space="preserve">ribotypes, such as 027, and host factors</w:t>
      </w:r>
      <w:r>
        <w:t xml:space="preserve"> </w:t>
      </w:r>
      <w:r>
        <w:t xml:space="preserve">(11)</w:t>
      </w:r>
      <w:r>
        <w:t xml:space="preserve">. Ribotypes with genes for toxin TcdA/TcdB have the potential to disrupt the tight junctions between the intestinal epithelial cells</w:t>
      </w:r>
      <w:r>
        <w:t xml:space="preserve"> </w:t>
      </w:r>
      <w:r>
        <w:t xml:space="preserve">(12)</w:t>
      </w:r>
      <w:r>
        <w:t xml:space="preserve">. The presence of binary toxin CDT or mutations in</w:t>
      </w:r>
      <w:r>
        <w:t xml:space="preserve"> </w:t>
      </w:r>
      <w:r>
        <w:rPr>
          <w:i/>
        </w:rPr>
        <w:t xml:space="preserve">tcdC</w:t>
      </w:r>
      <w:r>
        <w:t xml:space="preserve">, the negative regulator of toxin transcription, have been associated with increased virulence of TcdA/TcdB</w:t>
      </w:r>
      <w:r>
        <w:t xml:space="preserve"> </w:t>
      </w:r>
      <w:r>
        <w:t xml:space="preserve">(12)</w:t>
      </w:r>
      <w:r>
        <w:t xml:space="preserve">. In addition to the pathogenic potential of</w:t>
      </w:r>
      <w:r>
        <w:t xml:space="preserve"> </w:t>
      </w:r>
      <w:r>
        <w:rPr>
          <w:i/>
        </w:rPr>
        <w:t xml:space="preserve">C. difficile</w:t>
      </w:r>
      <w:r>
        <w:t xml:space="preserve">, the response by the host also affects the disease severity. IgG antibody activity towards the TcdA/TcdB are decreased in both patients with symptomatic and recurrent infections</w:t>
      </w:r>
      <w:r>
        <w:t xml:space="preserve"> </w:t>
      </w:r>
      <w:r>
        <w:t xml:space="preserve">(13)</w:t>
      </w:r>
      <w:r>
        <w:t xml:space="preserve">. In addition to controlling the infection, the immune response can also cause intestinal injury. Increased neutrophil inflitration into the mucosa after the cellular tight junctions have been compromised can exacerbate the inflammatory response</w:t>
      </w:r>
      <w:r>
        <w:t xml:space="preserve"> </w:t>
      </w:r>
      <w:r>
        <w:t xml:space="preserve">(14)</w:t>
      </w:r>
      <w:r>
        <w:t xml:space="preserve">. While we have have elucidated these major drivers of host damage in CDI, these are also the drivers of features of the poorly performing prediction models.</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susceptiblity to CDI</w:t>
      </w:r>
      <w:r>
        <w:t xml:space="preserve"> </w:t>
      </w:r>
      <w:r>
        <w:t xml:space="preserve">(15–17)</w:t>
      </w:r>
      <w:r>
        <w:t xml:space="preserve">. Once in the gut,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(18)</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(19, 20)</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(21, 22)</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 Recent studies have begun to uncover this relationship but have either used clinical data, which does not permit control of the host or</w:t>
      </w:r>
      <w:r>
        <w:t xml:space="preserve"> </w:t>
      </w:r>
      <w:r>
        <w:rPr>
          <w:i/>
        </w:rPr>
        <w:t xml:space="preserve">C. difficile</w:t>
      </w:r>
      <w:r>
        <w:t xml:space="preserve"> </w:t>
      </w:r>
      <w:r>
        <w:t xml:space="preserve">variation</w:t>
      </w:r>
      <w:r>
        <w:t xml:space="preserve"> </w:t>
      </w:r>
      <w:r>
        <w:t xml:space="preserve">(23)</w:t>
      </w:r>
      <w:r>
        <w:t xml:space="preserve"> </w:t>
      </w:r>
      <w:r>
        <w:t xml:space="preserve">or murine experiments, which lack variation in the bacterial communities</w:t>
      </w:r>
      <w:r>
        <w:t xml:space="preserve"> </w:t>
      </w:r>
      <w:r>
        <w:t xml:space="preserve">(3)</w:t>
      </w:r>
      <w:r>
        <w:t xml:space="preserve">. Recently, Tomkovich et al. showed the variation in the bacterial communities between mice from different mouse colonies resulted in different clearance rates of</w:t>
      </w:r>
      <w:r>
        <w:t xml:space="preserve"> </w:t>
      </w:r>
      <w:r>
        <w:rPr>
          <w:i/>
        </w:rPr>
        <w:t xml:space="preserve">C. difficile</w:t>
      </w:r>
      <w:r>
        <w:t xml:space="preserve"> </w:t>
      </w:r>
      <w:r>
        <w:t xml:space="preserve">(24)</w:t>
      </w:r>
      <w:r>
        <w:t xml:space="preserve">. Therefore, it is clear the gut bacteria modulate the activity and infection dynmaics of</w:t>
      </w:r>
      <w:r>
        <w:t xml:space="preserve"> </w:t>
      </w:r>
      <w:r>
        <w:rPr>
          <w:i/>
        </w:rPr>
        <w:t xml:space="preserve">C. difficile</w:t>
      </w:r>
      <w:r>
        <w:t xml:space="preserve">. We hypothesized that gut bacteria also contribute to the variation in CDI disease severity. Here, we colonized germ-free C57BL/6 mice with human fecal communities to test whether the variability in the gut bacteria can produce and explain variation in disease severity.</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perturbation.</w:t>
      </w:r>
      <w:r>
        <w:t xml:space="preserve"> </w:t>
      </w:r>
      <w:r>
        <w:t xml:space="preserve">To produce gut microbiomes with greater variation than those found in conventional mouse colonies, we colonized germ-free mice with bacteria from human feces</w:t>
      </w:r>
      <w:r>
        <w:t xml:space="preserve"> </w:t>
      </w:r>
      <w:r>
        <w:t xml:space="preserve">(25)</w:t>
      </w:r>
      <w:r>
        <w:t xml:space="preserve">. We inoculated germ-free C57BL/6 mice with homogenized feces from one of 15 human fecal samples via oral gavage. The human fecal samples were selected because they represented diverse community structures based on community clustering</w:t>
      </w:r>
      <w:r>
        <w:t xml:space="preserve"> </w:t>
      </w:r>
      <w:r>
        <w:t xml:space="preserve">(26)</w:t>
      </w:r>
      <w:r>
        <w:t xml:space="preserve">. The gut communities were allowed to establish themselves for two weeks post inoculation</w:t>
      </w:r>
      <w:r>
        <w:t xml:space="preserve"> </w:t>
      </w:r>
      <w:r>
        <w:t xml:space="preserve">(27)</w:t>
      </w:r>
      <w:r>
        <w:t xml:space="preserve">. We then surveyed the bacterial members of the gut communities by 16S rRNA gene sequencing of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each group of mice harbored unique combination of class relative abundances in their gut bacterial communities.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with antibiotics, such as clindamycin, to become susceptible to</w:t>
      </w:r>
      <w:r>
        <w:t xml:space="preserve"> </w:t>
      </w:r>
      <w:r>
        <w:rPr>
          <w:i/>
        </w:rPr>
        <w:t xml:space="preserve">C. difficile</w:t>
      </w:r>
      <w:r>
        <w:t xml:space="preserve"> </w:t>
      </w:r>
      <w:r>
        <w:t xml:space="preserve">colonization</w:t>
      </w:r>
      <w:r>
        <w:t xml:space="preserve"> </w:t>
      </w:r>
      <w:r>
        <w:t xml:space="preserve">(28, 29)</w:t>
      </w:r>
      <w:r>
        <w:t xml:space="preserve">. However, we wanted to avoid modifying the communities with an antibiotic to maintain their unique microbial compositions and ecological relationships. Since these communities came from people who have increased risk of CDI, such as hospitalization or recent antibiotic use</w:t>
      </w:r>
      <w:r>
        <w:t xml:space="preserve"> </w:t>
      </w:r>
      <w:r>
        <w:t xml:space="preserve">(26)</w:t>
      </w:r>
      <w:r>
        <w:t xml:space="preserve">, we decided to test if</w:t>
      </w:r>
      <w:r>
        <w:t xml:space="preserve"> </w:t>
      </w:r>
      <w:r>
        <w:rPr>
          <w:i/>
        </w:rPr>
        <w:t xml:space="preserve">C. difficile</w:t>
      </w:r>
      <w:r>
        <w:t xml:space="preserve"> </w:t>
      </w:r>
      <w:r>
        <w:t xml:space="preserve">was able to infect these mice without any antibiotic perturbation. We hypothesized that</w:t>
      </w:r>
      <w:r>
        <w:t xml:space="preserve"> </w:t>
      </w:r>
      <w:r>
        <w:rPr>
          <w:i/>
        </w:rPr>
        <w:t xml:space="preserve">C. difficile</w:t>
      </w:r>
      <w:r>
        <w:t xml:space="preserve"> </w:t>
      </w:r>
      <w:r>
        <w:t xml:space="preserve">would be able to colonize a subset of mice whose communities were susceptible from perturbations either the donor experienced or from the ecological selection when colonizing the murine gut. Mice were challenged with 10</w:t>
      </w:r>
      <m:oMath>
        <m:sSup>
          <m:e>
            <m:r>
              <m:t>​</m:t>
            </m:r>
          </m:e>
          <m:sup>
            <m:r>
              <m:t>3</m:t>
            </m:r>
          </m:sup>
        </m:sSup>
      </m:oMath>
      <w:r>
        <w:t xml:space="preserve"> </w:t>
      </w:r>
      <w:r>
        <w:rPr>
          <w:i/>
        </w:rPr>
        <w:t xml:space="preserve">C. difficile</w:t>
      </w:r>
      <w:r>
        <w:t xml:space="preserve"> </w:t>
      </w:r>
      <w:r>
        <w:t xml:space="preserve">ribotype 027 human isolate 431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Suprisingly, mice from all donors were colonized (Figure 2). Only two mice were able to resist</w:t>
      </w:r>
      <w:r>
        <w:t xml:space="preserve"> </w:t>
      </w:r>
      <w:r>
        <w:rPr>
          <w:i/>
        </w:rPr>
        <w:t xml:space="preserve">C. difficile</w:t>
      </w:r>
      <w:r>
        <w:t xml:space="preserve"> </w:t>
      </w:r>
      <w:r>
        <w:t xml:space="preserve">infection and both received their community from the same donor, N3.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N2 and N5, were not colonized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N3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pellets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saw there was a range in toxin activity for both the moribund and non-moribund mice (Figure 3A). Non-moribund mice from Donors N4 through N9 had comparable toxin activity as the moribund mice. Additionally, not all moribund mice had toxin activity detected in their stool. This discordance between toxin activity and disease severity has been previously described</w:t>
      </w:r>
      <w:r>
        <w:t xml:space="preserve"> </w:t>
      </w:r>
      <w:r>
        <w:t xml:space="preserve">(30, 31)</w:t>
      </w:r>
      <w:r>
        <w:t xml:space="preserve">.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ribotype 027</w:t>
      </w:r>
      <w:r>
        <w:t xml:space="preserve"> </w:t>
      </w:r>
      <w:r>
        <w:t xml:space="preserve">(32)</w:t>
      </w:r>
      <w:r>
        <w:t xml:space="preserve">. As observed with toxin activity, the moribund mice had higher histopathologic scores than the non-moribund mice (</w:t>
      </w:r>
      <w:r>
        <w:rPr>
          <w:i/>
        </w:rPr>
        <w:t xml:space="preserve">P</w:t>
      </w:r>
      <w:r>
        <w:t xml:space="preserve"> </w:t>
      </w:r>
      <w:r>
        <w:t xml:space="preserve">= 3.0e-9).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observed differences in toxin activity (Figure 4B). Many genera that associated with toxin production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associated with no toxin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has revealed bacterial genera that associated with the variation in moribundity, histopathologic score, and toxin activity of CDI.</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production, moribundity, and day 10 post-challenge histopathologic summary score. For predicting if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toxin when the community it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is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toxin activity of CDI.</w:t>
      </w:r>
    </w:p>
    <w:p>
      <w:pPr>
        <w:pStyle w:val="BodyText"/>
      </w:pPr>
      <w:r>
        <w:rPr>
          <w:b/>
        </w:rPr>
        <w:t xml:space="preserve">Disease severity consistent by donor community across isolates.</w:t>
      </w:r>
      <w:r>
        <w:t xml:space="preserve"> </w:t>
      </w:r>
      <w:r>
        <w:t xml:space="preserve">Since Carlson et al. showed clinical disease severity varied by</w:t>
      </w:r>
      <w:r>
        <w:t xml:space="preserve"> </w:t>
      </w:r>
      <w:r>
        <w:rPr>
          <w:i/>
        </w:rPr>
        <w:t xml:space="preserve">C. difficile</w:t>
      </w:r>
      <w:r>
        <w:t xml:space="preserve"> </w:t>
      </w:r>
      <w:r>
        <w:t xml:space="preserve">isolate characteristics, such as germination rate</w:t>
      </w:r>
      <w:r>
        <w:t xml:space="preserve"> </w:t>
      </w:r>
      <w:r>
        <w:t xml:space="preserve">(33, 34)</w:t>
      </w:r>
      <w:r>
        <w:t xml:space="preserve">, we next tested whether the effect of the community on CDI outcomes was conserved across</w:t>
      </w:r>
      <w:r>
        <w:t xml:space="preserve"> </w:t>
      </w:r>
      <w:r>
        <w:rPr>
          <w:i/>
        </w:rPr>
        <w:t xml:space="preserve">C. difficile</w:t>
      </w:r>
      <w:r>
        <w:t xml:space="preserve"> </w:t>
      </w:r>
      <w:r>
        <w:t xml:space="preserve">isolates. We colonized mice with human fecal slurry of either Donor N7, N6, or M4 and allowed two weeks for the community to establish. We then challenged the mice with a different</w:t>
      </w:r>
      <w:r>
        <w:t xml:space="preserve"> </w:t>
      </w:r>
      <w:r>
        <w:rPr>
          <w:i/>
        </w:rPr>
        <w:t xml:space="preserve">C. difficile</w:t>
      </w:r>
      <w:r>
        <w:t xml:space="preserve"> </w:t>
      </w:r>
      <w:r>
        <w:t xml:space="preserve">isolate and all mice were infected. The moribundity and histopathologic score outcomes when challenged with a different</w:t>
      </w:r>
      <w:r>
        <w:t xml:space="preserve"> </w:t>
      </w:r>
      <w:r>
        <w:rPr>
          <w:i/>
        </w:rPr>
        <w:t xml:space="preserve">C. difficile</w:t>
      </w:r>
      <w:r>
        <w:t xml:space="preserve"> </w:t>
      </w:r>
      <w:r>
        <w:t xml:space="preserve">human isolate were comparable to the outcomes of challenges with</w:t>
      </w:r>
      <w:r>
        <w:t xml:space="preserve"> </w:t>
      </w:r>
      <w:r>
        <w:rPr>
          <w:i/>
        </w:rPr>
        <w:t xml:space="preserve">C. difficile</w:t>
      </w:r>
      <w:r>
        <w:t xml:space="preserve"> </w:t>
      </w:r>
      <w:r>
        <w:t xml:space="preserve">ribotype 027 human isolate 431 by their donor group (Figure 6). For the isolates and communities we tested, the effect of the gut bacterial community on disease severity was greater than the effect of the variation in these isolates.</w:t>
      </w:r>
    </w:p>
    <w:p>
      <w:pPr>
        <w:pStyle w:val="Heading2"/>
      </w:pPr>
      <w:bookmarkStart w:id="26" w:name="discussion"/>
      <w:r>
        <w:t xml:space="preserve">Discussion</w:t>
      </w:r>
      <w:bookmarkEnd w:id="26"/>
    </w:p>
    <w:p>
      <w:pPr>
        <w:pStyle w:val="FirstParagraph"/>
      </w:pPr>
      <w:r>
        <w:t xml:space="preserve">Challenging mice colonized with different human fecal communities with a single</w:t>
      </w:r>
      <w:r>
        <w:t xml:space="preserve"> </w:t>
      </w:r>
      <w:r>
        <w:rPr>
          <w:i/>
        </w:rPr>
        <w:t xml:space="preserve">C. difficile</w:t>
      </w:r>
      <w:r>
        <w:t xml:space="preserve"> </w:t>
      </w:r>
      <w:r>
        <w:t xml:space="preserve">isolate, ribotype 027 isolate 431, demonstrated the variation in the gut bacteria affects the</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We used the relative abundance patterns of community members associated with disease outcomes to select donor communities to test whether the disease severity was conserved when challenged with a different</w:t>
      </w:r>
      <w:r>
        <w:t xml:space="preserve"> </w:t>
      </w:r>
      <w:r>
        <w:rPr>
          <w:i/>
        </w:rPr>
        <w:t xml:space="preserve">C. difficile</w:t>
      </w:r>
      <w:r>
        <w:t xml:space="preserve"> </w:t>
      </w:r>
      <w:r>
        <w:t xml:space="preserve">isolate. The disease outcomes from the challenge with the second</w:t>
      </w:r>
      <w:r>
        <w:t xml:space="preserve"> </w:t>
      </w:r>
      <w:r>
        <w:rPr>
          <w:i/>
        </w:rPr>
        <w:t xml:space="preserve">C. difficile</w:t>
      </w:r>
      <w:r>
        <w:t xml:space="preserve"> </w:t>
      </w:r>
      <w:r>
        <w:t xml:space="preserve">isolate matched the outcomes of the challenge with</w:t>
      </w:r>
      <w:r>
        <w:t xml:space="preserve"> </w:t>
      </w:r>
      <w:r>
        <w:rPr>
          <w:i/>
        </w:rPr>
        <w:t xml:space="preserve">C. difficile</w:t>
      </w:r>
      <w:r>
        <w:t xml:space="preserve"> </w:t>
      </w:r>
      <w:r>
        <w:t xml:space="preserve">ribotype 027 isolate 431. Therefore, the effect of the community variation on disease severity</w:t>
      </w:r>
      <w:r>
        <w:t xml:space="preserve"> </w:t>
      </w:r>
      <w:r>
        <w:rPr>
          <w:i/>
        </w:rPr>
        <w:t xml:space="preserve">in vivo</w:t>
      </w:r>
      <w:r>
        <w:t xml:space="preserve"> </w:t>
      </w:r>
      <w:r>
        <w:t xml:space="preserve">was greater than the effect of</w:t>
      </w:r>
      <w:r>
        <w:t xml:space="preserve"> </w:t>
      </w:r>
      <w:r>
        <w:rPr>
          <w:i/>
        </w:rPr>
        <w:t xml:space="preserve">C. difficile</w:t>
      </w:r>
      <w:r>
        <w:t xml:space="preserve"> </w:t>
      </w:r>
      <w:r>
        <w:t xml:space="preserve">isolate variation</w:t>
      </w:r>
      <w:r>
        <w:t xml:space="preserve"> </w:t>
      </w:r>
      <w:r>
        <w:t xml:space="preserve">(33, 34)</w:t>
      </w:r>
      <w:r>
        <w:t xml:space="preserve">. Overall, these results have demonstrated that the bacterial community contributed to the disease severity of</w:t>
      </w:r>
      <w:r>
        <w:t xml:space="preserve"> </w:t>
      </w:r>
      <w:r>
        <w:rPr>
          <w:i/>
        </w:rPr>
        <w:t xml:space="preserve">C. difficile</w:t>
      </w:r>
      <w:r>
        <w:t xml:space="preserve"> </w:t>
      </w:r>
      <w:r>
        <w:t xml:space="preserve">infection.</w:t>
      </w:r>
    </w:p>
    <w:p>
      <w:pPr>
        <w:pStyle w:val="BodyText"/>
      </w:pPr>
      <w:r>
        <w:t xml:space="preserve">CDI severity can range from no symptoms to mild symptoms, such as diarrhea, to severe symptoms, such as toxic megacolon or death. Physicians use prediction tools to identify patients most at risk of developing a severe infection using white blood cell counts, serum albumin level, or serum creatinine level</w:t>
      </w:r>
      <w:r>
        <w:t xml:space="preserve"> </w:t>
      </w:r>
      <w:r>
        <w:t xml:space="preserve">(2, 8, 35)</w:t>
      </w:r>
      <w:r>
        <w:t xml:space="preserve">. Those levels are driven by the activities in the intestine</w:t>
      </w:r>
      <w:r>
        <w:t xml:space="preserve"> </w:t>
      </w:r>
      <w:r>
        <w:t xml:space="preserve">(36)</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toxin TcdA, toxin TcdB, and binary toxin and the prevelance in outbreaks, such as ribotypes 027 and 078</w:t>
      </w:r>
      <w:r>
        <w:t xml:space="preserve"> </w:t>
      </w:r>
      <w:r>
        <w:t xml:space="preserve">(28, 37–40)</w:t>
      </w:r>
      <w:r>
        <w:t xml:space="preserve">. However, other studies have shown that virulence is not necessarily linked with toxin production</w:t>
      </w:r>
      <w:r>
        <w:t xml:space="preserve"> </w:t>
      </w:r>
      <w:r>
        <w:t xml:space="preserve">(41)</w:t>
      </w:r>
      <w:r>
        <w:t xml:space="preserve"> </w:t>
      </w:r>
      <w:r>
        <w:t xml:space="preserve">or the strain</w:t>
      </w:r>
      <w:r>
        <w:t xml:space="preserve"> </w:t>
      </w:r>
      <w:r>
        <w:t xml:space="preserve">(42)</w:t>
      </w:r>
      <w:r>
        <w:t xml:space="preserve">. Furthermore, there is variation in the genome, growth rate, sporulation, germination, and toxin production in different isolates of a strain</w:t>
      </w:r>
      <w:r>
        <w:t xml:space="preserve"> </w:t>
      </w:r>
      <w:r>
        <w:t xml:space="preserve">(33, 34, 43)</w:t>
      </w:r>
      <w:r>
        <w:t xml:space="preserve">. This variation may help explain why severe CDI prediction tools often miss identifying many patients with CDI that will develop severe disease</w:t>
      </w:r>
      <w:r>
        <w:t xml:space="preserve"> </w:t>
      </w:r>
      <w:r>
        <w:t xml:space="preserve">(3–6)</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persist in the intestine.</w:t>
      </w:r>
      <w:r>
        <w:t xml:space="preserve"> </w:t>
      </w:r>
      <w:r>
        <w:rPr>
          <w:i/>
        </w:rPr>
        <w:t xml:space="preserve">C. difficile</w:t>
      </w:r>
      <w:r>
        <w:t xml:space="preserve"> </w:t>
      </w:r>
      <w:r>
        <w:t xml:space="preserve">is unable to colonize an unperturbed healthy gut community and is only able to become established after a perturbation</w:t>
      </w:r>
      <w:r>
        <w:t xml:space="preserve"> </w:t>
      </w:r>
      <w:r>
        <w:t xml:space="preserve">(29)</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(44–46)</w:t>
      </w:r>
      <w:r>
        <w:t xml:space="preserve">. The gut bacteria metabolize primary bile acids into secondary bile acids</w:t>
      </w:r>
      <w:r>
        <w:t xml:space="preserve"> </w:t>
      </w:r>
      <w:r>
        <w:t xml:space="preserve">(47, 48)</w:t>
      </w:r>
      <w:r>
        <w:t xml:space="preserve">. The concentration of these bile acids affect the germination, growth, toxin production and biofilm formation</w:t>
      </w:r>
      <w:r>
        <w:t xml:space="preserve"> </w:t>
      </w:r>
      <w:r>
        <w:t xml:space="preserve">(19, 20, 49, 50)</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(51, 52)</w:t>
      </w:r>
      <w:r>
        <w:t xml:space="preserve">. The nutrient environment affects toxin production</w:t>
      </w:r>
      <w:r>
        <w:t xml:space="preserve"> </w:t>
      </w:r>
      <w:r>
        <w:t xml:space="preserve">(53)</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Myriad studies have explored the relationship between the microbiome and CDI but none have established a relationship between the variation of disease severity and the microbiome. CDI studies often use an infection model with a single homogeneous bacterial community. Collins et al. used multiple human communities to colonize mice, however the communities were pooled prior to gavaging into germ-free mice</w:t>
      </w:r>
      <w:r>
        <w:t xml:space="preserve"> </w:t>
      </w:r>
      <w:r>
        <w:t xml:space="preserve">(54)</w:t>
      </w:r>
      <w:r>
        <w:t xml:space="preserve">, resulting in a single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ribotype 027 for severe</w:t>
      </w:r>
      <w:r>
        <w:t xml:space="preserve"> </w:t>
      </w:r>
      <w:r>
        <w:t xml:space="preserve">(28, 37, 38, 55)</w:t>
      </w:r>
      <w:r>
        <w:t xml:space="preserve">. Studies have also demonstrated variation in infection through tapering antibiotic dosage</w:t>
      </w:r>
      <w:r>
        <w:t xml:space="preserve"> </w:t>
      </w:r>
      <w:r>
        <w:t xml:space="preserve">(29, 46, 56)</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(28, 56)</w:t>
      </w:r>
      <w:r>
        <w:t xml:space="preserve">. These studies either lack variation in the microbiome or have variation in the</w:t>
      </w:r>
      <w:r>
        <w:t xml:space="preserve"> </w:t>
      </w:r>
      <w:r>
        <w:rPr>
          <w:i/>
        </w:rPr>
        <w:t xml:space="preserve">C. difficile</w:t>
      </w:r>
      <w:r>
        <w:t xml:space="preserve"> </w:t>
      </w:r>
      <w:r>
        <w:t xml:space="preserve">infection itself, therefore we cannot make any association between variation in severity and the microbiome.</w:t>
      </w:r>
    </w:p>
    <w:p>
      <w:pPr>
        <w:pStyle w:val="BodyText"/>
      </w:pPr>
      <w:r>
        <w:t xml:space="preserve">With our recent observations that the initial community affected the ability of</w:t>
      </w:r>
      <w:r>
        <w:t xml:space="preserve"> </w:t>
      </w:r>
      <w:r>
        <w:rPr>
          <w:i/>
        </w:rPr>
        <w:t xml:space="preserve">C. difficile</w:t>
      </w:r>
      <w:r>
        <w:t xml:space="preserve"> </w:t>
      </w:r>
      <w:r>
        <w:t xml:space="preserve">to persist in the gut</w:t>
      </w:r>
      <w:r>
        <w:t xml:space="preserve"> </w:t>
      </w:r>
      <w:r>
        <w:t xml:space="preserve">(24, 46)</w:t>
      </w:r>
      <w:r>
        <w:t xml:space="preserve"> </w:t>
      </w:r>
      <w:r>
        <w:t xml:space="preserve">and the existing research describing the myriad interactions between the microbiome and</w:t>
      </w:r>
      <w:r>
        <w:t xml:space="preserve"> </w:t>
      </w:r>
      <w:r>
        <w:rPr>
          <w:i/>
        </w:rPr>
        <w:t xml:space="preserve">C. difficile</w:t>
      </w:r>
      <w:r>
        <w:t xml:space="preserve">, we hypothesized that the microbiome can modulate CDI disease severity. 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(57–60)</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(61–63)</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(64–66)</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(66, 67)</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(68–70)</w:t>
      </w:r>
      <w:r>
        <w:t xml:space="preserve">. Similarly with</w:t>
      </w:r>
      <w:r>
        <w:t xml:space="preserve"> </w:t>
      </w:r>
      <w:r>
        <w:rPr>
          <w:i/>
        </w:rPr>
        <w:t xml:space="preserve">Enterocloster</w:t>
      </w:r>
      <w:r>
        <w:t xml:space="preserve">, in our data this genus 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(71, 72)</w:t>
      </w:r>
      <w:r>
        <w:t xml:space="preserve">. However,</w:t>
      </w:r>
      <w:r>
        <w:t xml:space="preserve"> </w:t>
      </w:r>
      <w:r>
        <w:rPr>
          <w:i/>
        </w:rPr>
        <w:t xml:space="preserve">Enterocloster</w:t>
      </w:r>
      <w:r>
        <w:t xml:space="preserve">, a member of indigenous gut communities, has been involved in infections, such as bacteremia</w:t>
      </w:r>
      <w:r>
        <w:t xml:space="preserve"> </w:t>
      </w:r>
      <w:r>
        <w:t xml:space="preserve">(73, 74)</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(26, 75, 76)</w:t>
      </w:r>
      <w:r>
        <w:t xml:space="preserve"> </w:t>
      </w:r>
      <w:r>
        <w:t xml:space="preserve">and are commonly detected in CDI cases</w:t>
      </w:r>
      <w:r>
        <w:t xml:space="preserve"> </w:t>
      </w:r>
      <w:r>
        <w:t xml:space="preserve">(77–80)</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(81–83)</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(84)</w:t>
      </w:r>
      <w:r>
        <w:t xml:space="preserve">. In our experiments, when</w:t>
      </w:r>
      <w:r>
        <w:t xml:space="preserve"> </w:t>
      </w:r>
      <w:r>
        <w:rPr>
          <w:i/>
        </w:rPr>
        <w:t xml:space="preserve">Helicobacter</w:t>
      </w:r>
      <w:r>
        <w:t xml:space="preserve"> </w:t>
      </w:r>
      <w:r>
        <w:t xml:space="preserve">was present, the infection resulted in a high histopathologic score.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in some case and either no effect or more severe disease in others, it may be more appropriate to apply the damage-response framework for microbial pathogenesis to CDI</w:t>
      </w:r>
      <w:r>
        <w:t xml:space="preserve"> </w:t>
      </w:r>
      <w:r>
        <w:t xml:space="preserve">(85, 86)</w:t>
      </w:r>
      <w:r>
        <w:t xml:space="preserve">.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C57BL/6 mice, the same infecting microbe,</w:t>
      </w:r>
      <w:r>
        <w:t xml:space="preserve"> </w:t>
      </w:r>
      <w:r>
        <w:rPr>
          <w:i/>
        </w:rPr>
        <w:t xml:space="preserve">C. difficile</w:t>
      </w:r>
      <w:r>
        <w:t xml:space="preserve"> </w:t>
      </w:r>
      <w:r>
        <w:t xml:space="preserve">ribotype 027 human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can drive host damage through the production of toxin. The gut microbiota can contribute to the host damage through the balance of metabolic and competitive activities, such as bacteriocin production or mucin degradation. For example, low levels of mucin degradation can provide nutrients to other community members producing a diverse non-damaging community</w:t>
      </w:r>
      <w:r>
        <w:t xml:space="preserve"> </w:t>
      </w:r>
      <w:r>
        <w:t xml:space="preserve">(87)</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Many studies have investigated individual activities that contribute to CDI. Here we have shown myriad bacterial groups and their relative abundances associated with variation in severity of CDI disease. We must continue to explore how host, microbiota, and</w:t>
      </w:r>
      <w:r>
        <w:t xml:space="preserve"> </w:t>
      </w:r>
      <w:r>
        <w:rPr>
          <w:i/>
        </w:rPr>
        <w:t xml:space="preserve">C. difficile</w:t>
      </w:r>
      <w:r>
        <w:t xml:space="preserve"> </w:t>
      </w:r>
      <w:r>
        <w:t xml:space="preserve">interactions result in severe outcomes. We may be able to reduce the risk of severity with a better understanding of which interactions, whether driven by specific community functions or groups of bacteria, reduce host damage. Approaching this problem from a damage-response framework would expand the treatment to modifying multiple groups of bacteria and activities to reduce overall host damage. Our current clinical treatment for primary CDI targets an individual group of this tripartite system. Most commonly, CDI is treated with an antibiotic to eliminate</w:t>
      </w:r>
      <w:r>
        <w:t xml:space="preserve"> </w:t>
      </w:r>
      <w:r>
        <w:rPr>
          <w:i/>
        </w:rPr>
        <w:t xml:space="preserve">C. difficile</w:t>
      </w:r>
      <w:r>
        <w:t xml:space="preserve">. Alternatively, another treatment uses antibodies to neutralize</w:t>
      </w:r>
      <w:r>
        <w:t xml:space="preserve"> </w:t>
      </w:r>
      <w:r>
        <w:rPr>
          <w:i/>
        </w:rPr>
        <w:t xml:space="preserve">C. difficile</w:t>
      </w:r>
      <w:r>
        <w:t xml:space="preserve"> </w:t>
      </w:r>
      <w:r>
        <w:t xml:space="preserve">toxins. These treatments are only addressing a single entity of the system, leaving the potential for the others to maintain responses that contribute to host damage. However, we may be able to improve CDI treatment through elucidating interventions that drive all three entities towards reduced host damage. When a patient is diagnosed with CDI, the gut community composition, in addition to the traditionally obtained clinical information, may improve our severity prediction and guide profilactic treatment. Treating the microbiome at the time of diagnosis may prevent the infection from becoming more severe. Based on the general trends of our results, promoting fiber metabolizing bacteria and reducing facultative anaerobes may bolster the efficacy of current CDI treatments, reducing disease severity.</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were housed in cages of 2-4 mice per cage and maintained in germ-free isolators at the University of Michigan germ-free facility. All mouse experiments were approved by the University Committee on Use and Care of Animals at the University of Michigan.</w:t>
      </w:r>
      <w:r>
        <w:t xml:space="preserve"> </w:t>
      </w:r>
      <w:r>
        <w:rPr>
          <w:b/>
        </w:rPr>
        <w:t xml:space="preserve">Were the mice maintained in gnotobiotic isolators throughout the experiment? Or were they transferred to BSL2 conditions prior to administering the human FMTs?</w:t>
      </w:r>
    </w:p>
    <w:p>
      <w:pPr>
        <w:pStyle w:val="BodyText"/>
      </w:pPr>
      <w:r>
        <w:rPr>
          <w:i/>
          <w:b/>
        </w:rPr>
        <w:t xml:space="preserve">C. difficile</w:t>
      </w:r>
      <w:r>
        <w:rPr>
          <w:b/>
        </w:rPr>
        <w:t xml:space="preserve"> </w:t>
      </w:r>
      <w:r>
        <w:rPr>
          <w:b/>
        </w:rPr>
        <w:t xml:space="preserve">experiments.</w:t>
      </w:r>
      <w:r>
        <w:t xml:space="preserve"> </w:t>
      </w:r>
      <w:r>
        <w:t xml:space="preserve">Human fecal samples were obtained from Schubert et al. and selected based on community clusters</w:t>
      </w:r>
      <w:r>
        <w:t xml:space="preserve"> </w:t>
      </w:r>
      <w:r>
        <w:t xml:space="preserve">(26)</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For the set of experiments testing multiple</w:t>
      </w:r>
      <w:r>
        <w:t xml:space="preserve"> </w:t>
      </w:r>
      <w:r>
        <w:rPr>
          <w:i/>
        </w:rPr>
        <w:t xml:space="preserve">C. difficile</w:t>
      </w:r>
      <w:r>
        <w:t xml:space="preserve"> </w:t>
      </w:r>
      <w:r>
        <w:t xml:space="preserve">clinical isolates, we selected a subset of donor fecal samples based on their associated mouse transplant communities and the outcomes in the experiments with</w:t>
      </w:r>
      <w:r>
        <w:t xml:space="preserve"> </w:t>
      </w:r>
      <w:r>
        <w:rPr>
          <w:i/>
        </w:rPr>
        <w:t xml:space="preserve">C. difficile</w:t>
      </w:r>
      <w:r>
        <w:t xml:space="preserve"> </w:t>
      </w:r>
      <w:r>
        <w:t xml:space="preserve">ribotype 027 isolate 431 that fit the following criteria: one community we would expect to result in a low histopathologic score (&lt; 5), a high histopathologic score (&gt; 5), and a high histopathologic score which becomes moribund. Additionally, we selected the donors based their relative abundances of genera identified through the our analysis (Figure S3).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isolates came from Carlson et al. which had previously been isolated and characterized</w:t>
      </w:r>
      <w:r>
        <w:t xml:space="preserve"> </w:t>
      </w:r>
      <w:r>
        <w:t xml:space="preserve">(33, 34)</w:t>
      </w:r>
      <w:r>
        <w:t xml:space="preserve">. Spores concentration were determined both before and after challenge</w:t>
      </w:r>
      <w:r>
        <w:t xml:space="preserve"> </w:t>
      </w:r>
      <w:r>
        <w:t xml:space="preserve">(88)</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r>
        <w:t xml:space="preserve"> </w:t>
      </w:r>
      <w:r>
        <w:rPr>
          <w:b/>
        </w:rPr>
        <w:t xml:space="preserve">How were human FMTs prepared (anaerobically vs aerobically, etc)?</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also collected and weighed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(89)</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(90)</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(90, 91)</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(92)</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Fecal sample remaining after plating for CFU and DNA extraction were collected in a preweighted sterile tube and stored at -80°C. To prepare the sample for the activity assay, samples were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(38)</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scored who was blinded to the experimental groups</w:t>
      </w:r>
      <w:r>
        <w:t xml:space="preserve"> </w:t>
      </w:r>
      <w:r>
        <w:t xml:space="preserve">(38)</w:t>
      </w:r>
      <w:r>
        <w:t xml:space="preserve">.</w:t>
      </w:r>
    </w:p>
    <w:p>
      <w:pPr>
        <w:pStyle w:val="BodyText"/>
      </w:pPr>
      <w:r>
        <w:rPr>
          <w:b/>
        </w:rPr>
        <w:t xml:space="preserve">Statistical analysis and modeling.</w:t>
      </w:r>
      <w:r>
        <w:t xml:space="preserve"> </w:t>
      </w:r>
      <w:r>
        <w:t xml:space="preserve">To compare community structures, we calculated Yue and Clayton dissimilarity matrices in mothur</w:t>
      </w:r>
      <w:r>
        <w:t xml:space="preserve"> </w:t>
      </w:r>
      <w:r>
        <w:t xml:space="preserve">(93)</w:t>
      </w:r>
      <w:r>
        <w:t xml:space="preserve">. We rarified samples to 2,107 sequences per sample to limit uneven sampling biases. We tested for differences in individual taxonomic groups that would explain the outcome differences with LEfSe</w:t>
      </w:r>
      <w:r>
        <w:t xml:space="preserve"> </w:t>
      </w:r>
      <w:r>
        <w:t xml:space="preserve">(94)</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)using the Wilcoxon rank sum test. We used Spearman’s corrlation to identified the OTU which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(95)</w:t>
      </w:r>
      <w:r>
        <w:t xml:space="preserve">. We built random forest models using the mikropml package</w:t>
      </w:r>
      <w:r>
        <w:t xml:space="preserve"> </w:t>
      </w:r>
      <w:r>
        <w:t xml:space="preserve">(96)</w:t>
      </w:r>
      <w:r>
        <w:t xml:space="preserve"> </w:t>
      </w:r>
      <w:r>
        <w:t xml:space="preserve">with OTUs from day 0 samples using mtry values of 1 through 10, 15, 20, 25, 40, 50, 100. The split for training and testing varied by model to avoid overfitting the data. The toxin and moribundity models were trained with 60% of the data. The histopathologic score model was trained with 80% of the data. Lastly, we did not analyze murine communities to donor community or clinical data because germ-free mice colonized with human fecal communities become more like indigenous murine communities once stabilized. Futhermore, we are not trying to make any claims about human bacteria and their association with human CDI.</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XXXX.</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22"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Dieterle2020"/>
    <w:p>
      <w:pPr>
        <w:pStyle w:val="Bibliography"/>
      </w:pPr>
      <w:r>
        <w:t xml:space="preserve">3.</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35">
        <w:r>
          <w:rPr>
            <w:rStyle w:val="Hyperlink"/>
          </w:rPr>
          <w:t xml:space="preserve">10.1128/mbio.00180-20</w:t>
        </w:r>
      </w:hyperlink>
      <w:r>
        <w:t xml:space="preserve">.</w:t>
      </w:r>
    </w:p>
    <w:bookmarkEnd w:id="36"/>
    <w:bookmarkStart w:id="38" w:name="ref-Butt2013"/>
    <w:p>
      <w:pPr>
        <w:pStyle w:val="Bibliography"/>
      </w:pPr>
      <w:r>
        <w:t xml:space="preserve">4.</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37">
        <w:r>
          <w:rPr>
            <w:rStyle w:val="Hyperlink"/>
          </w:rPr>
          <w:t xml:space="preserve">10.1186/1471-2334-13-316</w:t>
        </w:r>
      </w:hyperlink>
      <w:r>
        <w:t xml:space="preserve">.</w:t>
      </w:r>
    </w:p>
    <w:bookmarkEnd w:id="38"/>
    <w:bookmarkStart w:id="40" w:name="ref-Perry2021"/>
    <w:p>
      <w:pPr>
        <w:pStyle w:val="Bibliography"/>
      </w:pPr>
      <w:r>
        <w:t xml:space="preserve">5.</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9">
        <w:r>
          <w:rPr>
            <w:rStyle w:val="Hyperlink"/>
          </w:rPr>
          <w:t xml:space="preserve">10.1093/cid/ciab737</w:t>
        </w:r>
      </w:hyperlink>
      <w:r>
        <w:t xml:space="preserve">.</w:t>
      </w:r>
    </w:p>
    <w:bookmarkEnd w:id="40"/>
    <w:bookmarkStart w:id="42" w:name="ref-vanBeurden2017"/>
    <w:p>
      <w:pPr>
        <w:pStyle w:val="Bibliography"/>
      </w:pPr>
      <w:r>
        <w:t xml:space="preserve">6.</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41">
        <w:r>
          <w:rPr>
            <w:rStyle w:val="Hyperlink"/>
          </w:rPr>
          <w:t xml:space="preserve">10.1017/ice.2017.89</w:t>
        </w:r>
      </w:hyperlink>
      <w:r>
        <w:t xml:space="preserve">.</w:t>
      </w:r>
    </w:p>
    <w:bookmarkEnd w:id="42"/>
    <w:bookmarkStart w:id="44" w:name="ref-Ressler2021"/>
    <w:p>
      <w:pPr>
        <w:pStyle w:val="Bibliography"/>
      </w:pPr>
      <w:r>
        <w:t xml:space="preserve">7.</w:t>
      </w:r>
      <w:r>
        <w:t xml:space="preserve"> </w:t>
      </w:r>
      <w:r>
        <w:rPr>
          <w:b/>
        </w:rPr>
        <w:t xml:space="preserve">Ressler A</w:t>
      </w:r>
      <w:r>
        <w:t xml:space="preserve">,</w:t>
      </w:r>
      <w:r>
        <w:t xml:space="preserve"> </w:t>
      </w:r>
      <w:r>
        <w:rPr>
          <w:b/>
        </w:rPr>
        <w:t xml:space="preserve">Wang J</w:t>
      </w:r>
      <w:r>
        <w:t xml:space="preserve">,</w:t>
      </w:r>
      <w:r>
        <w:t xml:space="preserve"> </w:t>
      </w:r>
      <w:r>
        <w:rPr>
          <w:b/>
        </w:rPr>
        <w:t xml:space="preserve">Rao K</w:t>
      </w:r>
      <w:r>
        <w:t xml:space="preserve">. 2021. Defining the black box: A narrative review of factors associated with adverse outcomes from severe clostridioides difficile infection</w:t>
      </w:r>
      <w:r>
        <w:t xml:space="preserve"> </w:t>
      </w:r>
      <w:r>
        <w:rPr>
          <w:b/>
        </w:rPr>
        <w:t xml:space="preserve">14</w:t>
      </w:r>
      <w:r>
        <w:t xml:space="preserve">:175628482110481. doi:</w:t>
      </w:r>
      <w:hyperlink r:id="rId43">
        <w:r>
          <w:rPr>
            <w:rStyle w:val="Hyperlink"/>
          </w:rPr>
          <w:t xml:space="preserve">10.1177/17562848211048127</w:t>
        </w:r>
      </w:hyperlink>
      <w:r>
        <w:t xml:space="preserve">.</w:t>
      </w:r>
    </w:p>
    <w:bookmarkEnd w:id="44"/>
    <w:bookmarkStart w:id="46" w:name="ref-Zar2007"/>
    <w:p>
      <w:pPr>
        <w:pStyle w:val="Bibliography"/>
      </w:pPr>
      <w:r>
        <w:t xml:space="preserve">8.</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45">
        <w:r>
          <w:rPr>
            <w:rStyle w:val="Hyperlink"/>
          </w:rPr>
          <w:t xml:space="preserve">10.1086/519265</w:t>
        </w:r>
      </w:hyperlink>
      <w:r>
        <w:t xml:space="preserve">.</w:t>
      </w:r>
    </w:p>
    <w:bookmarkEnd w:id="46"/>
    <w:bookmarkStart w:id="48" w:name="ref-Gujja2009"/>
    <w:p>
      <w:pPr>
        <w:pStyle w:val="Bibliography"/>
      </w:pPr>
      <w:r>
        <w:t xml:space="preserve">9.</w:t>
      </w:r>
      <w:r>
        <w:t xml:space="preserve"> </w:t>
      </w:r>
      <w:r>
        <w:rPr>
          <w:b/>
        </w:rPr>
        <w:t xml:space="preserve">Gujja D</w:t>
      </w:r>
      <w:r>
        <w:t xml:space="preserve">,</w:t>
      </w:r>
      <w:r>
        <w:t xml:space="preserve"> </w:t>
      </w:r>
      <w:r>
        <w:rPr>
          <w:b/>
        </w:rPr>
        <w:t xml:space="preserve">Friedenberg FK</w:t>
      </w:r>
      <w:r>
        <w:t xml:space="preserve">. 2009. Predictors of serious complications due toClostridium difficileinfection</w:t>
      </w:r>
      <w:r>
        <w:t xml:space="preserve"> </w:t>
      </w:r>
      <w:r>
        <w:rPr>
          <w:b/>
        </w:rPr>
        <w:t xml:space="preserve">29</w:t>
      </w:r>
      <w:r>
        <w:t xml:space="preserve">:635–642. doi:</w:t>
      </w:r>
      <w:hyperlink r:id="rId47">
        <w:r>
          <w:rPr>
            <w:rStyle w:val="Hyperlink"/>
          </w:rPr>
          <w:t xml:space="preserve">10.1111/j.1365-2036.2008.03914.x</w:t>
        </w:r>
      </w:hyperlink>
      <w:r>
        <w:t xml:space="preserve">.</w:t>
      </w:r>
    </w:p>
    <w:bookmarkEnd w:id="48"/>
    <w:bookmarkStart w:id="50" w:name="ref-Jardin2013"/>
    <w:p>
      <w:pPr>
        <w:pStyle w:val="Bibliography"/>
      </w:pPr>
      <w:r>
        <w:t xml:space="preserve">10.</w:t>
      </w:r>
      <w:r>
        <w:t xml:space="preserve"> </w:t>
      </w:r>
      <w:r>
        <w:rPr>
          <w:b/>
        </w:rPr>
        <w:t xml:space="preserve">Jardin CGM</w:t>
      </w:r>
      <w:r>
        <w:t xml:space="preserve">,</w:t>
      </w:r>
      <w:r>
        <w:t xml:space="preserve"> </w:t>
      </w:r>
      <w:r>
        <w:rPr>
          <w:b/>
        </w:rPr>
        <w:t xml:space="preserve">Palmer HR</w:t>
      </w:r>
      <w:r>
        <w:t xml:space="preserve">,</w:t>
      </w:r>
      <w:r>
        <w:t xml:space="preserve"> </w:t>
      </w:r>
      <w:r>
        <w:rPr>
          <w:b/>
        </w:rPr>
        <w:t xml:space="preserve">Shah DN</w:t>
      </w:r>
      <w:r>
        <w:t xml:space="preserve">,</w:t>
      </w:r>
      <w:r>
        <w:t xml:space="preserve"> </w:t>
      </w:r>
      <w:r>
        <w:rPr>
          <w:b/>
        </w:rPr>
        <w:t xml:space="preserve">Le F</w:t>
      </w:r>
      <w:r>
        <w:t xml:space="preserve">,</w:t>
      </w:r>
      <w:r>
        <w:t xml:space="preserve"> </w:t>
      </w:r>
      <w:r>
        <w:rPr>
          <w:b/>
        </w:rPr>
        <w:t xml:space="preserve">Beyda ND</w:t>
      </w:r>
      <w:r>
        <w:t xml:space="preserve">,</w:t>
      </w:r>
      <w:r>
        <w:t xml:space="preserve"> </w:t>
      </w:r>
      <w:r>
        <w:rPr>
          <w:b/>
        </w:rPr>
        <w:t xml:space="preserve">Jiang Z</w:t>
      </w:r>
      <w:r>
        <w:t xml:space="preserve">,</w:t>
      </w:r>
      <w:r>
        <w:t xml:space="preserve"> </w:t>
      </w:r>
      <w:r>
        <w:rPr>
          <w:b/>
        </w:rPr>
        <w:t xml:space="preserve">Garey KW</w:t>
      </w:r>
      <w:r>
        <w:t xml:space="preserve">. 2013. Assessment of treatment patterns and patient outcomes before vs after implementation of a severity-based</w:t>
      </w:r>
      <w:r>
        <w:t xml:space="preserve"> </w:t>
      </w:r>
      <w:r>
        <w:rPr>
          <w:i/>
        </w:rPr>
        <w:t xml:space="preserve">Clostridium difficile</w:t>
      </w:r>
      <w:r>
        <w:t xml:space="preserve"> </w:t>
      </w:r>
      <w:r>
        <w:t xml:space="preserve">infection treatment policy</w:t>
      </w:r>
      <w:r>
        <w:t xml:space="preserve"> </w:t>
      </w:r>
      <w:r>
        <w:rPr>
          <w:b/>
        </w:rPr>
        <w:t xml:space="preserve">85</w:t>
      </w:r>
      <w:r>
        <w:t xml:space="preserve">:28–32. doi:</w:t>
      </w:r>
      <w:hyperlink r:id="rId49">
        <w:r>
          <w:rPr>
            <w:rStyle w:val="Hyperlink"/>
          </w:rPr>
          <w:t xml:space="preserve">10.1016/j.jhin.2013.04.017</w:t>
        </w:r>
      </w:hyperlink>
      <w:r>
        <w:t xml:space="preserve">.</w:t>
      </w:r>
    </w:p>
    <w:bookmarkEnd w:id="50"/>
    <w:bookmarkStart w:id="52" w:name="ref-Bauer2011"/>
    <w:p>
      <w:pPr>
        <w:pStyle w:val="Bibliography"/>
      </w:pPr>
      <w:r>
        <w:t xml:space="preserve">11.</w:t>
      </w:r>
      <w:r>
        <w:t xml:space="preserve"> </w:t>
      </w:r>
      <w:r>
        <w:rPr>
          <w:b/>
        </w:rPr>
        <w:t xml:space="preserve">Bauer MP</w:t>
      </w:r>
      <w:r>
        <w:t xml:space="preserve">,</w:t>
      </w:r>
      <w:r>
        <w:t xml:space="preserve"> </w:t>
      </w:r>
      <w:r>
        <w:rPr>
          <w:b/>
        </w:rPr>
        <w:t xml:space="preserve">Notermans DW</w:t>
      </w:r>
      <w:r>
        <w:t xml:space="preserve">,</w:t>
      </w:r>
      <w:r>
        <w:t xml:space="preserve"> </w:t>
      </w:r>
      <w:r>
        <w:rPr>
          <w:b/>
        </w:rPr>
        <w:t xml:space="preserve">Benthem BH van</w:t>
      </w:r>
      <w:r>
        <w:t xml:space="preserve">,</w:t>
      </w:r>
      <w:r>
        <w:t xml:space="preserve"> </w:t>
      </w:r>
      <w:r>
        <w:rPr>
          <w:b/>
        </w:rPr>
        <w:t xml:space="preserve">Brazier JS</w:t>
      </w:r>
      <w:r>
        <w:t xml:space="preserve">,</w:t>
      </w:r>
      <w:r>
        <w:t xml:space="preserve"> </w:t>
      </w:r>
      <w:r>
        <w:rPr>
          <w:b/>
        </w:rPr>
        <w:t xml:space="preserve">Wilcox MH</w:t>
      </w:r>
      <w:r>
        <w:t xml:space="preserve">,</w:t>
      </w:r>
      <w:r>
        <w:t xml:space="preserve"> </w:t>
      </w:r>
      <w:r>
        <w:rPr>
          <w:b/>
        </w:rPr>
        <w:t xml:space="preserve">Rupnik M</w:t>
      </w:r>
      <w:r>
        <w:t xml:space="preserve">,</w:t>
      </w:r>
      <w:r>
        <w:t xml:space="preserve"> </w:t>
      </w:r>
      <w:r>
        <w:rPr>
          <w:b/>
        </w:rPr>
        <w:t xml:space="preserve">Monnet DL</w:t>
      </w:r>
      <w:r>
        <w:t xml:space="preserve">,</w:t>
      </w:r>
      <w:r>
        <w:t xml:space="preserve"> </w:t>
      </w:r>
      <w:r>
        <w:rPr>
          <w:b/>
        </w:rPr>
        <w:t xml:space="preserve">Dissel JT van</w:t>
      </w:r>
      <w:r>
        <w:t xml:space="preserve">,</w:t>
      </w:r>
      <w:r>
        <w:t xml:space="preserve"> </w:t>
      </w:r>
      <w:r>
        <w:rPr>
          <w:b/>
        </w:rPr>
        <w:t xml:space="preserve">Kuijper EJ</w:t>
      </w:r>
      <w:r>
        <w:t xml:space="preserve">. 2011.</w:t>
      </w:r>
      <w:r>
        <w:t xml:space="preserve"> </w:t>
      </w:r>
      <w:r>
        <w:rPr>
          <w:i/>
        </w:rPr>
        <w:t xml:space="preserve">Clostridium difficile</w:t>
      </w:r>
      <w:r>
        <w:t xml:space="preserve"> </w:t>
      </w:r>
      <w:r>
        <w:t xml:space="preserve">infection in europe: A hospital-based survey</w:t>
      </w:r>
      <w:r>
        <w:t xml:space="preserve"> </w:t>
      </w:r>
      <w:r>
        <w:rPr>
          <w:b/>
        </w:rPr>
        <w:t xml:space="preserve">377</w:t>
      </w:r>
      <w:r>
        <w:t xml:space="preserve">:63–73. doi:</w:t>
      </w:r>
      <w:hyperlink r:id="rId51">
        <w:r>
          <w:rPr>
            <w:rStyle w:val="Hyperlink"/>
          </w:rPr>
          <w:t xml:space="preserve">10.1016/s0140-6736(10)61266-4</w:t>
        </w:r>
      </w:hyperlink>
      <w:r>
        <w:t xml:space="preserve">.</w:t>
      </w:r>
    </w:p>
    <w:bookmarkEnd w:id="52"/>
    <w:bookmarkStart w:id="54" w:name="ref-Abt2016"/>
    <w:p>
      <w:pPr>
        <w:pStyle w:val="Bibliography"/>
      </w:pPr>
      <w:r>
        <w:t xml:space="preserve">12.</w:t>
      </w:r>
      <w:r>
        <w:t xml:space="preserve"> </w:t>
      </w:r>
      <w:r>
        <w:rPr>
          <w:b/>
        </w:rPr>
        <w:t xml:space="preserve">Abt MC</w:t>
      </w:r>
      <w:r>
        <w:t xml:space="preserve">,</w:t>
      </w:r>
      <w:r>
        <w:t xml:space="preserve"> </w:t>
      </w:r>
      <w:r>
        <w:rPr>
          <w:b/>
        </w:rPr>
        <w:t xml:space="preserve">McKenney PT</w:t>
      </w:r>
      <w:r>
        <w:t xml:space="preserve">,</w:t>
      </w:r>
      <w:r>
        <w:t xml:space="preserve"> </w:t>
      </w:r>
      <w:r>
        <w:rPr>
          <w:b/>
        </w:rPr>
        <w:t xml:space="preserve">Pamer EG</w:t>
      </w:r>
      <w:r>
        <w:t xml:space="preserve">. 2016.</w:t>
      </w:r>
      <w:r>
        <w:t xml:space="preserve"> </w:t>
      </w:r>
      <w:r>
        <w:rPr>
          <w:i/>
        </w:rPr>
        <w:t xml:space="preserve">Clostridium difficile</w:t>
      </w:r>
      <w:r>
        <w:t xml:space="preserve"> </w:t>
      </w:r>
      <w:r>
        <w:t xml:space="preserve">colitis: Pathogenesis and host defence</w:t>
      </w:r>
      <w:r>
        <w:t xml:space="preserve"> </w:t>
      </w:r>
      <w:r>
        <w:rPr>
          <w:b/>
        </w:rPr>
        <w:t xml:space="preserve">14</w:t>
      </w:r>
      <w:r>
        <w:t xml:space="preserve">:609–620. doi:</w:t>
      </w:r>
      <w:hyperlink r:id="rId53">
        <w:r>
          <w:rPr>
            <w:rStyle w:val="Hyperlink"/>
          </w:rPr>
          <w:t xml:space="preserve">10.1038/nrmicro.2016.108</w:t>
        </w:r>
      </w:hyperlink>
      <w:r>
        <w:t xml:space="preserve">.</w:t>
      </w:r>
    </w:p>
    <w:bookmarkEnd w:id="54"/>
    <w:bookmarkStart w:id="56" w:name="ref-Kelly2011"/>
    <w:p>
      <w:pPr>
        <w:pStyle w:val="Bibliography"/>
      </w:pPr>
      <w:r>
        <w:t xml:space="preserve">13.</w:t>
      </w:r>
      <w:r>
        <w:t xml:space="preserve"> </w:t>
      </w:r>
      <w:r>
        <w:rPr>
          <w:b/>
        </w:rPr>
        <w:t xml:space="preserve">Kelly CP</w:t>
      </w:r>
      <w:r>
        <w:t xml:space="preserve">,</w:t>
      </w:r>
      <w:r>
        <w:t xml:space="preserve"> </w:t>
      </w:r>
      <w:r>
        <w:rPr>
          <w:b/>
        </w:rPr>
        <w:t xml:space="preserve">Kyne L</w:t>
      </w:r>
      <w:r>
        <w:t xml:space="preserve">. 2011. The host immune response to</w:t>
      </w:r>
      <w:r>
        <w:t xml:space="preserve"> </w:t>
      </w:r>
      <w:r>
        <w:rPr>
          <w:i/>
        </w:rPr>
        <w:t xml:space="preserve">Clostridium difficile</w:t>
      </w:r>
      <w:r>
        <w:t xml:space="preserve"> </w:t>
      </w:r>
      <w:r>
        <w:rPr>
          <w:b/>
        </w:rPr>
        <w:t xml:space="preserve">60</w:t>
      </w:r>
      <w:r>
        <w:t xml:space="preserve">:1070–1079. doi:</w:t>
      </w:r>
      <w:hyperlink r:id="rId55">
        <w:r>
          <w:rPr>
            <w:rStyle w:val="Hyperlink"/>
          </w:rPr>
          <w:t xml:space="preserve">10.1099/jmm.0.030015-0</w:t>
        </w:r>
      </w:hyperlink>
      <w:r>
        <w:t xml:space="preserve">.</w:t>
      </w:r>
    </w:p>
    <w:bookmarkEnd w:id="56"/>
    <w:bookmarkStart w:id="58" w:name="ref-Farooq2015"/>
    <w:p>
      <w:pPr>
        <w:pStyle w:val="Bibliography"/>
      </w:pPr>
      <w:r>
        <w:t xml:space="preserve">14.</w:t>
      </w:r>
      <w:r>
        <w:t xml:space="preserve"> </w:t>
      </w:r>
      <w:r>
        <w:rPr>
          <w:b/>
        </w:rPr>
        <w:t xml:space="preserve">Farooq PD</w:t>
      </w:r>
      <w:r>
        <w:t xml:space="preserve">,</w:t>
      </w:r>
      <w:r>
        <w:t xml:space="preserve"> </w:t>
      </w:r>
      <w:r>
        <w:rPr>
          <w:b/>
        </w:rPr>
        <w:t xml:space="preserve">Urrunaga NH</w:t>
      </w:r>
      <w:r>
        <w:t xml:space="preserve">,</w:t>
      </w:r>
      <w:r>
        <w:t xml:space="preserve"> </w:t>
      </w:r>
      <w:r>
        <w:rPr>
          <w:b/>
        </w:rPr>
        <w:t xml:space="preserve">Tang DM</w:t>
      </w:r>
      <w:r>
        <w:t xml:space="preserve">,</w:t>
      </w:r>
      <w:r>
        <w:t xml:space="preserve"> </w:t>
      </w:r>
      <w:r>
        <w:rPr>
          <w:b/>
        </w:rPr>
        <w:t xml:space="preserve">Rosenvinge EC von</w:t>
      </w:r>
      <w:r>
        <w:t xml:space="preserve">. 2015. Pseudomembranous colitis</w:t>
      </w:r>
      <w:r>
        <w:t xml:space="preserve"> </w:t>
      </w:r>
      <w:r>
        <w:rPr>
          <w:b/>
        </w:rPr>
        <w:t xml:space="preserve">61</w:t>
      </w:r>
      <w:r>
        <w:t xml:space="preserve">:181–206. doi:</w:t>
      </w:r>
      <w:hyperlink r:id="rId57">
        <w:r>
          <w:rPr>
            <w:rStyle w:val="Hyperlink"/>
          </w:rPr>
          <w:t xml:space="preserve">10.1016/j.disamonth.2015.01.006</w:t>
        </w:r>
      </w:hyperlink>
      <w:r>
        <w:t xml:space="preserve">.</w:t>
      </w:r>
    </w:p>
    <w:bookmarkEnd w:id="58"/>
    <w:bookmarkStart w:id="60" w:name="ref-Britton2014"/>
    <w:p>
      <w:pPr>
        <w:pStyle w:val="Bibliography"/>
      </w:pPr>
      <w:r>
        <w:t xml:space="preserve">15.</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w:t>
      </w:r>
      <w:r>
        <w:rPr>
          <w:b/>
        </w:rPr>
        <w:t xml:space="preserve">146</w:t>
      </w:r>
      <w:r>
        <w:t xml:space="preserve">:1547–1553. doi:</w:t>
      </w:r>
      <w:hyperlink r:id="rId59">
        <w:r>
          <w:rPr>
            <w:rStyle w:val="Hyperlink"/>
          </w:rPr>
          <w:t xml:space="preserve">10.1053/j.gastro.2014.01.059</w:t>
        </w:r>
      </w:hyperlink>
      <w:r>
        <w:t xml:space="preserve">.</w:t>
      </w:r>
    </w:p>
    <w:bookmarkEnd w:id="60"/>
    <w:bookmarkStart w:id="62" w:name="ref-Hryckowian2018"/>
    <w:p>
      <w:pPr>
        <w:pStyle w:val="Bibliography"/>
      </w:pPr>
      <w:r>
        <w:t xml:space="preserve">16.</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w:t>
      </w:r>
      <w:r>
        <w:t xml:space="preserve"> </w:t>
      </w:r>
      <w:r>
        <w:rPr>
          <w:b/>
        </w:rPr>
        <w:t xml:space="preserve">3</w:t>
      </w:r>
      <w:r>
        <w:t xml:space="preserve">:662–669. doi:</w:t>
      </w:r>
      <w:hyperlink r:id="rId61">
        <w:r>
          <w:rPr>
            <w:rStyle w:val="Hyperlink"/>
          </w:rPr>
          <w:t xml:space="preserve">10.1038/s41564-018-0150-6</w:t>
        </w:r>
      </w:hyperlink>
      <w:r>
        <w:t xml:space="preserve">.</w:t>
      </w:r>
    </w:p>
    <w:bookmarkEnd w:id="62"/>
    <w:bookmarkStart w:id="64" w:name="ref-VichVila2020"/>
    <w:p>
      <w:pPr>
        <w:pStyle w:val="Bibliography"/>
      </w:pPr>
      <w:r>
        <w:t xml:space="preserve">17.</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w:t>
      </w:r>
      <w:r>
        <w:t xml:space="preserve"> </w:t>
      </w:r>
      <w:r>
        <w:rPr>
          <w:b/>
        </w:rPr>
        <w:t xml:space="preserve">11</w:t>
      </w:r>
      <w:r>
        <w:t xml:space="preserve">. doi:</w:t>
      </w:r>
      <w:hyperlink r:id="rId63">
        <w:r>
          <w:rPr>
            <w:rStyle w:val="Hyperlink"/>
          </w:rPr>
          <w:t xml:space="preserve">10.1038/s41467-019-14177-z</w:t>
        </w:r>
      </w:hyperlink>
      <w:r>
        <w:t xml:space="preserve">.</w:t>
      </w:r>
    </w:p>
    <w:bookmarkEnd w:id="64"/>
    <w:bookmarkStart w:id="66" w:name="ref-Abbas2020"/>
    <w:p>
      <w:pPr>
        <w:pStyle w:val="Bibliography"/>
      </w:pPr>
      <w:r>
        <w:t xml:space="preserve">18.</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w:t>
      </w:r>
      <w:r>
        <w:t xml:space="preserve"> </w:t>
      </w:r>
      <w:r>
        <w:rPr>
          <w:b/>
        </w:rPr>
        <w:t xml:space="preserve">53</w:t>
      </w:r>
      <w:r>
        <w:t xml:space="preserve">:19–25. doi:</w:t>
      </w:r>
      <w:hyperlink r:id="rId65">
        <w:r>
          <w:rPr>
            <w:rStyle w:val="Hyperlink"/>
          </w:rPr>
          <w:t xml:space="preserve">10.1016/j.mib.2020.01.016</w:t>
        </w:r>
      </w:hyperlink>
      <w:r>
        <w:t xml:space="preserve">.</w:t>
      </w:r>
    </w:p>
    <w:bookmarkEnd w:id="66"/>
    <w:bookmarkStart w:id="68" w:name="ref-Sorg2008"/>
    <w:p>
      <w:pPr>
        <w:pStyle w:val="Bibliography"/>
      </w:pPr>
      <w:r>
        <w:t xml:space="preserve">19.</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67">
        <w:r>
          <w:rPr>
            <w:rStyle w:val="Hyperlink"/>
          </w:rPr>
          <w:t xml:space="preserve">10.1128/jb.01765-07</w:t>
        </w:r>
      </w:hyperlink>
      <w:r>
        <w:t xml:space="preserve">.</w:t>
      </w:r>
    </w:p>
    <w:bookmarkEnd w:id="68"/>
    <w:bookmarkStart w:id="70" w:name="ref-Thanissery2017"/>
    <w:p>
      <w:pPr>
        <w:pStyle w:val="Bibliography"/>
      </w:pPr>
      <w:r>
        <w:t xml:space="preserve">20.</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69">
        <w:r>
          <w:rPr>
            <w:rStyle w:val="Hyperlink"/>
          </w:rPr>
          <w:t xml:space="preserve">10.1016/j.anaerobe.2017.03.004</w:t>
        </w:r>
      </w:hyperlink>
      <w:r>
        <w:t xml:space="preserve">.</w:t>
      </w:r>
    </w:p>
    <w:bookmarkEnd w:id="70"/>
    <w:bookmarkStart w:id="72" w:name="ref-Aguirre2021"/>
    <w:p>
      <w:pPr>
        <w:pStyle w:val="Bibliography"/>
      </w:pPr>
      <w:r>
        <w:t xml:space="preserve">21.</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w:t>
      </w:r>
      <w:r>
        <w:t xml:space="preserve"> </w:t>
      </w:r>
      <w:r>
        <w:rPr>
          <w:b/>
        </w:rPr>
        <w:t xml:space="preserve">17</w:t>
      </w:r>
      <w:r>
        <w:t xml:space="preserve">:e1010015. doi:</w:t>
      </w:r>
      <w:hyperlink r:id="rId71">
        <w:r>
          <w:rPr>
            <w:rStyle w:val="Hyperlink"/>
          </w:rPr>
          <w:t xml:space="preserve">10.1371/journal.ppat.1010015</w:t>
        </w:r>
      </w:hyperlink>
      <w:r>
        <w:t xml:space="preserve">.</w:t>
      </w:r>
    </w:p>
    <w:bookmarkEnd w:id="72"/>
    <w:bookmarkStart w:id="74" w:name="ref-Kang2019"/>
    <w:p>
      <w:pPr>
        <w:pStyle w:val="Bibliography"/>
      </w:pPr>
      <w:r>
        <w:t xml:space="preserve">22.</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w:t>
      </w:r>
      <w:r>
        <w:t xml:space="preserve"> </w:t>
      </w:r>
      <w:r>
        <w:rPr>
          <w:b/>
        </w:rPr>
        <w:t xml:space="preserve">26</w:t>
      </w:r>
      <w:r>
        <w:t xml:space="preserve">:27–34.e4. doi:</w:t>
      </w:r>
      <w:hyperlink r:id="rId73">
        <w:r>
          <w:rPr>
            <w:rStyle w:val="Hyperlink"/>
          </w:rPr>
          <w:t xml:space="preserve">10.1016/j.chembiol.2018.10.003</w:t>
        </w:r>
      </w:hyperlink>
      <w:r>
        <w:t xml:space="preserve">.</w:t>
      </w:r>
    </w:p>
    <w:bookmarkEnd w:id="74"/>
    <w:bookmarkStart w:id="76" w:name="ref-Seekatz2016"/>
    <w:p>
      <w:pPr>
        <w:pStyle w:val="Bibliography"/>
      </w:pPr>
      <w:r>
        <w:t xml:space="preserve">23.</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w:t>
      </w:r>
      <w:r>
        <w:t xml:space="preserve"> </w:t>
      </w:r>
      <w:r>
        <w:rPr>
          <w:b/>
        </w:rPr>
        <w:t xml:space="preserve">8</w:t>
      </w:r>
      <w:r>
        <w:t xml:space="preserve">. doi:</w:t>
      </w:r>
      <w:hyperlink r:id="rId75">
        <w:r>
          <w:rPr>
            <w:rStyle w:val="Hyperlink"/>
          </w:rPr>
          <w:t xml:space="preserve">10.1186/s13073-016-0298-8</w:t>
        </w:r>
      </w:hyperlink>
      <w:r>
        <w:t xml:space="preserve">.</w:t>
      </w:r>
    </w:p>
    <w:bookmarkEnd w:id="76"/>
    <w:bookmarkStart w:id="78" w:name="ref-Tomkovich2020"/>
    <w:p>
      <w:pPr>
        <w:pStyle w:val="Bibliography"/>
      </w:pPr>
      <w:r>
        <w:t xml:space="preserve">24.</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77">
        <w:r>
          <w:rPr>
            <w:rStyle w:val="Hyperlink"/>
          </w:rPr>
          <w:t xml:space="preserve">10.1128/msphere.00869-20</w:t>
        </w:r>
      </w:hyperlink>
      <w:r>
        <w:t xml:space="preserve">.</w:t>
      </w:r>
    </w:p>
    <w:bookmarkEnd w:id="78"/>
    <w:bookmarkStart w:id="80" w:name="ref-Nagpal2018"/>
    <w:p>
      <w:pPr>
        <w:pStyle w:val="Bibliography"/>
      </w:pPr>
      <w:r>
        <w:t xml:space="preserve">25.</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w:t>
      </w:r>
      <w:r>
        <w:t xml:space="preserve"> </w:t>
      </w:r>
      <w:r>
        <w:rPr>
          <w:b/>
        </w:rPr>
        <w:t xml:space="preserve">9</w:t>
      </w:r>
      <w:r>
        <w:t xml:space="preserve">. doi:</w:t>
      </w:r>
      <w:hyperlink r:id="rId79">
        <w:r>
          <w:rPr>
            <w:rStyle w:val="Hyperlink"/>
          </w:rPr>
          <w:t xml:space="preserve">10.3389/fmicb.2018.02897</w:t>
        </w:r>
      </w:hyperlink>
      <w:r>
        <w:t xml:space="preserve">.</w:t>
      </w:r>
    </w:p>
    <w:bookmarkEnd w:id="80"/>
    <w:bookmarkStart w:id="82" w:name="ref-Schubert2014"/>
    <w:p>
      <w:pPr>
        <w:pStyle w:val="Bibliography"/>
      </w:pPr>
      <w:r>
        <w:t xml:space="preserve">26.</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w:t>
      </w:r>
      <w:r>
        <w:t xml:space="preserve"> </w:t>
      </w:r>
      <w:r>
        <w:rPr>
          <w:b/>
        </w:rPr>
        <w:t xml:space="preserve">5</w:t>
      </w:r>
      <w:r>
        <w:t xml:space="preserve">. doi:</w:t>
      </w:r>
      <w:hyperlink r:id="rId81">
        <w:r>
          <w:rPr>
            <w:rStyle w:val="Hyperlink"/>
          </w:rPr>
          <w:t xml:space="preserve">10.1128/mbio.01021-14</w:t>
        </w:r>
      </w:hyperlink>
      <w:r>
        <w:t xml:space="preserve">.</w:t>
      </w:r>
    </w:p>
    <w:bookmarkEnd w:id="82"/>
    <w:bookmarkStart w:id="84" w:name="ref-Gillilland2012"/>
    <w:p>
      <w:pPr>
        <w:pStyle w:val="Bibliography"/>
      </w:pPr>
      <w:r>
        <w:t xml:space="preserve">27.</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w:t>
      </w:r>
      <w:r>
        <w:t xml:space="preserve"> </w:t>
      </w:r>
      <w:r>
        <w:rPr>
          <w:b/>
        </w:rPr>
        <w:t xml:space="preserve">78</w:t>
      </w:r>
      <w:r>
        <w:t xml:space="preserve">:2359–2366. doi:</w:t>
      </w:r>
      <w:hyperlink r:id="rId83">
        <w:r>
          <w:rPr>
            <w:rStyle w:val="Hyperlink"/>
          </w:rPr>
          <w:t xml:space="preserve">10.1128/aem.05239-11</w:t>
        </w:r>
      </w:hyperlink>
      <w:r>
        <w:t xml:space="preserve">.</w:t>
      </w:r>
    </w:p>
    <w:bookmarkEnd w:id="84"/>
    <w:bookmarkStart w:id="86" w:name="ref-Chen2008"/>
    <w:p>
      <w:pPr>
        <w:pStyle w:val="Bibliography"/>
      </w:pPr>
      <w:r>
        <w:t xml:space="preserve">28.</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85">
        <w:r>
          <w:rPr>
            <w:rStyle w:val="Hyperlink"/>
          </w:rPr>
          <w:t xml:space="preserve">10.1053/j.gastro.2008.09.002</w:t>
        </w:r>
      </w:hyperlink>
      <w:r>
        <w:t xml:space="preserve">.</w:t>
      </w:r>
    </w:p>
    <w:bookmarkEnd w:id="86"/>
    <w:bookmarkStart w:id="88" w:name="ref-Schubert2015"/>
    <w:p>
      <w:pPr>
        <w:pStyle w:val="Bibliography"/>
      </w:pPr>
      <w:r>
        <w:t xml:space="preserve">29.</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87">
        <w:r>
          <w:rPr>
            <w:rStyle w:val="Hyperlink"/>
          </w:rPr>
          <w:t xml:space="preserve">10.1128/mbio.00974-15</w:t>
        </w:r>
      </w:hyperlink>
      <w:r>
        <w:t xml:space="preserve">.</w:t>
      </w:r>
    </w:p>
    <w:bookmarkEnd w:id="88"/>
    <w:bookmarkStart w:id="90" w:name="ref-Akerlund2006"/>
    <w:p>
      <w:pPr>
        <w:pStyle w:val="Bibliography"/>
      </w:pPr>
      <w:r>
        <w:t xml:space="preserve">30. 2006. Correlation of disease severity with fecal toxin levels in patients with</w:t>
      </w:r>
      <w:r>
        <w:t xml:space="preserve"> </w:t>
      </w:r>
      <w:r>
        <w:rPr>
          <w:i/>
        </w:rPr>
        <w:t xml:space="preserve">Clostridium difficile</w:t>
      </w:r>
      <w:r>
        <w:t xml:space="preserve">-associated diarrhea and distribution of PCR ribotypes and toxin yields in vitro of corresponding isolates. Journal of Clinical Microbiology</w:t>
      </w:r>
      <w:r>
        <w:t xml:space="preserve"> </w:t>
      </w:r>
      <w:r>
        <w:rPr>
          <w:b/>
        </w:rPr>
        <w:t xml:space="preserve">44</w:t>
      </w:r>
      <w:r>
        <w:t xml:space="preserve">:353–358. doi:</w:t>
      </w:r>
      <w:hyperlink r:id="rId89">
        <w:r>
          <w:rPr>
            <w:rStyle w:val="Hyperlink"/>
          </w:rPr>
          <w:t xml:space="preserve">10.1128/jcm.44.2.353-358.2006</w:t>
        </w:r>
      </w:hyperlink>
      <w:r>
        <w:t xml:space="preserve">.</w:t>
      </w:r>
    </w:p>
    <w:bookmarkEnd w:id="90"/>
    <w:bookmarkStart w:id="92" w:name="ref-Vitucci2020"/>
    <w:p>
      <w:pPr>
        <w:pStyle w:val="Bibliography"/>
      </w:pPr>
      <w:r>
        <w:t xml:space="preserve">31.</w:t>
      </w:r>
      <w:r>
        <w:t xml:space="preserve"> </w:t>
      </w:r>
      <w:r>
        <w:rPr>
          <w:b/>
        </w:rPr>
        <w:t xml:space="preserve">Vitucci JC</w:t>
      </w:r>
      <w:r>
        <w:t xml:space="preserve">,</w:t>
      </w:r>
      <w:r>
        <w:t xml:space="preserve"> </w:t>
      </w:r>
      <w:r>
        <w:rPr>
          <w:b/>
        </w:rPr>
        <w:t xml:space="preserve">Pulse M</w:t>
      </w:r>
      <w:r>
        <w:t xml:space="preserve">,</w:t>
      </w:r>
      <w:r>
        <w:t xml:space="preserve"> </w:t>
      </w:r>
      <w:r>
        <w:rPr>
          <w:b/>
        </w:rPr>
        <w:t xml:space="preserve">Tabor-Simecka L</w:t>
      </w:r>
      <w:r>
        <w:t xml:space="preserve">,</w:t>
      </w:r>
      <w:r>
        <w:t xml:space="preserve"> </w:t>
      </w:r>
      <w:r>
        <w:rPr>
          <w:b/>
        </w:rPr>
        <w:t xml:space="preserve">Simecka J</w:t>
      </w:r>
      <w:r>
        <w:t xml:space="preserve">. 2020. Epidemic ribotypes of</w:t>
      </w:r>
      <w:r>
        <w:t xml:space="preserve"> </w:t>
      </w:r>
      <w:r>
        <w:rPr>
          <w:i/>
        </w:rPr>
        <w:t xml:space="preserve">clostridium</w:t>
      </w:r>
      <w:r>
        <w:t xml:space="preserve"> </w:t>
      </w:r>
      <w:r>
        <w:t xml:space="preserve">(now</w:t>
      </w:r>
      <w:r>
        <w:t xml:space="preserve"> </w:t>
      </w:r>
      <w:r>
        <w:rPr>
          <w:i/>
        </w:rPr>
        <w:t xml:space="preserve">clostridioides</w:t>
      </w:r>
      <w:r>
        <w:t xml:space="preserve">)</w:t>
      </w:r>
      <w:r>
        <w:t xml:space="preserve"> </w:t>
      </w:r>
      <w:r>
        <w:rPr>
          <w:i/>
        </w:rPr>
        <w:t xml:space="preserve">difficile</w:t>
      </w:r>
      <w:r>
        <w:t xml:space="preserve"> </w:t>
      </w:r>
      <w:r>
        <w:t xml:space="preserve">are likely to be more virulent than non-epidemic ribotypes in animal models. BMC Microbiology</w:t>
      </w:r>
      <w:r>
        <w:t xml:space="preserve"> </w:t>
      </w:r>
      <w:r>
        <w:rPr>
          <w:b/>
        </w:rPr>
        <w:t xml:space="preserve">20</w:t>
      </w:r>
      <w:r>
        <w:t xml:space="preserve">. doi:</w:t>
      </w:r>
      <w:hyperlink r:id="rId91">
        <w:r>
          <w:rPr>
            <w:rStyle w:val="Hyperlink"/>
          </w:rPr>
          <w:t xml:space="preserve">10.1186/s12866-020-1710-5</w:t>
        </w:r>
      </w:hyperlink>
      <w:r>
        <w:t xml:space="preserve">.</w:t>
      </w:r>
    </w:p>
    <w:bookmarkEnd w:id="92"/>
    <w:bookmarkStart w:id="94" w:name="ref-Cowardin2016"/>
    <w:p>
      <w:pPr>
        <w:pStyle w:val="Bibliography"/>
      </w:pPr>
      <w:r>
        <w:t xml:space="preserve">32.</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93">
        <w:r>
          <w:rPr>
            <w:rStyle w:val="Hyperlink"/>
          </w:rPr>
          <w:t xml:space="preserve">10.1038/nmicrobiol.2016.108</w:t>
        </w:r>
      </w:hyperlink>
      <w:r>
        <w:t xml:space="preserve">.</w:t>
      </w:r>
    </w:p>
    <w:bookmarkEnd w:id="94"/>
    <w:bookmarkStart w:id="96" w:name="ref-Carlson2013"/>
    <w:p>
      <w:pPr>
        <w:pStyle w:val="Bibliography"/>
      </w:pPr>
      <w:r>
        <w:t xml:space="preserve">33.</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95">
        <w:r>
          <w:rPr>
            <w:rStyle w:val="Hyperlink"/>
          </w:rPr>
          <w:t xml:space="preserve">10.1016/j.anaerobe.2013.04.003</w:t>
        </w:r>
      </w:hyperlink>
      <w:r>
        <w:t xml:space="preserve">.</w:t>
      </w:r>
    </w:p>
    <w:bookmarkEnd w:id="96"/>
    <w:bookmarkStart w:id="98" w:name="ref-Carlson2015"/>
    <w:p>
      <w:pPr>
        <w:pStyle w:val="Bibliography"/>
      </w:pPr>
      <w:r>
        <w:t xml:space="preserve">34.</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 clostridium difficile clinical isolates correlates to disease severity. Anaerobe</w:t>
      </w:r>
      <w:r>
        <w:t xml:space="preserve"> </w:t>
      </w:r>
      <w:r>
        <w:rPr>
          <w:b/>
        </w:rPr>
        <w:t xml:space="preserve">33</w:t>
      </w:r>
      <w:r>
        <w:t xml:space="preserve">:64–70. doi:</w:t>
      </w:r>
      <w:hyperlink r:id="rId97">
        <w:r>
          <w:rPr>
            <w:rStyle w:val="Hyperlink"/>
          </w:rPr>
          <w:t xml:space="preserve">10.1016/j.anaerobe.2015.02.003</w:t>
        </w:r>
      </w:hyperlink>
      <w:r>
        <w:t xml:space="preserve">.</w:t>
      </w:r>
    </w:p>
    <w:bookmarkEnd w:id="98"/>
    <w:bookmarkStart w:id="100" w:name="ref-Lungulescu2011"/>
    <w:p>
      <w:pPr>
        <w:pStyle w:val="Bibliography"/>
      </w:pPr>
      <w:r>
        <w:t xml:space="preserve">35.</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99">
        <w:r>
          <w:rPr>
            <w:rStyle w:val="Hyperlink"/>
          </w:rPr>
          <w:t xml:space="preserve">10.1016/j.jhin.2011.04.017</w:t>
        </w:r>
      </w:hyperlink>
      <w:r>
        <w:t xml:space="preserve">.</w:t>
      </w:r>
    </w:p>
    <w:bookmarkEnd w:id="100"/>
    <w:bookmarkStart w:id="102" w:name="ref-diMasi2018"/>
    <w:p>
      <w:pPr>
        <w:pStyle w:val="Bibliography"/>
      </w:pPr>
      <w:r>
        <w:t xml:space="preserve">36.</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101">
        <w:r>
          <w:rPr>
            <w:rStyle w:val="Hyperlink"/>
          </w:rPr>
          <w:t xml:space="preserve">10.1093/infdis/jiy338</w:t>
        </w:r>
      </w:hyperlink>
      <w:r>
        <w:t xml:space="preserve">.</w:t>
      </w:r>
    </w:p>
    <w:bookmarkEnd w:id="102"/>
    <w:bookmarkStart w:id="104" w:name="ref-AbernathyClose2020"/>
    <w:p>
      <w:pPr>
        <w:pStyle w:val="Bibliography"/>
      </w:pPr>
      <w:r>
        <w:t xml:space="preserve">37.</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103">
        <w:r>
          <w:rPr>
            <w:rStyle w:val="Hyperlink"/>
          </w:rPr>
          <w:t xml:space="preserve">10.1128/iai.00960-19</w:t>
        </w:r>
      </w:hyperlink>
      <w:r>
        <w:t xml:space="preserve">.</w:t>
      </w:r>
    </w:p>
    <w:bookmarkEnd w:id="104"/>
    <w:bookmarkStart w:id="106" w:name="ref-Theriot2011"/>
    <w:p>
      <w:pPr>
        <w:pStyle w:val="Bibliography"/>
      </w:pPr>
      <w:r>
        <w:t xml:space="preserve">38.</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105">
        <w:r>
          <w:rPr>
            <w:rStyle w:val="Hyperlink"/>
          </w:rPr>
          <w:t xml:space="preserve">10.4161/gmic.19142</w:t>
        </w:r>
      </w:hyperlink>
      <w:r>
        <w:t xml:space="preserve">.</w:t>
      </w:r>
    </w:p>
    <w:bookmarkEnd w:id="106"/>
    <w:bookmarkStart w:id="108" w:name="ref-Goorhuis2008"/>
    <w:p>
      <w:pPr>
        <w:pStyle w:val="Bibliography"/>
      </w:pPr>
      <w:r>
        <w:t xml:space="preserve">39.</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107">
        <w:r>
          <w:rPr>
            <w:rStyle w:val="Hyperlink"/>
          </w:rPr>
          <w:t xml:space="preserve">10.1086/592257</w:t>
        </w:r>
      </w:hyperlink>
      <w:r>
        <w:t xml:space="preserve">.</w:t>
      </w:r>
    </w:p>
    <w:bookmarkEnd w:id="108"/>
    <w:bookmarkStart w:id="110" w:name="ref-OConnor2009"/>
    <w:p>
      <w:pPr>
        <w:pStyle w:val="Bibliography"/>
      </w:pPr>
      <w:r>
        <w:t xml:space="preserve">40.</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109">
        <w:r>
          <w:rPr>
            <w:rStyle w:val="Hyperlink"/>
          </w:rPr>
          <w:t xml:space="preserve">10.1053/j.gastro.2009.02.073</w:t>
        </w:r>
      </w:hyperlink>
      <w:r>
        <w:t xml:space="preserve">.</w:t>
      </w:r>
    </w:p>
    <w:bookmarkEnd w:id="110"/>
    <w:bookmarkStart w:id="112" w:name="ref-Rao2015"/>
    <w:p>
      <w:pPr>
        <w:pStyle w:val="Bibliography"/>
      </w:pPr>
      <w:r>
        <w:t xml:space="preserve">41.</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111">
        <w:r>
          <w:rPr>
            <w:rStyle w:val="Hyperlink"/>
          </w:rPr>
          <w:t xml:space="preserve">10.1093/cid/civ254</w:t>
        </w:r>
      </w:hyperlink>
      <w:r>
        <w:t xml:space="preserve">.</w:t>
      </w:r>
    </w:p>
    <w:bookmarkEnd w:id="112"/>
    <w:bookmarkStart w:id="114" w:name="ref-Walk2012"/>
    <w:p>
      <w:pPr>
        <w:pStyle w:val="Bibliography"/>
      </w:pPr>
      <w:r>
        <w:t xml:space="preserve">42.</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113">
        <w:r>
          <w:rPr>
            <w:rStyle w:val="Hyperlink"/>
          </w:rPr>
          <w:t xml:space="preserve">10.1093/cid/cis786</w:t>
        </w:r>
      </w:hyperlink>
      <w:r>
        <w:t xml:space="preserve">.</w:t>
      </w:r>
    </w:p>
    <w:bookmarkEnd w:id="114"/>
    <w:bookmarkStart w:id="116" w:name="ref-He2010"/>
    <w:p>
      <w:pPr>
        <w:pStyle w:val="Bibliography"/>
      </w:pPr>
      <w:r>
        <w:t xml:space="preserve">43.</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15">
        <w:r>
          <w:rPr>
            <w:rStyle w:val="Hyperlink"/>
          </w:rPr>
          <w:t xml:space="preserve">10.1073/pnas.0914322107</w:t>
        </w:r>
      </w:hyperlink>
      <w:r>
        <w:t xml:space="preserve">.</w:t>
      </w:r>
    </w:p>
    <w:bookmarkEnd w:id="116"/>
    <w:bookmarkStart w:id="118" w:name="ref-Jenior2017"/>
    <w:p>
      <w:pPr>
        <w:pStyle w:val="Bibliography"/>
      </w:pPr>
      <w:r>
        <w:t xml:space="preserve">44.</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117">
        <w:r>
          <w:rPr>
            <w:rStyle w:val="Hyperlink"/>
          </w:rPr>
          <w:t xml:space="preserve">10.1128/msystems.00063-17</w:t>
        </w:r>
      </w:hyperlink>
      <w:r>
        <w:t xml:space="preserve">.</w:t>
      </w:r>
    </w:p>
    <w:bookmarkEnd w:id="118"/>
    <w:bookmarkStart w:id="120" w:name="ref-Jenior2018"/>
    <w:p>
      <w:pPr>
        <w:pStyle w:val="Bibliography"/>
      </w:pPr>
      <w:r>
        <w:t xml:space="preserve">45.</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19">
        <w:r>
          <w:rPr>
            <w:rStyle w:val="Hyperlink"/>
          </w:rPr>
          <w:t xml:space="preserve">10.1128/msphere.00261-18</w:t>
        </w:r>
      </w:hyperlink>
      <w:r>
        <w:t xml:space="preserve">.</w:t>
      </w:r>
    </w:p>
    <w:bookmarkEnd w:id="120"/>
    <w:bookmarkStart w:id="122" w:name="ref-Lesniak2021"/>
    <w:p>
      <w:pPr>
        <w:pStyle w:val="Bibliography"/>
      </w:pPr>
      <w:r>
        <w:t xml:space="preserve">46.</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121">
        <w:r>
          <w:rPr>
            <w:rStyle w:val="Hyperlink"/>
          </w:rPr>
          <w:t xml:space="preserve">10.1128/msphere.01238-20</w:t>
        </w:r>
      </w:hyperlink>
      <w:r>
        <w:t xml:space="preserve">.</w:t>
      </w:r>
    </w:p>
    <w:bookmarkEnd w:id="122"/>
    <w:bookmarkStart w:id="124" w:name="ref-Staley2016"/>
    <w:p>
      <w:pPr>
        <w:pStyle w:val="Bibliography"/>
      </w:pPr>
      <w:r>
        <w:t xml:space="preserve">47.</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23">
        <w:r>
          <w:rPr>
            <w:rStyle w:val="Hyperlink"/>
          </w:rPr>
          <w:t xml:space="preserve">10.1007/s00253-016-8006-6</w:t>
        </w:r>
      </w:hyperlink>
      <w:r>
        <w:t xml:space="preserve">.</w:t>
      </w:r>
    </w:p>
    <w:bookmarkEnd w:id="124"/>
    <w:bookmarkStart w:id="126" w:name="ref-Long2017"/>
    <w:p>
      <w:pPr>
        <w:pStyle w:val="Bibliography"/>
      </w:pPr>
      <w:r>
        <w:t xml:space="preserve">48.</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25">
        <w:r>
          <w:rPr>
            <w:rStyle w:val="Hyperlink"/>
          </w:rPr>
          <w:t xml:space="preserve">10.1016/j.mam.2017.06.002</w:t>
        </w:r>
      </w:hyperlink>
      <w:r>
        <w:t xml:space="preserve">.</w:t>
      </w:r>
    </w:p>
    <w:bookmarkEnd w:id="126"/>
    <w:bookmarkStart w:id="128" w:name="ref-Sorg2010"/>
    <w:p>
      <w:pPr>
        <w:pStyle w:val="Bibliography"/>
      </w:pPr>
      <w:r>
        <w:t xml:space="preserve">49.</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27">
        <w:r>
          <w:rPr>
            <w:rStyle w:val="Hyperlink"/>
          </w:rPr>
          <w:t xml:space="preserve">10.1128/jb.00610-10</w:t>
        </w:r>
      </w:hyperlink>
      <w:r>
        <w:t xml:space="preserve">.</w:t>
      </w:r>
    </w:p>
    <w:bookmarkEnd w:id="128"/>
    <w:bookmarkStart w:id="130" w:name="ref-Dubois2019"/>
    <w:p>
      <w:pPr>
        <w:pStyle w:val="Bibliography"/>
      </w:pPr>
      <w:r>
        <w:t xml:space="preserve">50.</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29">
        <w:r>
          <w:rPr>
            <w:rStyle w:val="Hyperlink"/>
          </w:rPr>
          <w:t xml:space="preserve">10.1038/s41522-019-0087-4</w:t>
        </w:r>
      </w:hyperlink>
      <w:r>
        <w:t xml:space="preserve">.</w:t>
      </w:r>
    </w:p>
    <w:bookmarkEnd w:id="130"/>
    <w:bookmarkStart w:id="132" w:name="ref-Ng2013"/>
    <w:p>
      <w:pPr>
        <w:pStyle w:val="Bibliography"/>
      </w:pPr>
      <w:r>
        <w:t xml:space="preserve">51.</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31">
        <w:r>
          <w:rPr>
            <w:rStyle w:val="Hyperlink"/>
          </w:rPr>
          <w:t xml:space="preserve">10.1038/nature12503</w:t>
        </w:r>
      </w:hyperlink>
      <w:r>
        <w:t xml:space="preserve">.</w:t>
      </w:r>
    </w:p>
    <w:bookmarkEnd w:id="132"/>
    <w:bookmarkStart w:id="134" w:name="ref-Ferreyra2014"/>
    <w:p>
      <w:pPr>
        <w:pStyle w:val="Bibliography"/>
      </w:pPr>
      <w:r>
        <w:t xml:space="preserve">52.</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33">
        <w:r>
          <w:rPr>
            <w:rStyle w:val="Hyperlink"/>
          </w:rPr>
          <w:t xml:space="preserve">10.1016/j.chom.2014.11.003</w:t>
        </w:r>
      </w:hyperlink>
      <w:r>
        <w:t xml:space="preserve">.</w:t>
      </w:r>
    </w:p>
    <w:bookmarkEnd w:id="134"/>
    <w:bookmarkStart w:id="136" w:name="ref-MartinVerstraete2016"/>
    <w:p>
      <w:pPr>
        <w:pStyle w:val="Bibliography"/>
      </w:pPr>
      <w:r>
        <w:t xml:space="preserve">53.</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35">
        <w:r>
          <w:rPr>
            <w:rStyle w:val="Hyperlink"/>
          </w:rPr>
          <w:t xml:space="preserve">10.3390/toxins8050153</w:t>
        </w:r>
      </w:hyperlink>
      <w:r>
        <w:t xml:space="preserve">.</w:t>
      </w:r>
    </w:p>
    <w:bookmarkEnd w:id="136"/>
    <w:bookmarkStart w:id="138" w:name="ref-Collins2015"/>
    <w:p>
      <w:pPr>
        <w:pStyle w:val="Bibliography"/>
      </w:pPr>
      <w:r>
        <w:t xml:space="preserve">54.</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w:t>
      </w:r>
      <w:r>
        <w:t xml:space="preserve"> </w:t>
      </w:r>
      <w:r>
        <w:rPr>
          <w:i/>
        </w:rPr>
        <w:t xml:space="preserve">Clostridium difficile</w:t>
      </w:r>
      <w:r>
        <w:t xml:space="preserve"> </w:t>
      </w:r>
      <w:r>
        <w:t xml:space="preserve">disease. Microbiome</w:t>
      </w:r>
      <w:r>
        <w:t xml:space="preserve"> </w:t>
      </w:r>
      <w:r>
        <w:rPr>
          <w:b/>
        </w:rPr>
        <w:t xml:space="preserve">3</w:t>
      </w:r>
      <w:r>
        <w:t xml:space="preserve">. doi:</w:t>
      </w:r>
      <w:hyperlink r:id="rId137">
        <w:r>
          <w:rPr>
            <w:rStyle w:val="Hyperlink"/>
          </w:rPr>
          <w:t xml:space="preserve">10.1186/s40168-015-0097-2</w:t>
        </w:r>
      </w:hyperlink>
      <w:r>
        <w:t xml:space="preserve">.</w:t>
      </w:r>
    </w:p>
    <w:bookmarkEnd w:id="138"/>
    <w:bookmarkStart w:id="140" w:name="ref-Lawley2012"/>
    <w:p>
      <w:pPr>
        <w:pStyle w:val="Bibliography"/>
      </w:pPr>
      <w:r>
        <w:t xml:space="preserve">55.</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39">
        <w:r>
          <w:rPr>
            <w:rStyle w:val="Hyperlink"/>
          </w:rPr>
          <w:t xml:space="preserve">10.1371/journal.ppat.1002995</w:t>
        </w:r>
      </w:hyperlink>
      <w:r>
        <w:t xml:space="preserve">.</w:t>
      </w:r>
    </w:p>
    <w:bookmarkEnd w:id="140"/>
    <w:bookmarkStart w:id="142" w:name="ref-Reeves2011"/>
    <w:p>
      <w:pPr>
        <w:pStyle w:val="Bibliography"/>
      </w:pPr>
      <w:r>
        <w:t xml:space="preserve">56.</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41">
        <w:r>
          <w:rPr>
            <w:rStyle w:val="Hyperlink"/>
          </w:rPr>
          <w:t xml:space="preserve">10.4161/gmic.2.3.16333</w:t>
        </w:r>
      </w:hyperlink>
      <w:r>
        <w:t xml:space="preserve">.</w:t>
      </w:r>
    </w:p>
    <w:bookmarkEnd w:id="142"/>
    <w:bookmarkStart w:id="144" w:name="ref-Mabrok2011"/>
    <w:p>
      <w:pPr>
        <w:pStyle w:val="Bibliography"/>
      </w:pPr>
      <w:r>
        <w:t xml:space="preserve">57.</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43">
        <w:r>
          <w:rPr>
            <w:rStyle w:val="Hyperlink"/>
          </w:rPr>
          <w:t xml:space="preserve">10.1093/carcin/bgr256</w:t>
        </w:r>
      </w:hyperlink>
      <w:r>
        <w:t xml:space="preserve">.</w:t>
      </w:r>
    </w:p>
    <w:bookmarkEnd w:id="144"/>
    <w:bookmarkStart w:id="146" w:name="ref-Kim2019"/>
    <w:p>
      <w:pPr>
        <w:pStyle w:val="Bibliography"/>
      </w:pPr>
      <w:r>
        <w:t xml:space="preserve">58.</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45">
        <w:r>
          <w:rPr>
            <w:rStyle w:val="Hyperlink"/>
          </w:rPr>
          <w:t xml:space="preserve">10.1038/s41396-019-0363-6</w:t>
        </w:r>
      </w:hyperlink>
      <w:r>
        <w:t xml:space="preserve">.</w:t>
      </w:r>
    </w:p>
    <w:bookmarkEnd w:id="146"/>
    <w:bookmarkStart w:id="148" w:name="ref-doPrado2021"/>
    <w:p>
      <w:pPr>
        <w:pStyle w:val="Bibliography"/>
      </w:pPr>
      <w:r>
        <w:t xml:space="preserve">59.</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47">
        <w:r>
          <w:rPr>
            <w:rStyle w:val="Hyperlink"/>
          </w:rPr>
          <w:t xml:space="preserve">10.1016/j.foodchem.2021.129071</w:t>
        </w:r>
      </w:hyperlink>
      <w:r>
        <w:t xml:space="preserve">.</w:t>
      </w:r>
    </w:p>
    <w:bookmarkEnd w:id="148"/>
    <w:bookmarkStart w:id="150" w:name="ref-Muthuramalingam2019"/>
    <w:p>
      <w:pPr>
        <w:pStyle w:val="Bibliography"/>
      </w:pPr>
      <w:r>
        <w:t xml:space="preserve">60.</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49">
        <w:r>
          <w:rPr>
            <w:rStyle w:val="Hyperlink"/>
          </w:rPr>
          <w:t xml:space="preserve">10.1007/s00394-019-02110-5</w:t>
        </w:r>
      </w:hyperlink>
      <w:r>
        <w:t xml:space="preserve">.</w:t>
      </w:r>
    </w:p>
    <w:bookmarkEnd w:id="150"/>
    <w:bookmarkStart w:id="152" w:name="ref-Han2019"/>
    <w:p>
      <w:pPr>
        <w:pStyle w:val="Bibliography"/>
      </w:pPr>
      <w:r>
        <w:t xml:space="preserve">61.</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51">
        <w:r>
          <w:rPr>
            <w:rStyle w:val="Hyperlink"/>
          </w:rPr>
          <w:t xml:space="preserve">10.1371/journal.pone.0212626</w:t>
        </w:r>
      </w:hyperlink>
      <w:r>
        <w:t xml:space="preserve">.</w:t>
      </w:r>
    </w:p>
    <w:bookmarkEnd w:id="152"/>
    <w:bookmarkStart w:id="154" w:name="ref-Duncan2004"/>
    <w:p>
      <w:pPr>
        <w:pStyle w:val="Bibliography"/>
      </w:pPr>
      <w:r>
        <w:t xml:space="preserve">62.</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53">
        <w:r>
          <w:rPr>
            <w:rStyle w:val="Hyperlink"/>
          </w:rPr>
          <w:t xml:space="preserve">10.1128/aem.70.10.5810-5817.2004</w:t>
        </w:r>
      </w:hyperlink>
      <w:r>
        <w:t xml:space="preserve">.</w:t>
      </w:r>
    </w:p>
    <w:bookmarkEnd w:id="154"/>
    <w:bookmarkStart w:id="156" w:name="ref-Ye2018"/>
    <w:p>
      <w:pPr>
        <w:pStyle w:val="Bibliography"/>
      </w:pPr>
      <w:r>
        <w:t xml:space="preserve">63.</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55">
        <w:r>
          <w:rPr>
            <w:rStyle w:val="Hyperlink"/>
          </w:rPr>
          <w:t xml:space="preserve">10.3389/fmicb.2018.01967</w:t>
        </w:r>
      </w:hyperlink>
      <w:r>
        <w:t xml:space="preserve">.</w:t>
      </w:r>
    </w:p>
    <w:bookmarkEnd w:id="156"/>
    <w:bookmarkStart w:id="158" w:name="ref-Walsh2017"/>
    <w:p>
      <w:pPr>
        <w:pStyle w:val="Bibliography"/>
      </w:pPr>
      <w:r>
        <w:t xml:space="preserve">64.</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57">
        <w:r>
          <w:rPr>
            <w:rStyle w:val="Hyperlink"/>
          </w:rPr>
          <w:t xml:space="preserve">10.7717/peerj.3254</w:t>
        </w:r>
      </w:hyperlink>
      <w:r>
        <w:t xml:space="preserve">.</w:t>
      </w:r>
    </w:p>
    <w:bookmarkEnd w:id="158"/>
    <w:bookmarkStart w:id="160" w:name="ref-Sandiford2018"/>
    <w:p>
      <w:pPr>
        <w:pStyle w:val="Bibliography"/>
      </w:pPr>
      <w:r>
        <w:t xml:space="preserve">65.</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59">
        <w:r>
          <w:rPr>
            <w:rStyle w:val="Hyperlink"/>
          </w:rPr>
          <w:t xml:space="preserve">10.1080/17460441.2019.1549032</w:t>
        </w:r>
      </w:hyperlink>
      <w:r>
        <w:t xml:space="preserve">.</w:t>
      </w:r>
    </w:p>
    <w:bookmarkEnd w:id="160"/>
    <w:bookmarkStart w:id="162" w:name="ref-Stein2013"/>
    <w:p>
      <w:pPr>
        <w:pStyle w:val="Bibliography"/>
      </w:pPr>
      <w:r>
        <w:t xml:space="preserve">66.</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61">
        <w:r>
          <w:rPr>
            <w:rStyle w:val="Hyperlink"/>
          </w:rPr>
          <w:t xml:space="preserve">10.1371/journal.pcbi.1003388</w:t>
        </w:r>
      </w:hyperlink>
      <w:r>
        <w:t xml:space="preserve">.</w:t>
      </w:r>
    </w:p>
    <w:bookmarkEnd w:id="162"/>
    <w:bookmarkStart w:id="164" w:name="ref-Nakashima2021"/>
    <w:p>
      <w:pPr>
        <w:pStyle w:val="Bibliography"/>
      </w:pPr>
      <w:r>
        <w:t xml:space="preserve">67.</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63">
        <w:r>
          <w:rPr>
            <w:rStyle w:val="Hyperlink"/>
          </w:rPr>
          <w:t xml:space="preserve">10.1007/s10620-021-07131-x</w:t>
        </w:r>
      </w:hyperlink>
      <w:r>
        <w:t xml:space="preserve">.</w:t>
      </w:r>
    </w:p>
    <w:bookmarkEnd w:id="164"/>
    <w:bookmarkStart w:id="166" w:name="ref-Geerlings2018"/>
    <w:p>
      <w:pPr>
        <w:pStyle w:val="Bibliography"/>
      </w:pPr>
      <w:r>
        <w:t xml:space="preserve">68.</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65">
        <w:r>
          <w:rPr>
            <w:rStyle w:val="Hyperlink"/>
          </w:rPr>
          <w:t xml:space="preserve">10.3390/microorganisms6030075</w:t>
        </w:r>
      </w:hyperlink>
      <w:r>
        <w:t xml:space="preserve">.</w:t>
      </w:r>
    </w:p>
    <w:bookmarkEnd w:id="166"/>
    <w:bookmarkStart w:id="168" w:name="ref-Deng2018"/>
    <w:p>
      <w:pPr>
        <w:pStyle w:val="Bibliography"/>
      </w:pPr>
      <w:r>
        <w:t xml:space="preserve">69.</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67">
        <w:r>
          <w:rPr>
            <w:rStyle w:val="Hyperlink"/>
          </w:rPr>
          <w:t xml:space="preserve">10.3389/fmicb.2018.02976</w:t>
        </w:r>
      </w:hyperlink>
      <w:r>
        <w:t xml:space="preserve">.</w:t>
      </w:r>
    </w:p>
    <w:bookmarkEnd w:id="168"/>
    <w:bookmarkStart w:id="170" w:name="ref-Engevik2020"/>
    <w:p>
      <w:pPr>
        <w:pStyle w:val="Bibliography"/>
      </w:pPr>
      <w:r>
        <w:t xml:space="preserve">70.</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69">
        <w:r>
          <w:rPr>
            <w:rStyle w:val="Hyperlink"/>
          </w:rPr>
          <w:t xml:space="preserve">10.1021/acsinfecdis.0c00634</w:t>
        </w:r>
      </w:hyperlink>
      <w:r>
        <w:t xml:space="preserve">.</w:t>
      </w:r>
    </w:p>
    <w:bookmarkEnd w:id="170"/>
    <w:bookmarkStart w:id="172" w:name="ref-Reeves2012"/>
    <w:p>
      <w:pPr>
        <w:pStyle w:val="Bibliography"/>
      </w:pPr>
      <w:r>
        <w:t xml:space="preserve">71.</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71">
        <w:r>
          <w:rPr>
            <w:rStyle w:val="Hyperlink"/>
          </w:rPr>
          <w:t xml:space="preserve">10.1128/iai.00647-12</w:t>
        </w:r>
      </w:hyperlink>
      <w:r>
        <w:t xml:space="preserve">.</w:t>
      </w:r>
    </w:p>
    <w:bookmarkEnd w:id="172"/>
    <w:bookmarkStart w:id="174" w:name="ref-Ma2021"/>
    <w:p>
      <w:pPr>
        <w:pStyle w:val="Bibliography"/>
      </w:pPr>
      <w:r>
        <w:t xml:space="preserve">72.</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73">
        <w:r>
          <w:rPr>
            <w:rStyle w:val="Hyperlink"/>
          </w:rPr>
          <w:t xml:space="preserve">10.1128/msphere.00283-21</w:t>
        </w:r>
      </w:hyperlink>
      <w:r>
        <w:t xml:space="preserve">.</w:t>
      </w:r>
    </w:p>
    <w:bookmarkEnd w:id="174"/>
    <w:bookmarkStart w:id="176" w:name="ref-Haas2020"/>
    <w:p>
      <w:pPr>
        <w:pStyle w:val="Bibliography"/>
      </w:pPr>
      <w:r>
        <w:t xml:space="preserve">73.</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75">
        <w:r>
          <w:rPr>
            <w:rStyle w:val="Hyperlink"/>
          </w:rPr>
          <w:t xml:space="preserve">10.1099/ijsem.0.003698</w:t>
        </w:r>
      </w:hyperlink>
      <w:r>
        <w:t xml:space="preserve">.</w:t>
      </w:r>
    </w:p>
    <w:bookmarkEnd w:id="176"/>
    <w:bookmarkStart w:id="178" w:name="ref-Finegold2005"/>
    <w:p>
      <w:pPr>
        <w:pStyle w:val="Bibliography"/>
      </w:pPr>
      <w:r>
        <w:t xml:space="preserve">74.</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77">
        <w:r>
          <w:rPr>
            <w:rStyle w:val="Hyperlink"/>
          </w:rPr>
          <w:t xml:space="preserve">10.1007/s10096-005-1334-6</w:t>
        </w:r>
      </w:hyperlink>
      <w:r>
        <w:t xml:space="preserve">.</w:t>
      </w:r>
    </w:p>
    <w:bookmarkEnd w:id="178"/>
    <w:bookmarkStart w:id="180" w:name="ref-VanInsberghe2020"/>
    <w:p>
      <w:pPr>
        <w:pStyle w:val="Bibliography"/>
      </w:pPr>
      <w:r>
        <w:t xml:space="preserve">75.</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w:t>
      </w:r>
      <w:r>
        <w:t xml:space="preserve"> </w:t>
      </w:r>
      <w:r>
        <w:rPr>
          <w:b/>
        </w:rPr>
        <w:t xml:space="preserve">5</w:t>
      </w:r>
      <w:r>
        <w:t xml:space="preserve">:642–650. doi:</w:t>
      </w:r>
      <w:hyperlink r:id="rId179">
        <w:r>
          <w:rPr>
            <w:rStyle w:val="Hyperlink"/>
          </w:rPr>
          <w:t xml:space="preserve">10.1038/s41564-020-0668-2</w:t>
        </w:r>
      </w:hyperlink>
      <w:r>
        <w:t xml:space="preserve">.</w:t>
      </w:r>
    </w:p>
    <w:bookmarkEnd w:id="180"/>
    <w:bookmarkStart w:id="182" w:name="ref-GarzaGonzalez2019"/>
    <w:p>
      <w:pPr>
        <w:pStyle w:val="Bibliography"/>
      </w:pPr>
      <w:r>
        <w:t xml:space="preserve">76.</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w:t>
      </w:r>
      <w:r>
        <w:t xml:space="preserve"> </w:t>
      </w:r>
      <w:r>
        <w:rPr>
          <w:b/>
        </w:rPr>
        <w:t xml:space="preserve">2019</w:t>
      </w:r>
      <w:r>
        <w:t xml:space="preserve">:1–7. doi:</w:t>
      </w:r>
      <w:hyperlink r:id="rId181">
        <w:r>
          <w:rPr>
            <w:rStyle w:val="Hyperlink"/>
          </w:rPr>
          <w:t xml:space="preserve">10.1155/2019/4549298</w:t>
        </w:r>
      </w:hyperlink>
      <w:r>
        <w:t xml:space="preserve">.</w:t>
      </w:r>
    </w:p>
    <w:bookmarkEnd w:id="182"/>
    <w:bookmarkStart w:id="184" w:name="ref-Shafiq2020"/>
    <w:p>
      <w:pPr>
        <w:pStyle w:val="Bibliography"/>
      </w:pPr>
      <w:r>
        <w:t xml:space="preserve">77.</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w:t>
      </w:r>
      <w:r>
        <w:t xml:space="preserve"> </w:t>
      </w:r>
      <w:r>
        <w:rPr>
          <w:b/>
        </w:rPr>
        <w:t xml:space="preserve">12</w:t>
      </w:r>
      <w:r>
        <w:t xml:space="preserve">. doi:</w:t>
      </w:r>
      <w:hyperlink r:id="rId183">
        <w:r>
          <w:rPr>
            <w:rStyle w:val="Hyperlink"/>
          </w:rPr>
          <w:t xml:space="preserve">10.1186/s13099-020-00348-7</w:t>
        </w:r>
      </w:hyperlink>
      <w:r>
        <w:t xml:space="preserve">.</w:t>
      </w:r>
    </w:p>
    <w:bookmarkEnd w:id="184"/>
    <w:bookmarkStart w:id="186" w:name="ref-Keith2020"/>
    <w:p>
      <w:pPr>
        <w:pStyle w:val="Bibliography"/>
      </w:pPr>
      <w:r>
        <w:t xml:space="preserve">78.</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w:t>
      </w:r>
      <w:r>
        <w:t xml:space="preserve"> </w:t>
      </w:r>
      <w:r>
        <w:rPr>
          <w:b/>
        </w:rPr>
        <w:t xml:space="preserve">88</w:t>
      </w:r>
      <w:r>
        <w:t xml:space="preserve">. doi:</w:t>
      </w:r>
      <w:hyperlink r:id="rId185">
        <w:r>
          <w:rPr>
            <w:rStyle w:val="Hyperlink"/>
          </w:rPr>
          <w:t xml:space="preserve">10.1128/iai.00362-19</w:t>
        </w:r>
      </w:hyperlink>
      <w:r>
        <w:t xml:space="preserve">.</w:t>
      </w:r>
    </w:p>
    <w:bookmarkEnd w:id="186"/>
    <w:bookmarkStart w:id="188" w:name="ref-Zackular2016"/>
    <w:p>
      <w:pPr>
        <w:pStyle w:val="Bibliography"/>
      </w:pPr>
      <w:r>
        <w:t xml:space="preserve">79.</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w:t>
      </w:r>
      <w:r>
        <w:t xml:space="preserve"> </w:t>
      </w:r>
      <w:r>
        <w:rPr>
          <w:b/>
        </w:rPr>
        <w:t xml:space="preserve">22</w:t>
      </w:r>
      <w:r>
        <w:t xml:space="preserve">:1330–1334. doi:</w:t>
      </w:r>
      <w:hyperlink r:id="rId187">
        <w:r>
          <w:rPr>
            <w:rStyle w:val="Hyperlink"/>
          </w:rPr>
          <w:t xml:space="preserve">10.1038/nm.4174</w:t>
        </w:r>
      </w:hyperlink>
      <w:r>
        <w:t xml:space="preserve">.</w:t>
      </w:r>
    </w:p>
    <w:bookmarkEnd w:id="188"/>
    <w:bookmarkStart w:id="190" w:name="ref-Berkell2021"/>
    <w:p>
      <w:pPr>
        <w:pStyle w:val="Bibliography"/>
      </w:pPr>
      <w:r>
        <w:t xml:space="preserve">80.</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w:t>
      </w:r>
      <w:r>
        <w:t xml:space="preserve"> </w:t>
      </w:r>
      <w:r>
        <w:rPr>
          <w:b/>
        </w:rPr>
        <w:t xml:space="preserve">12</w:t>
      </w:r>
      <w:r>
        <w:t xml:space="preserve">. doi:</w:t>
      </w:r>
      <w:hyperlink r:id="rId189">
        <w:r>
          <w:rPr>
            <w:rStyle w:val="Hyperlink"/>
          </w:rPr>
          <w:t xml:space="preserve">10.1038/s41467-021-22302-0</w:t>
        </w:r>
      </w:hyperlink>
      <w:r>
        <w:t xml:space="preserve">.</w:t>
      </w:r>
    </w:p>
    <w:bookmarkEnd w:id="190"/>
    <w:bookmarkStart w:id="192" w:name="ref-Gardiner2014"/>
    <w:p>
      <w:pPr>
        <w:pStyle w:val="Bibliography"/>
      </w:pPr>
      <w:r>
        <w:t xml:space="preserve">81.</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w:t>
      </w:r>
      <w:r>
        <w:t xml:space="preserve"> </w:t>
      </w:r>
      <w:r>
        <w:rPr>
          <w:b/>
        </w:rPr>
        <w:t xml:space="preserve">53</w:t>
      </w:r>
      <w:r>
        <w:t xml:space="preserve">:626–635. doi:</w:t>
      </w:r>
      <w:hyperlink r:id="rId191">
        <w:r>
          <w:rPr>
            <w:rStyle w:val="Hyperlink"/>
          </w:rPr>
          <w:t xml:space="preserve">10.1128/jcm.02926-14</w:t>
        </w:r>
      </w:hyperlink>
      <w:r>
        <w:t xml:space="preserve">.</w:t>
      </w:r>
    </w:p>
    <w:bookmarkEnd w:id="192"/>
    <w:bookmarkStart w:id="194" w:name="ref-Iljazovic2020"/>
    <w:p>
      <w:pPr>
        <w:pStyle w:val="Bibliography"/>
      </w:pPr>
      <w:r>
        <w:t xml:space="preserve">82.</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w:t>
      </w:r>
      <w:r>
        <w:t xml:space="preserve"> </w:t>
      </w:r>
      <w:r>
        <w:rPr>
          <w:b/>
        </w:rPr>
        <w:t xml:space="preserve">14</w:t>
      </w:r>
      <w:r>
        <w:t xml:space="preserve">:113–124. doi:</w:t>
      </w:r>
      <w:hyperlink r:id="rId193">
        <w:r>
          <w:rPr>
            <w:rStyle w:val="Hyperlink"/>
          </w:rPr>
          <w:t xml:space="preserve">10.1038/s41385-020-0296-4</w:t>
        </w:r>
      </w:hyperlink>
      <w:r>
        <w:t xml:space="preserve">.</w:t>
      </w:r>
    </w:p>
    <w:bookmarkEnd w:id="194"/>
    <w:bookmarkStart w:id="196" w:name="ref-Nagalingam2013"/>
    <w:p>
      <w:pPr>
        <w:pStyle w:val="Bibliography"/>
      </w:pPr>
      <w:r>
        <w:t xml:space="preserve">83.</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 helicobacter hepaticus</w:t>
      </w:r>
      <w:r>
        <w:t xml:space="preserve"> </w:t>
      </w:r>
      <w:r>
        <w:rPr>
          <w:b/>
        </w:rPr>
        <w:t xml:space="preserve">1</w:t>
      </w:r>
      <w:r>
        <w:t xml:space="preserve">. doi:</w:t>
      </w:r>
      <w:hyperlink r:id="rId195">
        <w:r>
          <w:rPr>
            <w:rStyle w:val="Hyperlink"/>
          </w:rPr>
          <w:t xml:space="preserve">10.1186/2049-2618-1-15</w:t>
        </w:r>
      </w:hyperlink>
      <w:r>
        <w:t xml:space="preserve">.</w:t>
      </w:r>
    </w:p>
    <w:bookmarkEnd w:id="196"/>
    <w:bookmarkStart w:id="198" w:name="ref-AbernathyClose2021"/>
    <w:p>
      <w:pPr>
        <w:pStyle w:val="Bibliography"/>
      </w:pPr>
      <w:r>
        <w:t xml:space="preserve">84.</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doi:</w:t>
      </w:r>
      <w:hyperlink r:id="rId197">
        <w:r>
          <w:rPr>
            <w:rStyle w:val="Hyperlink"/>
          </w:rPr>
          <w:t xml:space="preserve">10.1128/mbio.02733-20</w:t>
        </w:r>
      </w:hyperlink>
      <w:r>
        <w:t xml:space="preserve">.</w:t>
      </w:r>
    </w:p>
    <w:bookmarkEnd w:id="198"/>
    <w:bookmarkStart w:id="199" w:name="ref-Pirofski2008"/>
    <w:p>
      <w:pPr>
        <w:pStyle w:val="Bibliography"/>
      </w:pPr>
      <w:r>
        <w:t xml:space="preserve">85.</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Springer New York.</w:t>
      </w:r>
    </w:p>
    <w:bookmarkEnd w:id="199"/>
    <w:bookmarkStart w:id="201" w:name="ref-Casadevall2014"/>
    <w:p>
      <w:pPr>
        <w:pStyle w:val="Bibliography"/>
      </w:pPr>
      <w:r>
        <w:t xml:space="preserve">86.</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w:t>
      </w:r>
      <w:r>
        <w:t xml:space="preserve"> </w:t>
      </w:r>
      <w:r>
        <w:rPr>
          <w:b/>
        </w:rPr>
        <w:t xml:space="preserve">83</w:t>
      </w:r>
      <w:r>
        <w:t xml:space="preserve">:2–7. doi:</w:t>
      </w:r>
      <w:hyperlink r:id="rId200">
        <w:r>
          <w:rPr>
            <w:rStyle w:val="Hyperlink"/>
          </w:rPr>
          <w:t xml:space="preserve">10.1128/iai.02627-14</w:t>
        </w:r>
      </w:hyperlink>
      <w:r>
        <w:t xml:space="preserve">.</w:t>
      </w:r>
    </w:p>
    <w:bookmarkEnd w:id="201"/>
    <w:bookmarkStart w:id="203" w:name="ref-Tailford2015"/>
    <w:p>
      <w:pPr>
        <w:pStyle w:val="Bibliography"/>
      </w:pPr>
      <w:r>
        <w:t xml:space="preserve">87.</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202">
        <w:r>
          <w:rPr>
            <w:rStyle w:val="Hyperlink"/>
          </w:rPr>
          <w:t xml:space="preserve">10.3389/fgene.2015.00081</w:t>
        </w:r>
      </w:hyperlink>
      <w:r>
        <w:t xml:space="preserve">.</w:t>
      </w:r>
    </w:p>
    <w:bookmarkEnd w:id="203"/>
    <w:bookmarkStart w:id="205" w:name="ref-Sorg2009"/>
    <w:p>
      <w:pPr>
        <w:pStyle w:val="Bibliography"/>
      </w:pPr>
      <w:r>
        <w:t xml:space="preserve">88.</w:t>
      </w:r>
      <w:r>
        <w:t xml:space="preserve"> </w:t>
      </w:r>
      <w:r>
        <w:rPr>
          <w:b/>
        </w:rPr>
        <w:t xml:space="preserve">Sorg JA</w:t>
      </w:r>
      <w:r>
        <w:t xml:space="preserve">,</w:t>
      </w:r>
      <w:r>
        <w:t xml:space="preserve"> </w:t>
      </w:r>
      <w:r>
        <w:rPr>
          <w:b/>
        </w:rPr>
        <w:t xml:space="preserve">Dineen SS</w:t>
      </w:r>
      <w:r>
        <w:t xml:space="preserve">. 2009. Laboratory maintenance ofClostridium difficile. Current Protocols in Microbiology</w:t>
      </w:r>
      <w:r>
        <w:t xml:space="preserve"> </w:t>
      </w:r>
      <w:r>
        <w:rPr>
          <w:b/>
        </w:rPr>
        <w:t xml:space="preserve">12</w:t>
      </w:r>
      <w:r>
        <w:t xml:space="preserve">. doi:</w:t>
      </w:r>
      <w:hyperlink r:id="rId204">
        <w:r>
          <w:rPr>
            <w:rStyle w:val="Hyperlink"/>
          </w:rPr>
          <w:t xml:space="preserve">10.1002/9780471729259.mc09a01s12</w:t>
        </w:r>
      </w:hyperlink>
      <w:r>
        <w:t xml:space="preserve">.</w:t>
      </w:r>
    </w:p>
    <w:bookmarkEnd w:id="205"/>
    <w:bookmarkStart w:id="207" w:name="ref-Winston2016"/>
    <w:p>
      <w:pPr>
        <w:pStyle w:val="Bibliography"/>
      </w:pPr>
      <w:r>
        <w:t xml:space="preserve">89.</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206">
        <w:r>
          <w:rPr>
            <w:rStyle w:val="Hyperlink"/>
          </w:rPr>
          <w:t xml:space="preserve">10.3791/54850</w:t>
        </w:r>
      </w:hyperlink>
      <w:r>
        <w:t xml:space="preserve">.</w:t>
      </w:r>
    </w:p>
    <w:bookmarkEnd w:id="207"/>
    <w:bookmarkStart w:id="209" w:name="ref-Kozich2013"/>
    <w:p>
      <w:pPr>
        <w:pStyle w:val="Bibliography"/>
      </w:pPr>
      <w:r>
        <w:t xml:space="preserve">90.</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208">
        <w:r>
          <w:rPr>
            <w:rStyle w:val="Hyperlink"/>
          </w:rPr>
          <w:t xml:space="preserve">10.1128/aem.01043-13</w:t>
        </w:r>
      </w:hyperlink>
      <w:r>
        <w:t xml:space="preserve">.</w:t>
      </w:r>
    </w:p>
    <w:bookmarkEnd w:id="209"/>
    <w:bookmarkStart w:id="211" w:name="ref-Schloss2009"/>
    <w:p>
      <w:pPr>
        <w:pStyle w:val="Bibliography"/>
      </w:pPr>
      <w:r>
        <w:t xml:space="preserve">91.</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210">
        <w:r>
          <w:rPr>
            <w:rStyle w:val="Hyperlink"/>
          </w:rPr>
          <w:t xml:space="preserve">10.1128/aem.01541-09</w:t>
        </w:r>
      </w:hyperlink>
      <w:r>
        <w:t xml:space="preserve">.</w:t>
      </w:r>
    </w:p>
    <w:bookmarkEnd w:id="211"/>
    <w:bookmarkStart w:id="213" w:name="ref-Wang2007"/>
    <w:p>
      <w:pPr>
        <w:pStyle w:val="Bibliography"/>
      </w:pPr>
      <w:r>
        <w:t xml:space="preserve">92.</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12">
        <w:r>
          <w:rPr>
            <w:rStyle w:val="Hyperlink"/>
          </w:rPr>
          <w:t xml:space="preserve">10.1128/aem.00062-07</w:t>
        </w:r>
      </w:hyperlink>
      <w:r>
        <w:t xml:space="preserve">.</w:t>
      </w:r>
    </w:p>
    <w:bookmarkEnd w:id="213"/>
    <w:bookmarkStart w:id="215" w:name="ref-Yue2005"/>
    <w:p>
      <w:pPr>
        <w:pStyle w:val="Bibliography"/>
      </w:pPr>
      <w:r>
        <w:t xml:space="preserve">93.</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14">
        <w:r>
          <w:rPr>
            <w:rStyle w:val="Hyperlink"/>
          </w:rPr>
          <w:t xml:space="preserve">10.1080/sta-200066418</w:t>
        </w:r>
      </w:hyperlink>
      <w:r>
        <w:t xml:space="preserve">.</w:t>
      </w:r>
    </w:p>
    <w:bookmarkEnd w:id="215"/>
    <w:bookmarkStart w:id="217" w:name="ref-Segata2011"/>
    <w:p>
      <w:pPr>
        <w:pStyle w:val="Bibliography"/>
      </w:pPr>
      <w:r>
        <w:t xml:space="preserve">94.</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16">
        <w:r>
          <w:rPr>
            <w:rStyle w:val="Hyperlink"/>
          </w:rPr>
          <w:t xml:space="preserve">10.1186/gb-2011-12-6-r60</w:t>
        </w:r>
      </w:hyperlink>
      <w:r>
        <w:t xml:space="preserve">.</w:t>
      </w:r>
    </w:p>
    <w:bookmarkEnd w:id="217"/>
    <w:bookmarkStart w:id="219" w:name="ref-Benjamini1995"/>
    <w:p>
      <w:pPr>
        <w:pStyle w:val="Bibliography"/>
      </w:pPr>
      <w:r>
        <w:t xml:space="preserve">95.</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18">
        <w:r>
          <w:rPr>
            <w:rStyle w:val="Hyperlink"/>
          </w:rPr>
          <w:t xml:space="preserve">10.1111/j.2517-6161.1995.tb02031.x</w:t>
        </w:r>
      </w:hyperlink>
      <w:r>
        <w:t xml:space="preserve">.</w:t>
      </w:r>
    </w:p>
    <w:bookmarkEnd w:id="219"/>
    <w:bookmarkStart w:id="221" w:name="ref-Topcuoglu2021"/>
    <w:p>
      <w:pPr>
        <w:pStyle w:val="Bibliography"/>
      </w:pPr>
      <w:r>
        <w:t xml:space="preserve">96.</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20">
        <w:r>
          <w:rPr>
            <w:rStyle w:val="Hyperlink"/>
          </w:rPr>
          <w:t xml:space="preserve">10.21105/joss.03073</w:t>
        </w:r>
      </w:hyperlink>
      <w:r>
        <w:t xml:space="preserve">.</w:t>
      </w:r>
    </w:p>
    <w:bookmarkEnd w:id="221"/>
    <w:bookmarkEnd w:id="222"/>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23"/>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communties in germ-free mice.</w:t>
      </w:r>
      <w:r>
        <w:t xml:space="preserve"> </w:t>
      </w:r>
      <w:r>
        <w:t xml:space="preserve">(A) Relative abundance of 10 most abundant bacterial classes of the gut bacterial communities on timepoint day 0, 14 days post-colonization of germ-free C57Bl/6 mice with human fecal samples. Each column of abundances represents an individual mouse. Each group of mice that received the same donor are grouped together and labeled with a letter (N for non-moribund mice and M for moribund mice) and number.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amongst in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466725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24"/>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w:t>
      </w:r>
      <w:r>
        <w:t xml:space="preserve"> </w:t>
      </w:r>
      <m:oMath>
        <m:sSup>
          <m:e>
            <m:r>
              <m:t>10</m:t>
            </m:r>
          </m:e>
          <m:sup>
            <m:r>
              <m:t>3</m:t>
            </m:r>
          </m:sup>
        </m:sSup>
      </m:oMath>
      <w:r>
        <w:t xml:space="preserve"> </w:t>
      </w:r>
      <w:r>
        <w:rPr>
          <w:i/>
        </w:rPr>
        <w:t xml:space="preserve">C. difficile</w:t>
      </w:r>
      <w:r>
        <w:t xml:space="preserve"> </w:t>
      </w:r>
      <w:r>
        <w:t xml:space="preserve">ribotype 027 human isolate 431 spores and at the end of the experiment, 10 days post-challenge. Each point is an individual mouse. Mice are grouped by donor and labeled by the donor letter (N for non-moribund mice and M for moribund mice) and number.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2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 *C. difficile 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2-3 post-challenge). Each point is an individual mouse. Mice are grouped by donor and labeled by the donor letter (N for non-moribund mice and M for moribund mice) and number. Points are colored by donor group. Missing points are from mice that had insufficient sample collected for assaying fecal toxin.</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26"/>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toxin activity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(Toxigenic, colored dark purple) and which no toxin activity was detected (Non-toxigenic, colored light purple). (C) Endpoint bacterial OTUs correlated with histopathologic summary score. Each individual mouse is plotted (transparent gray point). Spearman correlations were statistically significant after Benjamini-Hochberg correction for multiple comparisons. * indicates bacterial group was unclassified at lower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27"/>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(Day 0) predicted outcomes of the infection.</w:t>
      </w:r>
      <w:r>
        <w:t xml:space="preserve"> </w:t>
      </w:r>
      <w:r>
        <w:t xml:space="preserve">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indicates bacterial group was unclassified at lower classification ranks. (A) Bacterial members grouped by phyla predicted which mice would have toxin activity detected at any point throughout the infection (Toxigenic,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9144000"/>
            <wp:effectExtent b="0" l="0" r="0" t="0"/>
            <wp:docPr descr="" title="" id="1" name="Picture"/>
            <a:graphic>
              <a:graphicData uri="http://schemas.openxmlformats.org/drawingml/2006/picture">
                <pic:pic>
                  <pic:nvPicPr>
                    <pic:cNvPr descr="../results/figures/figure_6.jpg" id="0" name="Picture"/>
                    <pic:cNvPicPr>
                      <a:picLocks noChangeArrowheads="1" noChangeAspect="1"/>
                    </pic:cNvPicPr>
                  </pic:nvPicPr>
                  <pic:blipFill>
                    <a:blip r:embed="rId228"/>
                    <a:stretch>
                      <a:fillRect/>
                    </a:stretch>
                  </pic:blipFill>
                  <pic:spPr bwMode="auto">
                    <a:xfrm>
                      <a:off x="0" y="0"/>
                      <a:ext cx="5334000" cy="9144000"/>
                    </a:xfrm>
                    <a:prstGeom prst="rect">
                      <a:avLst/>
                    </a:prstGeom>
                    <a:noFill/>
                    <a:ln w="9525">
                      <a:noFill/>
                      <a:headEnd/>
                      <a:tailEnd/>
                    </a:ln>
                  </pic:spPr>
                </pic:pic>
              </a:graphicData>
            </a:graphic>
          </wp:inline>
        </w:drawing>
      </w:r>
    </w:p>
    <w:p>
      <w:pPr>
        <w:pStyle w:val="BodyText"/>
      </w:pPr>
      <w:r>
        <w:rPr>
          <w:b/>
        </w:rPr>
        <w:t xml:space="preserve">Figure 6.</w:t>
      </w:r>
      <w:r>
        <w:rPr>
          <w:b/>
        </w:rPr>
        <w:t xml:space="preserve"> </w:t>
      </w:r>
      <w:r>
        <w:rPr>
          <w:i/>
          <w:b/>
        </w:rPr>
        <w:t xml:space="preserve">C. difficile</w:t>
      </w:r>
      <w:r>
        <w:rPr>
          <w:b/>
        </w:rPr>
        <w:t xml:space="preserve"> </w:t>
      </w:r>
      <w:r>
        <w:rPr>
          <w:b/>
        </w:rPr>
        <w:t xml:space="preserve">infection outcome were similar within human fecal donor groups across different</w:t>
      </w:r>
      <w:r>
        <w:rPr>
          <w:b/>
        </w:rPr>
        <w:t xml:space="preserve"> </w:t>
      </w:r>
      <w:r>
        <w:rPr>
          <w:i/>
          <w:b/>
        </w:rPr>
        <w:t xml:space="preserve">C. difficile</w:t>
      </w:r>
      <w:r>
        <w:rPr>
          <w:b/>
        </w:rPr>
        <w:t xml:space="preserve"> </w:t>
      </w:r>
      <w:r>
        <w:rPr>
          <w:b/>
        </w:rPr>
        <w:t xml:space="preserve">isolates.</w:t>
      </w:r>
      <w:r>
        <w:t xml:space="preserve"> </w:t>
      </w:r>
      <w:r>
        <w:t xml:space="preserve">Mice colonized with human fecal donor communities N7, N6, or M4 were challenged with the isolate from the previous experiments in this study,</w:t>
      </w:r>
      <w:r>
        <w:t xml:space="preserve"> </w:t>
      </w:r>
      <w:r>
        <w:rPr>
          <w:i/>
        </w:rPr>
        <w:t xml:space="preserve">C. difficile</w:t>
      </w:r>
      <w:r>
        <w:t xml:space="preserve"> </w:t>
      </w:r>
      <w:r>
        <w:t xml:space="preserve">ribotype 027 human isolate 431 (blue points), or a different</w:t>
      </w:r>
      <w:r>
        <w:t xml:space="preserve"> </w:t>
      </w:r>
      <w:r>
        <w:rPr>
          <w:i/>
        </w:rPr>
        <w:t xml:space="preserve">C. difficile</w:t>
      </w:r>
      <w:r>
        <w:t xml:space="preserve"> </w:t>
      </w:r>
      <w:r>
        <w:t xml:space="preserve">isolate (purple points).</w:t>
      </w:r>
      <w:r>
        <w:t xml:space="preserve"> </w:t>
      </w:r>
      <w:r>
        <w:rPr>
          <w:i/>
        </w:rPr>
        <w:t xml:space="preserve">C. difficile</w:t>
      </w:r>
      <w:r>
        <w:t xml:space="preserve"> </w:t>
      </w:r>
      <w:r>
        <w:t xml:space="preserve">CFUs were enumerated at the end of the experiment (day 10 post-challenge) and are plotted grouped by donor source (top plot). Histopathologic scores from the tissue collected at the endpoint (either day 10 post-challenge or day mice succumbed to infection) are plotted grouped by donor source (bottom plot). Mice that had received fecal communities from human donor M4 succumbed to the infection prior to day 10 post-challenge so were not plated for CFU on day 10 post-challenge (DECD = deceased). RT = ribotype, Isolate =</w:t>
      </w:r>
      <w:r>
        <w:t xml:space="preserve"> </w:t>
      </w:r>
      <w:r>
        <w:rPr>
          <w:i/>
        </w:rPr>
        <w:t xml:space="preserve">C. difficile</w:t>
      </w:r>
      <w:r>
        <w:t xml:space="preserve"> </w:t>
      </w:r>
      <w:r>
        <w:t xml:space="preserve">human isolate id, LOD = limit of detection.</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2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30"/>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that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toxin activity when permuted. (E) Bacterial classes which affected the performance of predicting moribundity when permuted. (D) Bacterial genera which affected the performance of predicting histopathologic score when permuted.</w:t>
      </w:r>
    </w:p>
    <w:p>
      <w:pPr>
        <w:pStyle w:val="BodyText"/>
      </w:pPr>
      <w:r>
        <w:drawing>
          <wp:inline>
            <wp:extent cx="5334000" cy="5334000"/>
            <wp:effectExtent b="0" l="0" r="0" t="0"/>
            <wp:docPr descr="" title="" id="1" name="Picture"/>
            <a:graphic>
              <a:graphicData uri="http://schemas.openxmlformats.org/drawingml/2006/picture">
                <pic:pic>
                  <pic:nvPicPr>
                    <pic:cNvPr descr="../results/figures/figure_S3.jpg" id="0" name="Picture"/>
                    <pic:cNvPicPr>
                      <a:picLocks noChangeArrowheads="1" noChangeAspect="1"/>
                    </pic:cNvPicPr>
                  </pic:nvPicPr>
                  <pic:blipFill>
                    <a:blip r:embed="rId2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S3. Subset of donor communities were selected to test for conserved</w:t>
      </w:r>
      <w:r>
        <w:rPr>
          <w:b/>
        </w:rPr>
        <w:t xml:space="preserve"> </w:t>
      </w:r>
      <w:r>
        <w:rPr>
          <w:i/>
          <w:b/>
        </w:rPr>
        <w:t xml:space="preserve">C. difficile</w:t>
      </w:r>
      <w:r>
        <w:rPr>
          <w:b/>
        </w:rPr>
        <w:t xml:space="preserve"> </w:t>
      </w:r>
      <w:r>
        <w:rPr>
          <w:b/>
        </w:rPr>
        <w:t xml:space="preserve">infection outcome with a different</w:t>
      </w:r>
      <w:r>
        <w:rPr>
          <w:b/>
        </w:rPr>
        <w:t xml:space="preserve"> </w:t>
      </w:r>
      <w:r>
        <w:rPr>
          <w:i/>
          <w:b/>
        </w:rPr>
        <w:t xml:space="preserve">C. difficile</w:t>
      </w:r>
      <w:r>
        <w:rPr>
          <w:b/>
        </w:rPr>
        <w:t xml:space="preserve"> </w:t>
      </w:r>
      <w:r>
        <w:rPr>
          <w:b/>
        </w:rPr>
        <w:t xml:space="preserve">isolate.</w:t>
      </w:r>
      <w:r>
        <w:t xml:space="preserve"> </w:t>
      </w:r>
      <w:r>
        <w:t xml:space="preserve">(A) Relative abundance of genera in mice from previous experiments which received human fecal donor communities N7, N6, or M4. Each column is an individual mouse. (B) Features from the random forest model that predicted moribundity using relative abundance of bacteria were grouped by their genus classification rank and are ordered by their decrease in AUC when each feature was permuted. Median (solid points) and interquartile range (lines) change in AUC are plotted. (C) Relative abundance of the most important genera used by the model to predict moribundity. Median (solid points) and interquartile range (lines) of the group relative abundances are plotted. * indicates bacterial group was unclassified at lower classification ranks.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3" Target="media/rId223.jpg" /><Relationship Type="http://schemas.openxmlformats.org/officeDocument/2006/relationships/image" Id="rId224" Target="media/rId224.jpg" /><Relationship Type="http://schemas.openxmlformats.org/officeDocument/2006/relationships/image" Id="rId225" Target="media/rId225.jpg" /><Relationship Type="http://schemas.openxmlformats.org/officeDocument/2006/relationships/image" Id="rId226" Target="media/rId226.jpg" /><Relationship Type="http://schemas.openxmlformats.org/officeDocument/2006/relationships/image" Id="rId227" Target="media/rId227.jpg" /><Relationship Type="http://schemas.openxmlformats.org/officeDocument/2006/relationships/image" Id="rId228" Target="media/rId228.jpg" /><Relationship Type="http://schemas.openxmlformats.org/officeDocument/2006/relationships/image" Id="rId229" Target="media/rId229.jpg" /><Relationship Type="http://schemas.openxmlformats.org/officeDocument/2006/relationships/image" Id="rId230" Target="media/rId230.jpg" /><Relationship Type="http://schemas.openxmlformats.org/officeDocument/2006/relationships/image" Id="rId231" Target="media/rId231.jpg" /><Relationship Type="http://schemas.openxmlformats.org/officeDocument/2006/relationships/hyperlink" Id="rId204" Target="https://doi.org/10.1002/9780471729259.mc09a01s12" TargetMode="External" /><Relationship Type="http://schemas.openxmlformats.org/officeDocument/2006/relationships/hyperlink" Id="rId123" Target="https://doi.org/10.1007/s00253-016-8006-6" TargetMode="External" /><Relationship Type="http://schemas.openxmlformats.org/officeDocument/2006/relationships/hyperlink" Id="rId149" Target="https://doi.org/10.1007/s00394-019-02110-5" TargetMode="External" /><Relationship Type="http://schemas.openxmlformats.org/officeDocument/2006/relationships/hyperlink" Id="rId177" Target="https://doi.org/10.1007/s10096-005-1334-6" TargetMode="External" /><Relationship Type="http://schemas.openxmlformats.org/officeDocument/2006/relationships/hyperlink" Id="rId163" Target="https://doi.org/10.1007/s10620-021-07131-x" TargetMode="External" /><Relationship Type="http://schemas.openxmlformats.org/officeDocument/2006/relationships/hyperlink" Id="rId95" Target="https://doi.org/10.1016/j.anaerobe.2013.04.003" TargetMode="External" /><Relationship Type="http://schemas.openxmlformats.org/officeDocument/2006/relationships/hyperlink" Id="rId97" Target="https://doi.org/10.1016/j.anaerobe.2015.02.003" TargetMode="External" /><Relationship Type="http://schemas.openxmlformats.org/officeDocument/2006/relationships/hyperlink" Id="rId69" Target="https://doi.org/10.1016/j.anaerobe.2017.03.004" TargetMode="External" /><Relationship Type="http://schemas.openxmlformats.org/officeDocument/2006/relationships/hyperlink" Id="rId73" Target="https://doi.org/10.1016/j.chembiol.2018.10.003" TargetMode="External" /><Relationship Type="http://schemas.openxmlformats.org/officeDocument/2006/relationships/hyperlink" Id="rId133" Target="https://doi.org/10.1016/j.chom.2014.11.003" TargetMode="External" /><Relationship Type="http://schemas.openxmlformats.org/officeDocument/2006/relationships/hyperlink" Id="rId57" Target="https://doi.org/10.1016/j.disamonth.2015.01.006" TargetMode="External" /><Relationship Type="http://schemas.openxmlformats.org/officeDocument/2006/relationships/hyperlink" Id="rId147" Target="https://doi.org/10.1016/j.foodchem.2021.129071" TargetMode="External" /><Relationship Type="http://schemas.openxmlformats.org/officeDocument/2006/relationships/hyperlink" Id="rId99" Target="https://doi.org/10.1016/j.jhin.2011.04.017" TargetMode="External" /><Relationship Type="http://schemas.openxmlformats.org/officeDocument/2006/relationships/hyperlink" Id="rId49" Target="https://doi.org/10.1016/j.jhin.2013.04.017" TargetMode="External" /><Relationship Type="http://schemas.openxmlformats.org/officeDocument/2006/relationships/hyperlink" Id="rId125" Target="https://doi.org/10.1016/j.mam.2017.06.002" TargetMode="External" /><Relationship Type="http://schemas.openxmlformats.org/officeDocument/2006/relationships/hyperlink" Id="rId65" Target="https://doi.org/10.1016/j.mib.2020.01.016" TargetMode="External" /><Relationship Type="http://schemas.openxmlformats.org/officeDocument/2006/relationships/hyperlink" Id="rId51" Target="https://doi.org/10.1016/s0140-6736(10)61266-4" TargetMode="External" /><Relationship Type="http://schemas.openxmlformats.org/officeDocument/2006/relationships/hyperlink" Id="rId41" Target="https://doi.org/10.1017/ice.2017.89" TargetMode="External" /><Relationship Type="http://schemas.openxmlformats.org/officeDocument/2006/relationships/hyperlink" Id="rId169" Target="https://doi.org/10.1021/acsinfecdis.0c00634" TargetMode="External" /><Relationship Type="http://schemas.openxmlformats.org/officeDocument/2006/relationships/hyperlink" Id="rId131" Target="https://doi.org/10.1038/nature12503" TargetMode="External" /><Relationship Type="http://schemas.openxmlformats.org/officeDocument/2006/relationships/hyperlink" Id="rId187" Target="https://doi.org/10.1038/nm.4174" TargetMode="External" /><Relationship Type="http://schemas.openxmlformats.org/officeDocument/2006/relationships/hyperlink" Id="rId93" Target="https://doi.org/10.1038/nmicrobiol.2016.108" TargetMode="External" /><Relationship Type="http://schemas.openxmlformats.org/officeDocument/2006/relationships/hyperlink" Id="rId53" Target="https://doi.org/10.1038/nrmicro.2016.108" TargetMode="External" /><Relationship Type="http://schemas.openxmlformats.org/officeDocument/2006/relationships/hyperlink" Id="rId193" Target="https://doi.org/10.1038/s41385-020-0296-4" TargetMode="External" /><Relationship Type="http://schemas.openxmlformats.org/officeDocument/2006/relationships/hyperlink" Id="rId145" Target="https://doi.org/10.1038/s41396-019-0363-6" TargetMode="External" /><Relationship Type="http://schemas.openxmlformats.org/officeDocument/2006/relationships/hyperlink" Id="rId63" Target="https://doi.org/10.1038/s41467-019-14177-z" TargetMode="External" /><Relationship Type="http://schemas.openxmlformats.org/officeDocument/2006/relationships/hyperlink" Id="rId189" Target="https://doi.org/10.1038/s41467-021-22302-0" TargetMode="External" /><Relationship Type="http://schemas.openxmlformats.org/officeDocument/2006/relationships/hyperlink" Id="rId129" Target="https://doi.org/10.1038/s41522-019-0087-4" TargetMode="External" /><Relationship Type="http://schemas.openxmlformats.org/officeDocument/2006/relationships/hyperlink" Id="rId61" Target="https://doi.org/10.1038/s41564-018-0150-6" TargetMode="External" /><Relationship Type="http://schemas.openxmlformats.org/officeDocument/2006/relationships/hyperlink" Id="rId179" Target="https://doi.org/10.1038/s41564-020-0668-2" TargetMode="External" /><Relationship Type="http://schemas.openxmlformats.org/officeDocument/2006/relationships/hyperlink" Id="rId85" Target="https://doi.org/10.1053/j.gastro.2008.09.002" TargetMode="External" /><Relationship Type="http://schemas.openxmlformats.org/officeDocument/2006/relationships/hyperlink" Id="rId109" Target="https://doi.org/10.1053/j.gastro.2009.02.073" TargetMode="External" /><Relationship Type="http://schemas.openxmlformats.org/officeDocument/2006/relationships/hyperlink" Id="rId59"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15" Target="https://doi.org/10.1073/pnas.0914322107" TargetMode="External" /><Relationship Type="http://schemas.openxmlformats.org/officeDocument/2006/relationships/hyperlink" Id="rId159" Target="https://doi.org/10.1080/17460441.2019.1549032" TargetMode="External" /><Relationship Type="http://schemas.openxmlformats.org/officeDocument/2006/relationships/hyperlink" Id="rId214" Target="https://doi.org/10.1080/sta-200066418" TargetMode="External" /><Relationship Type="http://schemas.openxmlformats.org/officeDocument/2006/relationships/hyperlink" Id="rId45" Target="https://doi.org/10.1086/519265" TargetMode="External" /><Relationship Type="http://schemas.openxmlformats.org/officeDocument/2006/relationships/hyperlink" Id="rId107" Target="https://doi.org/10.1086/592257" TargetMode="External" /><Relationship Type="http://schemas.openxmlformats.org/officeDocument/2006/relationships/hyperlink" Id="rId143" Target="https://doi.org/10.1093/carcin/bgr256" TargetMode="External" /><Relationship Type="http://schemas.openxmlformats.org/officeDocument/2006/relationships/hyperlink" Id="rId39" Target="https://doi.org/10.1093/cid/ciab737" TargetMode="External" /><Relationship Type="http://schemas.openxmlformats.org/officeDocument/2006/relationships/hyperlink" Id="rId113" Target="https://doi.org/10.1093/cid/cis786" TargetMode="External" /><Relationship Type="http://schemas.openxmlformats.org/officeDocument/2006/relationships/hyperlink" Id="rId11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101" Target="https://doi.org/10.1093/infdis/jiy338" TargetMode="External" /><Relationship Type="http://schemas.openxmlformats.org/officeDocument/2006/relationships/hyperlink" Id="rId175" Target="https://doi.org/10.1099/ijsem.0.003698" TargetMode="External" /><Relationship Type="http://schemas.openxmlformats.org/officeDocument/2006/relationships/hyperlink" Id="rId55" Target="https://doi.org/10.1099/jmm.0.030015-0" TargetMode="External" /><Relationship Type="http://schemas.openxmlformats.org/officeDocument/2006/relationships/hyperlink" Id="rId47" Target="https://doi.org/10.1111/j.1365-2036.2008.03914.x" TargetMode="External" /><Relationship Type="http://schemas.openxmlformats.org/officeDocument/2006/relationships/hyperlink" Id="rId218" Target="https://doi.org/10.1111/j.2517-6161.1995.tb02031.x" TargetMode="External" /><Relationship Type="http://schemas.openxmlformats.org/officeDocument/2006/relationships/hyperlink" Id="rId212" Target="https://doi.org/10.1128/aem.00062-07" TargetMode="External" /><Relationship Type="http://schemas.openxmlformats.org/officeDocument/2006/relationships/hyperlink" Id="rId208" Target="https://doi.org/10.1128/aem.01043-13" TargetMode="External" /><Relationship Type="http://schemas.openxmlformats.org/officeDocument/2006/relationships/hyperlink" Id="rId210" Target="https://doi.org/10.1128/aem.01541-09" TargetMode="External" /><Relationship Type="http://schemas.openxmlformats.org/officeDocument/2006/relationships/hyperlink" Id="rId83" Target="https://doi.org/10.1128/aem.05239-11" TargetMode="External" /><Relationship Type="http://schemas.openxmlformats.org/officeDocument/2006/relationships/hyperlink" Id="rId153" Target="https://doi.org/10.1128/aem.70.10.5810-5817.2004" TargetMode="External" /><Relationship Type="http://schemas.openxmlformats.org/officeDocument/2006/relationships/hyperlink" Id="rId185" Target="https://doi.org/10.1128/iai.00362-19" TargetMode="External" /><Relationship Type="http://schemas.openxmlformats.org/officeDocument/2006/relationships/hyperlink" Id="rId171" Target="https://doi.org/10.1128/iai.00647-12" TargetMode="External" /><Relationship Type="http://schemas.openxmlformats.org/officeDocument/2006/relationships/hyperlink" Id="rId103" Target="https://doi.org/10.1128/iai.00960-19" TargetMode="External" /><Relationship Type="http://schemas.openxmlformats.org/officeDocument/2006/relationships/hyperlink" Id="rId200" Target="https://doi.org/10.1128/iai.02627-14" TargetMode="External" /><Relationship Type="http://schemas.openxmlformats.org/officeDocument/2006/relationships/hyperlink" Id="rId127" Target="https://doi.org/10.1128/jb.00610-10" TargetMode="External" /><Relationship Type="http://schemas.openxmlformats.org/officeDocument/2006/relationships/hyperlink" Id="rId67" Target="https://doi.org/10.1128/jb.01765-07" TargetMode="External" /><Relationship Type="http://schemas.openxmlformats.org/officeDocument/2006/relationships/hyperlink" Id="rId191" Target="https://doi.org/10.1128/jcm.02926-14" TargetMode="External" /><Relationship Type="http://schemas.openxmlformats.org/officeDocument/2006/relationships/hyperlink" Id="rId89" Target="https://doi.org/10.1128/jcm.44.2.353-358.2006" TargetMode="External" /><Relationship Type="http://schemas.openxmlformats.org/officeDocument/2006/relationships/hyperlink" Id="rId35" Target="https://doi.org/10.1128/mbio.00180-20" TargetMode="External" /><Relationship Type="http://schemas.openxmlformats.org/officeDocument/2006/relationships/hyperlink" Id="rId87" Target="https://doi.org/10.1128/mbio.00974-15" TargetMode="External" /><Relationship Type="http://schemas.openxmlformats.org/officeDocument/2006/relationships/hyperlink" Id="rId81" Target="https://doi.org/10.1128/mbio.01021-14" TargetMode="External" /><Relationship Type="http://schemas.openxmlformats.org/officeDocument/2006/relationships/hyperlink" Id="rId197" Target="https://doi.org/10.1128/mbio.02733-20" TargetMode="External" /><Relationship Type="http://schemas.openxmlformats.org/officeDocument/2006/relationships/hyperlink" Id="rId119" Target="https://doi.org/10.1128/msphere.00261-18" TargetMode="External" /><Relationship Type="http://schemas.openxmlformats.org/officeDocument/2006/relationships/hyperlink" Id="rId173" Target="https://doi.org/10.1128/msphere.00283-21" TargetMode="External" /><Relationship Type="http://schemas.openxmlformats.org/officeDocument/2006/relationships/hyperlink" Id="rId77" Target="https://doi.org/10.1128/msphere.00869-20" TargetMode="External" /><Relationship Type="http://schemas.openxmlformats.org/officeDocument/2006/relationships/hyperlink" Id="rId121" Target="https://doi.org/10.1128/msphere.01238-20" TargetMode="External" /><Relationship Type="http://schemas.openxmlformats.org/officeDocument/2006/relationships/hyperlink" Id="rId117" Target="https://doi.org/10.1128/msystems.00063-17" TargetMode="External" /><Relationship Type="http://schemas.openxmlformats.org/officeDocument/2006/relationships/hyperlink" Id="rId181" Target="https://doi.org/10.1155/2019/4549298" TargetMode="External" /><Relationship Type="http://schemas.openxmlformats.org/officeDocument/2006/relationships/hyperlink" Id="rId43" Target="https://doi.org/10.1177/17562848211048127" TargetMode="External" /><Relationship Type="http://schemas.openxmlformats.org/officeDocument/2006/relationships/hyperlink" Id="rId37" Target="https://doi.org/10.1186/1471-2334-13-316" TargetMode="External" /><Relationship Type="http://schemas.openxmlformats.org/officeDocument/2006/relationships/hyperlink" Id="rId195" Target="https://doi.org/10.1186/2049-2618-1-15" TargetMode="External" /><Relationship Type="http://schemas.openxmlformats.org/officeDocument/2006/relationships/hyperlink" Id="rId216" Target="https://doi.org/10.1186/gb-2011-12-6-r60" TargetMode="External" /><Relationship Type="http://schemas.openxmlformats.org/officeDocument/2006/relationships/hyperlink" Id="rId91" Target="https://doi.org/10.1186/s12866-020-1710-5" TargetMode="External" /><Relationship Type="http://schemas.openxmlformats.org/officeDocument/2006/relationships/hyperlink" Id="rId75" Target="https://doi.org/10.1186/s13073-016-0298-8" TargetMode="External" /><Relationship Type="http://schemas.openxmlformats.org/officeDocument/2006/relationships/hyperlink" Id="rId183" Target="https://doi.org/10.1186/s13099-020-00348-7" TargetMode="External" /><Relationship Type="http://schemas.openxmlformats.org/officeDocument/2006/relationships/hyperlink" Id="rId137" Target="https://doi.org/10.1186/s40168-015-0097-2" TargetMode="External" /><Relationship Type="http://schemas.openxmlformats.org/officeDocument/2006/relationships/hyperlink" Id="rId161" Target="https://doi.org/10.1371/journal.pcbi.1003388" TargetMode="External" /><Relationship Type="http://schemas.openxmlformats.org/officeDocument/2006/relationships/hyperlink" Id="rId151" Target="https://doi.org/10.1371/journal.pone.0212626" TargetMode="External" /><Relationship Type="http://schemas.openxmlformats.org/officeDocument/2006/relationships/hyperlink" Id="rId139" Target="https://doi.org/10.1371/journal.ppat.1002995" TargetMode="External" /><Relationship Type="http://schemas.openxmlformats.org/officeDocument/2006/relationships/hyperlink" Id="rId71" Target="https://doi.org/10.1371/journal.ppat.1010015" TargetMode="External" /><Relationship Type="http://schemas.openxmlformats.org/officeDocument/2006/relationships/hyperlink" Id="rId220" Target="https://doi.org/10.21105/joss.03073" TargetMode="External" /><Relationship Type="http://schemas.openxmlformats.org/officeDocument/2006/relationships/hyperlink" Id="rId202" Target="https://doi.org/10.3389/fgene.2015.00081" TargetMode="External" /><Relationship Type="http://schemas.openxmlformats.org/officeDocument/2006/relationships/hyperlink" Id="rId155" Target="https://doi.org/10.3389/fmicb.2018.01967" TargetMode="External" /><Relationship Type="http://schemas.openxmlformats.org/officeDocument/2006/relationships/hyperlink" Id="rId79" Target="https://doi.org/10.3389/fmicb.2018.02897" TargetMode="External" /><Relationship Type="http://schemas.openxmlformats.org/officeDocument/2006/relationships/hyperlink" Id="rId167" Target="https://doi.org/10.3389/fmicb.2018.02976" TargetMode="External" /><Relationship Type="http://schemas.openxmlformats.org/officeDocument/2006/relationships/hyperlink" Id="rId165" Target="https://doi.org/10.3390/microorganisms6030075" TargetMode="External" /><Relationship Type="http://schemas.openxmlformats.org/officeDocument/2006/relationships/hyperlink" Id="rId135" Target="https://doi.org/10.3390/toxins8050153" TargetMode="External" /><Relationship Type="http://schemas.openxmlformats.org/officeDocument/2006/relationships/hyperlink" Id="rId206" Target="https://doi.org/10.3791/54850" TargetMode="External" /><Relationship Type="http://schemas.openxmlformats.org/officeDocument/2006/relationships/hyperlink" Id="rId105" Target="https://doi.org/10.4161/gmic.19142" TargetMode="External" /><Relationship Type="http://schemas.openxmlformats.org/officeDocument/2006/relationships/hyperlink" Id="rId141" Target="https://doi.org/10.4161/gmic.2.3.16333" TargetMode="External" /><Relationship Type="http://schemas.openxmlformats.org/officeDocument/2006/relationships/hyperlink" Id="rId157"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04" Target="https://doi.org/10.1002/9780471729259.mc09a01s12" TargetMode="External" /><Relationship Type="http://schemas.openxmlformats.org/officeDocument/2006/relationships/hyperlink" Id="rId123" Target="https://doi.org/10.1007/s00253-016-8006-6" TargetMode="External" /><Relationship Type="http://schemas.openxmlformats.org/officeDocument/2006/relationships/hyperlink" Id="rId149" Target="https://doi.org/10.1007/s00394-019-02110-5" TargetMode="External" /><Relationship Type="http://schemas.openxmlformats.org/officeDocument/2006/relationships/hyperlink" Id="rId177" Target="https://doi.org/10.1007/s10096-005-1334-6" TargetMode="External" /><Relationship Type="http://schemas.openxmlformats.org/officeDocument/2006/relationships/hyperlink" Id="rId163" Target="https://doi.org/10.1007/s10620-021-07131-x" TargetMode="External" /><Relationship Type="http://schemas.openxmlformats.org/officeDocument/2006/relationships/hyperlink" Id="rId95" Target="https://doi.org/10.1016/j.anaerobe.2013.04.003" TargetMode="External" /><Relationship Type="http://schemas.openxmlformats.org/officeDocument/2006/relationships/hyperlink" Id="rId97" Target="https://doi.org/10.1016/j.anaerobe.2015.02.003" TargetMode="External" /><Relationship Type="http://schemas.openxmlformats.org/officeDocument/2006/relationships/hyperlink" Id="rId69" Target="https://doi.org/10.1016/j.anaerobe.2017.03.004" TargetMode="External" /><Relationship Type="http://schemas.openxmlformats.org/officeDocument/2006/relationships/hyperlink" Id="rId73" Target="https://doi.org/10.1016/j.chembiol.2018.10.003" TargetMode="External" /><Relationship Type="http://schemas.openxmlformats.org/officeDocument/2006/relationships/hyperlink" Id="rId133" Target="https://doi.org/10.1016/j.chom.2014.11.003" TargetMode="External" /><Relationship Type="http://schemas.openxmlformats.org/officeDocument/2006/relationships/hyperlink" Id="rId57" Target="https://doi.org/10.1016/j.disamonth.2015.01.006" TargetMode="External" /><Relationship Type="http://schemas.openxmlformats.org/officeDocument/2006/relationships/hyperlink" Id="rId147" Target="https://doi.org/10.1016/j.foodchem.2021.129071" TargetMode="External" /><Relationship Type="http://schemas.openxmlformats.org/officeDocument/2006/relationships/hyperlink" Id="rId99" Target="https://doi.org/10.1016/j.jhin.2011.04.017" TargetMode="External" /><Relationship Type="http://schemas.openxmlformats.org/officeDocument/2006/relationships/hyperlink" Id="rId49" Target="https://doi.org/10.1016/j.jhin.2013.04.017" TargetMode="External" /><Relationship Type="http://schemas.openxmlformats.org/officeDocument/2006/relationships/hyperlink" Id="rId125" Target="https://doi.org/10.1016/j.mam.2017.06.002" TargetMode="External" /><Relationship Type="http://schemas.openxmlformats.org/officeDocument/2006/relationships/hyperlink" Id="rId65" Target="https://doi.org/10.1016/j.mib.2020.01.016" TargetMode="External" /><Relationship Type="http://schemas.openxmlformats.org/officeDocument/2006/relationships/hyperlink" Id="rId51" Target="https://doi.org/10.1016/s0140-6736(10)61266-4" TargetMode="External" /><Relationship Type="http://schemas.openxmlformats.org/officeDocument/2006/relationships/hyperlink" Id="rId41" Target="https://doi.org/10.1017/ice.2017.89" TargetMode="External" /><Relationship Type="http://schemas.openxmlformats.org/officeDocument/2006/relationships/hyperlink" Id="rId169" Target="https://doi.org/10.1021/acsinfecdis.0c00634" TargetMode="External" /><Relationship Type="http://schemas.openxmlformats.org/officeDocument/2006/relationships/hyperlink" Id="rId131" Target="https://doi.org/10.1038/nature12503" TargetMode="External" /><Relationship Type="http://schemas.openxmlformats.org/officeDocument/2006/relationships/hyperlink" Id="rId187" Target="https://doi.org/10.1038/nm.4174" TargetMode="External" /><Relationship Type="http://schemas.openxmlformats.org/officeDocument/2006/relationships/hyperlink" Id="rId93" Target="https://doi.org/10.1038/nmicrobiol.2016.108" TargetMode="External" /><Relationship Type="http://schemas.openxmlformats.org/officeDocument/2006/relationships/hyperlink" Id="rId53" Target="https://doi.org/10.1038/nrmicro.2016.108" TargetMode="External" /><Relationship Type="http://schemas.openxmlformats.org/officeDocument/2006/relationships/hyperlink" Id="rId193" Target="https://doi.org/10.1038/s41385-020-0296-4" TargetMode="External" /><Relationship Type="http://schemas.openxmlformats.org/officeDocument/2006/relationships/hyperlink" Id="rId145" Target="https://doi.org/10.1038/s41396-019-0363-6" TargetMode="External" /><Relationship Type="http://schemas.openxmlformats.org/officeDocument/2006/relationships/hyperlink" Id="rId63" Target="https://doi.org/10.1038/s41467-019-14177-z" TargetMode="External" /><Relationship Type="http://schemas.openxmlformats.org/officeDocument/2006/relationships/hyperlink" Id="rId189" Target="https://doi.org/10.1038/s41467-021-22302-0" TargetMode="External" /><Relationship Type="http://schemas.openxmlformats.org/officeDocument/2006/relationships/hyperlink" Id="rId129" Target="https://doi.org/10.1038/s41522-019-0087-4" TargetMode="External" /><Relationship Type="http://schemas.openxmlformats.org/officeDocument/2006/relationships/hyperlink" Id="rId61" Target="https://doi.org/10.1038/s41564-018-0150-6" TargetMode="External" /><Relationship Type="http://schemas.openxmlformats.org/officeDocument/2006/relationships/hyperlink" Id="rId179" Target="https://doi.org/10.1038/s41564-020-0668-2" TargetMode="External" /><Relationship Type="http://schemas.openxmlformats.org/officeDocument/2006/relationships/hyperlink" Id="rId85" Target="https://doi.org/10.1053/j.gastro.2008.09.002" TargetMode="External" /><Relationship Type="http://schemas.openxmlformats.org/officeDocument/2006/relationships/hyperlink" Id="rId109" Target="https://doi.org/10.1053/j.gastro.2009.02.073" TargetMode="External" /><Relationship Type="http://schemas.openxmlformats.org/officeDocument/2006/relationships/hyperlink" Id="rId59"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15" Target="https://doi.org/10.1073/pnas.0914322107" TargetMode="External" /><Relationship Type="http://schemas.openxmlformats.org/officeDocument/2006/relationships/hyperlink" Id="rId159" Target="https://doi.org/10.1080/17460441.2019.1549032" TargetMode="External" /><Relationship Type="http://schemas.openxmlformats.org/officeDocument/2006/relationships/hyperlink" Id="rId214" Target="https://doi.org/10.1080/sta-200066418" TargetMode="External" /><Relationship Type="http://schemas.openxmlformats.org/officeDocument/2006/relationships/hyperlink" Id="rId45" Target="https://doi.org/10.1086/519265" TargetMode="External" /><Relationship Type="http://schemas.openxmlformats.org/officeDocument/2006/relationships/hyperlink" Id="rId107" Target="https://doi.org/10.1086/592257" TargetMode="External" /><Relationship Type="http://schemas.openxmlformats.org/officeDocument/2006/relationships/hyperlink" Id="rId143" Target="https://doi.org/10.1093/carcin/bgr256" TargetMode="External" /><Relationship Type="http://schemas.openxmlformats.org/officeDocument/2006/relationships/hyperlink" Id="rId39" Target="https://doi.org/10.1093/cid/ciab737" TargetMode="External" /><Relationship Type="http://schemas.openxmlformats.org/officeDocument/2006/relationships/hyperlink" Id="rId113" Target="https://doi.org/10.1093/cid/cis786" TargetMode="External" /><Relationship Type="http://schemas.openxmlformats.org/officeDocument/2006/relationships/hyperlink" Id="rId11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101" Target="https://doi.org/10.1093/infdis/jiy338" TargetMode="External" /><Relationship Type="http://schemas.openxmlformats.org/officeDocument/2006/relationships/hyperlink" Id="rId175" Target="https://doi.org/10.1099/ijsem.0.003698" TargetMode="External" /><Relationship Type="http://schemas.openxmlformats.org/officeDocument/2006/relationships/hyperlink" Id="rId55" Target="https://doi.org/10.1099/jmm.0.030015-0" TargetMode="External" /><Relationship Type="http://schemas.openxmlformats.org/officeDocument/2006/relationships/hyperlink" Id="rId47" Target="https://doi.org/10.1111/j.1365-2036.2008.03914.x" TargetMode="External" /><Relationship Type="http://schemas.openxmlformats.org/officeDocument/2006/relationships/hyperlink" Id="rId218" Target="https://doi.org/10.1111/j.2517-6161.1995.tb02031.x" TargetMode="External" /><Relationship Type="http://schemas.openxmlformats.org/officeDocument/2006/relationships/hyperlink" Id="rId212" Target="https://doi.org/10.1128/aem.00062-07" TargetMode="External" /><Relationship Type="http://schemas.openxmlformats.org/officeDocument/2006/relationships/hyperlink" Id="rId208" Target="https://doi.org/10.1128/aem.01043-13" TargetMode="External" /><Relationship Type="http://schemas.openxmlformats.org/officeDocument/2006/relationships/hyperlink" Id="rId210" Target="https://doi.org/10.1128/aem.01541-09" TargetMode="External" /><Relationship Type="http://schemas.openxmlformats.org/officeDocument/2006/relationships/hyperlink" Id="rId83" Target="https://doi.org/10.1128/aem.05239-11" TargetMode="External" /><Relationship Type="http://schemas.openxmlformats.org/officeDocument/2006/relationships/hyperlink" Id="rId153" Target="https://doi.org/10.1128/aem.70.10.5810-5817.2004" TargetMode="External" /><Relationship Type="http://schemas.openxmlformats.org/officeDocument/2006/relationships/hyperlink" Id="rId185" Target="https://doi.org/10.1128/iai.00362-19" TargetMode="External" /><Relationship Type="http://schemas.openxmlformats.org/officeDocument/2006/relationships/hyperlink" Id="rId171" Target="https://doi.org/10.1128/iai.00647-12" TargetMode="External" /><Relationship Type="http://schemas.openxmlformats.org/officeDocument/2006/relationships/hyperlink" Id="rId103" Target="https://doi.org/10.1128/iai.00960-19" TargetMode="External" /><Relationship Type="http://schemas.openxmlformats.org/officeDocument/2006/relationships/hyperlink" Id="rId200" Target="https://doi.org/10.1128/iai.02627-14" TargetMode="External" /><Relationship Type="http://schemas.openxmlformats.org/officeDocument/2006/relationships/hyperlink" Id="rId127" Target="https://doi.org/10.1128/jb.00610-10" TargetMode="External" /><Relationship Type="http://schemas.openxmlformats.org/officeDocument/2006/relationships/hyperlink" Id="rId67" Target="https://doi.org/10.1128/jb.01765-07" TargetMode="External" /><Relationship Type="http://schemas.openxmlformats.org/officeDocument/2006/relationships/hyperlink" Id="rId191" Target="https://doi.org/10.1128/jcm.02926-14" TargetMode="External" /><Relationship Type="http://schemas.openxmlformats.org/officeDocument/2006/relationships/hyperlink" Id="rId89" Target="https://doi.org/10.1128/jcm.44.2.353-358.2006" TargetMode="External" /><Relationship Type="http://schemas.openxmlformats.org/officeDocument/2006/relationships/hyperlink" Id="rId35" Target="https://doi.org/10.1128/mbio.00180-20" TargetMode="External" /><Relationship Type="http://schemas.openxmlformats.org/officeDocument/2006/relationships/hyperlink" Id="rId87" Target="https://doi.org/10.1128/mbio.00974-15" TargetMode="External" /><Relationship Type="http://schemas.openxmlformats.org/officeDocument/2006/relationships/hyperlink" Id="rId81" Target="https://doi.org/10.1128/mbio.01021-14" TargetMode="External" /><Relationship Type="http://schemas.openxmlformats.org/officeDocument/2006/relationships/hyperlink" Id="rId197" Target="https://doi.org/10.1128/mbio.02733-20" TargetMode="External" /><Relationship Type="http://schemas.openxmlformats.org/officeDocument/2006/relationships/hyperlink" Id="rId119" Target="https://doi.org/10.1128/msphere.00261-18" TargetMode="External" /><Relationship Type="http://schemas.openxmlformats.org/officeDocument/2006/relationships/hyperlink" Id="rId173" Target="https://doi.org/10.1128/msphere.00283-21" TargetMode="External" /><Relationship Type="http://schemas.openxmlformats.org/officeDocument/2006/relationships/hyperlink" Id="rId77" Target="https://doi.org/10.1128/msphere.00869-20" TargetMode="External" /><Relationship Type="http://schemas.openxmlformats.org/officeDocument/2006/relationships/hyperlink" Id="rId121" Target="https://doi.org/10.1128/msphere.01238-20" TargetMode="External" /><Relationship Type="http://schemas.openxmlformats.org/officeDocument/2006/relationships/hyperlink" Id="rId117" Target="https://doi.org/10.1128/msystems.00063-17" TargetMode="External" /><Relationship Type="http://schemas.openxmlformats.org/officeDocument/2006/relationships/hyperlink" Id="rId181" Target="https://doi.org/10.1155/2019/4549298" TargetMode="External" /><Relationship Type="http://schemas.openxmlformats.org/officeDocument/2006/relationships/hyperlink" Id="rId43" Target="https://doi.org/10.1177/17562848211048127" TargetMode="External" /><Relationship Type="http://schemas.openxmlformats.org/officeDocument/2006/relationships/hyperlink" Id="rId37" Target="https://doi.org/10.1186/1471-2334-13-316" TargetMode="External" /><Relationship Type="http://schemas.openxmlformats.org/officeDocument/2006/relationships/hyperlink" Id="rId195" Target="https://doi.org/10.1186/2049-2618-1-15" TargetMode="External" /><Relationship Type="http://schemas.openxmlformats.org/officeDocument/2006/relationships/hyperlink" Id="rId216" Target="https://doi.org/10.1186/gb-2011-12-6-r60" TargetMode="External" /><Relationship Type="http://schemas.openxmlformats.org/officeDocument/2006/relationships/hyperlink" Id="rId91" Target="https://doi.org/10.1186/s12866-020-1710-5" TargetMode="External" /><Relationship Type="http://schemas.openxmlformats.org/officeDocument/2006/relationships/hyperlink" Id="rId75" Target="https://doi.org/10.1186/s13073-016-0298-8" TargetMode="External" /><Relationship Type="http://schemas.openxmlformats.org/officeDocument/2006/relationships/hyperlink" Id="rId183" Target="https://doi.org/10.1186/s13099-020-00348-7" TargetMode="External" /><Relationship Type="http://schemas.openxmlformats.org/officeDocument/2006/relationships/hyperlink" Id="rId137" Target="https://doi.org/10.1186/s40168-015-0097-2" TargetMode="External" /><Relationship Type="http://schemas.openxmlformats.org/officeDocument/2006/relationships/hyperlink" Id="rId161" Target="https://doi.org/10.1371/journal.pcbi.1003388" TargetMode="External" /><Relationship Type="http://schemas.openxmlformats.org/officeDocument/2006/relationships/hyperlink" Id="rId151" Target="https://doi.org/10.1371/journal.pone.0212626" TargetMode="External" /><Relationship Type="http://schemas.openxmlformats.org/officeDocument/2006/relationships/hyperlink" Id="rId139" Target="https://doi.org/10.1371/journal.ppat.1002995" TargetMode="External" /><Relationship Type="http://schemas.openxmlformats.org/officeDocument/2006/relationships/hyperlink" Id="rId71" Target="https://doi.org/10.1371/journal.ppat.1010015" TargetMode="External" /><Relationship Type="http://schemas.openxmlformats.org/officeDocument/2006/relationships/hyperlink" Id="rId220" Target="https://doi.org/10.21105/joss.03073" TargetMode="External" /><Relationship Type="http://schemas.openxmlformats.org/officeDocument/2006/relationships/hyperlink" Id="rId202" Target="https://doi.org/10.3389/fgene.2015.00081" TargetMode="External" /><Relationship Type="http://schemas.openxmlformats.org/officeDocument/2006/relationships/hyperlink" Id="rId155" Target="https://doi.org/10.3389/fmicb.2018.01967" TargetMode="External" /><Relationship Type="http://schemas.openxmlformats.org/officeDocument/2006/relationships/hyperlink" Id="rId79" Target="https://doi.org/10.3389/fmicb.2018.02897" TargetMode="External" /><Relationship Type="http://schemas.openxmlformats.org/officeDocument/2006/relationships/hyperlink" Id="rId167" Target="https://doi.org/10.3389/fmicb.2018.02976" TargetMode="External" /><Relationship Type="http://schemas.openxmlformats.org/officeDocument/2006/relationships/hyperlink" Id="rId165" Target="https://doi.org/10.3390/microorganisms6030075" TargetMode="External" /><Relationship Type="http://schemas.openxmlformats.org/officeDocument/2006/relationships/hyperlink" Id="rId135" Target="https://doi.org/10.3390/toxins8050153" TargetMode="External" /><Relationship Type="http://schemas.openxmlformats.org/officeDocument/2006/relationships/hyperlink" Id="rId206" Target="https://doi.org/10.3791/54850" TargetMode="External" /><Relationship Type="http://schemas.openxmlformats.org/officeDocument/2006/relationships/hyperlink" Id="rId105" Target="https://doi.org/10.4161/gmic.19142" TargetMode="External" /><Relationship Type="http://schemas.openxmlformats.org/officeDocument/2006/relationships/hyperlink" Id="rId141" Target="https://doi.org/10.4161/gmic.2.3.16333" TargetMode="External" /><Relationship Type="http://schemas.openxmlformats.org/officeDocument/2006/relationships/hyperlink" Id="rId157"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2021-12-09T13:16:56Z</dcterms:created>
  <dcterms:modified xsi:type="dcterms:W3CDTF">2021-12-09T13:16:56Z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