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Анализ данных и машинное обучение в авиации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развитием информационных технологий, объем обрабатываемых данных непреклонно растет. Объем информации стал настолько велик, что обработка всей информации стандартными програмно-аппаратными средствами стал крайне неэффективен. Другими словами, большие данные (Big Data) – стал проблемой. </w:t>
      </w:r>
      <w:r>
        <w:rPr>
          <w:sz w:val="28"/>
          <w:szCs w:val="28"/>
        </w:rPr>
        <w:t>По большей части, анализа и обработки данных. Проблема хранения и структурирования рассматриваться в данной статье не будет.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0" w:righ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термином интеллектуального анализа данных подразумевается конкретный набор методик и технологий, повышающих эффективность обработки данных. На данный момент, исходя из предложений на рынке, основным средством является система распределенных вычислений, где обработка больших объемов информации требует для себя кластер высокопроизводительных вычислительных систем. </w:t>
      </w:r>
      <w:r>
        <w:rPr>
          <w:sz w:val="28"/>
          <w:szCs w:val="28"/>
        </w:rPr>
        <w:t>Такие системы используют следующие методы анализа: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Методы класса Data Mining – “обучение” системы некоторым ассоциативным правилам, принципам и категориям новых данных на основе уже проанализированных данных. Сюда же относятся кластерный и регрессионный анализ;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Краудсорсинг – использование вычислительных мощностей некоторого круга привлеченных на основании публичной оферты, но не связанных трудовым договором;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Машинное обучение – использование обучаемых моделей (с учителем и без), основанных на статистическом анализе и извлекающих знания из конкретного набора данных;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Искуственные нейронные сети, генетические алгоритмы;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Имитационное моделирование;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76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И др.;</w:t>
      </w:r>
    </w:p>
    <w:p>
      <w:pPr>
        <w:pStyle w:val="Normal"/>
        <w:widowControl/>
        <w:suppressAutoHyphens w:val="true"/>
        <w:bidi w:val="0"/>
        <w:spacing w:lineRule="auto" w:line="276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/>
        <w:keepLines w:val="false"/>
        <w:widowControl/>
        <w:suppressAutoHyphens w:val="true"/>
        <w:bidi w:val="0"/>
        <w:spacing w:lineRule="auto" w:line="276" w:before="0" w:after="0"/>
        <w:ind w:left="0" w:right="0" w:firstLine="72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В данной статье, рассматриваются такие методы анализа больших данных как “Data mining” </w:t>
      </w:r>
      <w:bookmarkStart w:id="0" w:name="__DdeLink__1_19934137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(рус. </w:t>
      </w:r>
      <w:bookmarkEnd w:id="0"/>
      <w:r>
        <w:rPr>
          <w:rFonts w:eastAsia="Arial" w:cs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интеллектуальный анализ данных) и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 “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Machine learning”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 xml:space="preserve">(рус.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м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ашинное обучение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en-US" w:eastAsia="zh-CN" w:bidi="hi-IN"/>
        </w:rPr>
        <w:t>), из-за их активного развития и эффективности.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Quotations">
    <w:name w:val="Quotations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LibreOffice/4.2.2.1$Linux_X86_64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