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cs="Arial"/>
          <w:b/>
          <w:b/>
        </w:rPr>
      </w:pPr>
      <w:r>
        <w:rPr>
          <w:rFonts w:cs="Arial" w:ascii="Arial" w:hAnsi="Arial"/>
          <w:b/>
        </w:rPr>
        <w:t>Feedback on IPSP01X Assignment 2 for the first semester 20</w:t>
      </w:r>
      <w:bookmarkStart w:id="0" w:name="_GoBack"/>
      <w:bookmarkEnd w:id="0"/>
      <w:r>
        <w:rPr>
          <w:rFonts w:cs="Arial" w:ascii="Arial" w:hAnsi="Arial"/>
          <w:b/>
        </w:rPr>
        <w:t>17</w:t>
      </w:r>
    </w:p>
    <w:p>
      <w:pPr>
        <w:pStyle w:val="Normal"/>
        <w:spacing w:lineRule="auto" w:line="240" w:before="0" w:after="0"/>
        <w:jc w:val="both"/>
        <w:rPr>
          <w:rFonts w:ascii="Arial" w:hAnsi="Arial" w:cs="Arial"/>
          <w:b/>
          <w:b/>
        </w:rPr>
      </w:pPr>
      <w:r>
        <w:rPr>
          <w:rFonts w:cs="Arial" w:ascii="Arial" w:hAnsi="Arial"/>
          <w:b/>
        </w:rPr>
      </w:r>
    </w:p>
    <w:p>
      <w:pPr>
        <w:pStyle w:val="Normal"/>
        <w:tabs>
          <w:tab w:val="left" w:pos="-966" w:leader="none"/>
          <w:tab w:val="left" w:pos="-720" w:leader="none"/>
          <w:tab w:val="left" w:pos="0" w:leader="none"/>
          <w:tab w:val="left" w:pos="390" w:leader="none"/>
          <w:tab w:val="left" w:pos="1012" w:leader="none"/>
          <w:tab w:val="left" w:pos="2160" w:leader="none"/>
        </w:tabs>
        <w:spacing w:lineRule="auto" w:line="240" w:before="0" w:after="0"/>
        <w:jc w:val="both"/>
        <w:rPr>
          <w:rFonts w:ascii="Arial" w:hAnsi="Arial" w:cs="Arial"/>
        </w:rPr>
      </w:pPr>
      <w:r>
        <w:rPr>
          <w:rFonts w:cs="Arial" w:ascii="Arial" w:hAnsi="Arial"/>
        </w:rPr>
        <w:t xml:space="preserve">The following general guidelines for answering the assignment do not constitute model answers, but are rather an indication of the approach students could have followed in answering such questions. Although these guidelines are based on the South African Act, students certainly receive credit for referring to international law, the law of their own countries, prescribed court cases, and for applying the legal principles to the scenarios. </w:t>
      </w:r>
    </w:p>
    <w:p>
      <w:pPr>
        <w:pStyle w:val="Normal"/>
        <w:tabs>
          <w:tab w:val="left" w:pos="-966" w:leader="none"/>
          <w:tab w:val="left" w:pos="-720" w:leader="none"/>
          <w:tab w:val="left" w:pos="0" w:leader="none"/>
          <w:tab w:val="left" w:pos="390" w:leader="none"/>
          <w:tab w:val="left" w:pos="1012" w:leader="none"/>
          <w:tab w:val="left" w:pos="2160" w:leader="none"/>
        </w:tabs>
        <w:spacing w:lineRule="auto" w:line="240" w:before="0" w:after="0"/>
        <w:jc w:val="both"/>
        <w:rPr>
          <w:rFonts w:ascii="Arial" w:hAnsi="Arial" w:cs="Arial"/>
        </w:rPr>
      </w:pPr>
      <w:r>
        <w:rPr>
          <w:rFonts w:cs="Arial" w:ascii="Arial" w:hAnsi="Arial"/>
        </w:rPr>
      </w:r>
    </w:p>
    <w:p>
      <w:pPr>
        <w:pStyle w:val="Normal"/>
        <w:tabs>
          <w:tab w:val="left" w:pos="-966" w:leader="none"/>
          <w:tab w:val="left" w:pos="-720" w:leader="none"/>
          <w:tab w:val="left" w:pos="0" w:leader="none"/>
          <w:tab w:val="left" w:pos="390" w:leader="none"/>
          <w:tab w:val="left" w:pos="1012" w:leader="none"/>
          <w:tab w:val="left" w:pos="2160" w:leader="none"/>
        </w:tabs>
        <w:spacing w:lineRule="auto" w:line="240" w:before="0" w:after="0"/>
        <w:jc w:val="both"/>
        <w:rPr>
          <w:rFonts w:ascii="Arial" w:hAnsi="Arial" w:eastAsia="Calibri" w:cs="Arial" w:eastAsiaTheme="minorHAnsi"/>
          <w:color w:val="000000"/>
          <w:lang w:bidi="he-IL"/>
        </w:rPr>
      </w:pPr>
      <w:r>
        <w:rPr>
          <w:rFonts w:cs="Arial" w:ascii="Arial" w:hAnsi="Arial"/>
        </w:rPr>
        <w:t>Unless otherwise indicated, all section numbers in this letter refer to the South African Copyright Act 98 of 1978.</w:t>
      </w:r>
    </w:p>
    <w:p>
      <w:pPr>
        <w:pStyle w:val="Normal"/>
        <w:spacing w:lineRule="auto" w:line="240" w:before="0" w:after="0"/>
        <w:jc w:val="both"/>
        <w:rPr>
          <w:rFonts w:ascii="Arial" w:hAnsi="Arial" w:eastAsia="Calibri" w:cs="Arial" w:eastAsiaTheme="minorHAnsi"/>
          <w:color w:val="000000"/>
          <w:lang w:bidi="he-IL"/>
        </w:rPr>
      </w:pPr>
      <w:r>
        <w:rPr>
          <w:rFonts w:eastAsia="Calibri" w:cs="Arial" w:eastAsiaTheme="minorHAnsi" w:ascii="Arial" w:hAnsi="Arial"/>
          <w:color w:val="000000"/>
          <w:lang w:bidi="he-IL"/>
        </w:rPr>
      </w:r>
    </w:p>
    <w:p>
      <w:pPr>
        <w:pStyle w:val="Normal"/>
        <w:spacing w:lineRule="auto" w:line="240" w:before="0" w:after="0"/>
        <w:jc w:val="both"/>
        <w:rPr>
          <w:rFonts w:ascii="Arial" w:hAnsi="Arial" w:eastAsia="Calibri" w:cs="Arial" w:eastAsiaTheme="minorHAnsi"/>
          <w:color w:val="000000"/>
          <w:lang w:bidi="he-IL"/>
        </w:rPr>
      </w:pPr>
      <w:r>
        <w:rPr>
          <w:rFonts w:eastAsia="Calibri" w:cs="Arial" w:eastAsiaTheme="minorHAnsi" w:ascii="Arial" w:hAnsi="Arial"/>
          <w:color w:val="000000"/>
          <w:lang w:bidi="he-IL"/>
        </w:rPr>
      </w:r>
    </w:p>
    <w:p>
      <w:pPr>
        <w:pStyle w:val="Normal"/>
        <w:spacing w:lineRule="auto" w:line="240" w:before="0" w:after="0"/>
        <w:jc w:val="both"/>
        <w:rPr>
          <w:rFonts w:ascii="Arial" w:hAnsi="Arial" w:cs="Arial"/>
          <w:b/>
          <w:b/>
          <w:bCs/>
        </w:rPr>
      </w:pPr>
      <w:r>
        <w:rPr>
          <w:rFonts w:cs="Arial" w:ascii="Arial" w:hAnsi="Arial"/>
          <w:b/>
          <w:bCs/>
        </w:rPr>
        <w:t>Feedback on Question 1</w:t>
      </w:r>
    </w:p>
    <w:p>
      <w:pPr>
        <w:pStyle w:val="Normal"/>
        <w:spacing w:lineRule="auto" w:line="240" w:before="0" w:after="0"/>
        <w:jc w:val="both"/>
        <w:rPr>
          <w:rFonts w:ascii="Arial" w:hAnsi="Arial" w:cs="Arial"/>
          <w:b/>
          <w:b/>
          <w:bCs/>
        </w:rPr>
      </w:pPr>
      <w:r>
        <w:rPr>
          <w:rFonts w:cs="Arial" w:ascii="Arial" w:hAnsi="Arial"/>
          <w:b/>
          <w:bCs/>
        </w:rPr>
      </w:r>
    </w:p>
    <w:p>
      <w:pPr>
        <w:pStyle w:val="ListParagraph"/>
        <w:numPr>
          <w:ilvl w:val="1"/>
          <w:numId w:val="1"/>
        </w:numPr>
        <w:tabs>
          <w:tab w:val="left" w:pos="450" w:leader="none"/>
        </w:tabs>
        <w:spacing w:lineRule="auto" w:line="240" w:before="0" w:after="0"/>
        <w:ind w:left="450" w:hanging="450"/>
        <w:jc w:val="both"/>
        <w:rPr>
          <w:rFonts w:ascii="Arial" w:hAnsi="Arial" w:cs="Arial"/>
          <w:color w:val="000000"/>
          <w:lang w:val="en-ZA"/>
        </w:rPr>
      </w:pPr>
      <w:r>
        <w:rPr>
          <w:rFonts w:cs="Arial" w:ascii="Arial" w:hAnsi="Arial"/>
          <w:color w:val="000000"/>
          <w:lang w:val="en-ZA"/>
        </w:rPr>
        <w:t>Meagan is the author. She is the person who exercises control over the making of the computer programmes. (Def of author of a computer programme in s 1 of the Copyright Act.)</w:t>
      </w:r>
    </w:p>
    <w:p>
      <w:pPr>
        <w:pStyle w:val="Normal"/>
        <w:tabs>
          <w:tab w:val="left" w:pos="450" w:leader="none"/>
        </w:tabs>
        <w:spacing w:lineRule="auto" w:line="240" w:before="0" w:after="0"/>
        <w:ind w:left="450" w:hanging="0"/>
        <w:jc w:val="both"/>
        <w:rPr>
          <w:rFonts w:ascii="Arial" w:hAnsi="Arial" w:cs="Arial"/>
          <w:color w:val="000000"/>
          <w:lang w:val="en-ZA"/>
        </w:rPr>
      </w:pPr>
      <w:r>
        <w:rPr>
          <w:rFonts w:cs="Arial" w:ascii="Arial" w:hAnsi="Arial"/>
          <w:color w:val="000000"/>
          <w:lang w:val="en-ZA"/>
        </w:rPr>
      </w:r>
    </w:p>
    <w:p>
      <w:pPr>
        <w:pStyle w:val="Normal"/>
        <w:tabs>
          <w:tab w:val="left" w:pos="450" w:leader="none"/>
        </w:tabs>
        <w:spacing w:lineRule="auto" w:line="240" w:before="0" w:after="0"/>
        <w:ind w:left="450" w:hanging="0"/>
        <w:jc w:val="both"/>
        <w:rPr>
          <w:rFonts w:ascii="Arial" w:hAnsi="Arial" w:cs="Arial"/>
          <w:color w:val="000000"/>
          <w:lang w:val="en-ZA"/>
        </w:rPr>
      </w:pPr>
      <w:r>
        <w:rPr>
          <w:rFonts w:cs="Arial" w:ascii="Arial" w:hAnsi="Arial"/>
          <w:color w:val="000000"/>
          <w:lang w:val="en-ZA"/>
        </w:rPr>
        <w:t>XYZ Software is the copyright owner. The general rule is that the author is also the first copyright owner of the work (s 21(1)(a)). However, as the computer programmes are made in the course of the author’s (Meagan’s) employment by XYZ Software, XYZ Software is the copyright owner (s 21(1)(d)).</w:t>
      </w:r>
    </w:p>
    <w:p>
      <w:pPr>
        <w:pStyle w:val="Normal"/>
        <w:tabs>
          <w:tab w:val="left" w:pos="450" w:leader="none"/>
        </w:tabs>
        <w:spacing w:lineRule="auto" w:line="240" w:before="0" w:after="0"/>
        <w:ind w:left="450" w:hanging="0"/>
        <w:jc w:val="both"/>
        <w:rPr>
          <w:rFonts w:ascii="Arial" w:hAnsi="Arial" w:cs="Arial"/>
          <w:color w:val="000000"/>
          <w:lang w:val="en-ZA"/>
        </w:rPr>
      </w:pPr>
      <w:r>
        <w:rPr>
          <w:rFonts w:cs="Arial" w:ascii="Arial" w:hAnsi="Arial"/>
          <w:color w:val="000000"/>
          <w:lang w:val="en-ZA"/>
        </w:rPr>
      </w:r>
    </w:p>
    <w:p>
      <w:pPr>
        <w:pStyle w:val="ListParagraph"/>
        <w:numPr>
          <w:ilvl w:val="1"/>
          <w:numId w:val="1"/>
        </w:numPr>
        <w:spacing w:lineRule="auto" w:line="240" w:before="0" w:after="0"/>
        <w:ind w:left="450" w:hanging="450"/>
        <w:jc w:val="both"/>
        <w:rPr>
          <w:rFonts w:ascii="Arial" w:hAnsi="Arial" w:cs="Arial"/>
          <w:color w:val="000000"/>
          <w:lang w:val="en-ZA"/>
        </w:rPr>
      </w:pPr>
      <w:r>
        <w:rPr>
          <w:rFonts w:cs="Arial" w:ascii="Arial" w:hAnsi="Arial"/>
          <w:color w:val="000000"/>
          <w:lang w:val="en-ZA"/>
        </w:rPr>
        <w:t>50 years from the end of the year in which the programmes were made available to the public with the consent of the copyright owner. S 3(2)(b).</w:t>
      </w:r>
    </w:p>
    <w:p>
      <w:pPr>
        <w:pStyle w:val="ListParagraph"/>
        <w:spacing w:lineRule="auto" w:line="240" w:before="0" w:after="0"/>
        <w:ind w:left="450" w:hanging="0"/>
        <w:jc w:val="both"/>
        <w:rPr>
          <w:rFonts w:ascii="Arial" w:hAnsi="Arial" w:cs="Arial"/>
          <w:color w:val="000000"/>
          <w:lang w:val="en-ZA"/>
        </w:rPr>
      </w:pPr>
      <w:r>
        <w:rPr>
          <w:rFonts w:cs="Arial" w:ascii="Arial" w:hAnsi="Arial"/>
          <w:color w:val="000000"/>
          <w:lang w:val="en-ZA"/>
        </w:rPr>
      </w:r>
    </w:p>
    <w:p>
      <w:pPr>
        <w:pStyle w:val="ListParagraph"/>
        <w:numPr>
          <w:ilvl w:val="1"/>
          <w:numId w:val="1"/>
        </w:numPr>
        <w:spacing w:lineRule="auto" w:line="240" w:before="0" w:after="0"/>
        <w:jc w:val="both"/>
        <w:rPr>
          <w:rFonts w:ascii="Arial" w:hAnsi="Arial" w:cs="Arial"/>
          <w:color w:val="000000"/>
          <w:lang w:val="en-ZA"/>
        </w:rPr>
      </w:pPr>
      <w:r>
        <w:rPr>
          <w:rFonts w:cs="Arial" w:ascii="Arial" w:hAnsi="Arial"/>
          <w:color w:val="000000"/>
          <w:lang w:val="en-ZA"/>
        </w:rPr>
        <w:t xml:space="preserve"> </w:t>
      </w:r>
      <w:r>
        <w:rPr>
          <w:rFonts w:cs="Arial" w:ascii="Arial" w:hAnsi="Arial"/>
          <w:color w:val="000000"/>
          <w:lang w:val="en-ZA"/>
        </w:rPr>
        <w:t>No. Section 15(3A) only applies to artistic works.</w:t>
      </w:r>
    </w:p>
    <w:p>
      <w:pPr>
        <w:pStyle w:val="Normal"/>
        <w:spacing w:lineRule="auto" w:line="240" w:before="0" w:after="0"/>
        <w:jc w:val="both"/>
        <w:rPr>
          <w:rFonts w:ascii="Arial" w:hAnsi="Arial" w:cs="Arial"/>
          <w:bCs/>
        </w:rPr>
      </w:pPr>
      <w:r>
        <w:rPr>
          <w:rFonts w:cs="Arial" w:ascii="Arial" w:hAnsi="Arial"/>
          <w:bCs/>
        </w:rPr>
      </w:r>
    </w:p>
    <w:p>
      <w:pPr>
        <w:pStyle w:val="Normal"/>
        <w:spacing w:lineRule="auto" w:line="240" w:before="0" w:after="0"/>
        <w:jc w:val="both"/>
        <w:rPr>
          <w:rFonts w:ascii="Arial" w:hAnsi="Arial" w:cs="Arial"/>
          <w:bCs/>
        </w:rPr>
      </w:pPr>
      <w:r>
        <w:rPr>
          <w:rFonts w:cs="Arial" w:ascii="Arial" w:hAnsi="Arial"/>
          <w:bCs/>
        </w:rPr>
      </w:r>
    </w:p>
    <w:p>
      <w:pPr>
        <w:pStyle w:val="Normal"/>
        <w:spacing w:lineRule="auto" w:line="240" w:before="0" w:after="0"/>
        <w:jc w:val="both"/>
        <w:rPr>
          <w:rFonts w:ascii="Arial" w:hAnsi="Arial" w:cs="Arial"/>
          <w:b/>
          <w:b/>
          <w:bCs/>
        </w:rPr>
      </w:pPr>
      <w:r>
        <w:rPr>
          <w:rFonts w:cs="Arial" w:ascii="Arial" w:hAnsi="Arial"/>
          <w:b/>
          <w:bCs/>
        </w:rPr>
        <w:t>Feedback on Question 2</w:t>
      </w:r>
    </w:p>
    <w:p>
      <w:pPr>
        <w:pStyle w:val="Normal"/>
        <w:spacing w:lineRule="auto" w:line="240" w:before="0" w:after="0"/>
        <w:jc w:val="both"/>
        <w:rPr>
          <w:rFonts w:ascii="Arial" w:hAnsi="Arial" w:cs="Arial"/>
          <w:b/>
          <w:b/>
          <w:bCs/>
        </w:rPr>
      </w:pPr>
      <w:r>
        <w:rPr>
          <w:rFonts w:cs="Arial" w:ascii="Arial" w:hAnsi="Arial"/>
          <w:b/>
          <w:bCs/>
        </w:rPr>
      </w:r>
    </w:p>
    <w:p>
      <w:pPr>
        <w:pStyle w:val="Normal"/>
        <w:spacing w:lineRule="auto" w:line="240" w:before="0" w:after="0"/>
        <w:jc w:val="both"/>
        <w:rPr>
          <w:rFonts w:ascii="Arial" w:hAnsi="Arial" w:cs="Arial"/>
        </w:rPr>
      </w:pPr>
      <w:r>
        <w:rPr>
          <w:rFonts w:cs="Arial" w:ascii="Arial" w:hAnsi="Arial"/>
        </w:rPr>
        <w:t>Section 21(1)(e) allows parties to cancel / override the exceptions in s 21(1) (b), (c) and (d). Such an agreement is not an assignment (s 22 deals with assignments) and need not be in writing. An employee, for example, can therefore agree with his employer that he (the employee) will be the owner of the copyright in works created in the course and scope of his employment; the person who commissions photographs can agree with the photographer that he (and not the photographer) will be the owner of the copyright in the photos.</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bCs/>
        </w:rPr>
      </w:pPr>
      <w:r>
        <w:rPr>
          <w:rFonts w:cs="Arial" w:ascii="Arial" w:hAnsi="Arial"/>
          <w:bCs/>
        </w:rPr>
      </w:r>
    </w:p>
    <w:p>
      <w:pPr>
        <w:pStyle w:val="Normal"/>
        <w:spacing w:lineRule="auto" w:line="240" w:before="0" w:after="0"/>
        <w:jc w:val="both"/>
        <w:rPr>
          <w:rFonts w:ascii="Arial" w:hAnsi="Arial" w:cs="Arial"/>
          <w:b/>
          <w:b/>
          <w:bCs/>
        </w:rPr>
      </w:pPr>
      <w:r>
        <w:rPr>
          <w:rFonts w:cs="Arial" w:ascii="Arial" w:hAnsi="Arial"/>
          <w:b/>
          <w:bCs/>
        </w:rPr>
        <w:t>Feedback on Question 3</w:t>
      </w:r>
    </w:p>
    <w:p>
      <w:pPr>
        <w:pStyle w:val="Normal"/>
        <w:spacing w:lineRule="auto" w:line="240" w:before="0" w:after="0"/>
        <w:jc w:val="both"/>
        <w:rPr>
          <w:rFonts w:ascii="Arial" w:hAnsi="Arial" w:cs="Arial"/>
          <w:b/>
          <w:b/>
          <w:bCs/>
        </w:rPr>
      </w:pPr>
      <w:r>
        <w:rPr>
          <w:rFonts w:cs="Arial" w:ascii="Arial" w:hAnsi="Arial"/>
          <w:b/>
          <w:bCs/>
        </w:rPr>
      </w:r>
    </w:p>
    <w:p>
      <w:pPr>
        <w:pStyle w:val="Normal"/>
        <w:spacing w:lineRule="auto" w:line="240" w:before="0" w:after="0"/>
        <w:jc w:val="both"/>
        <w:rPr>
          <w:rFonts w:ascii="Arial" w:hAnsi="Arial" w:cs="Arial"/>
        </w:rPr>
      </w:pPr>
      <w:r>
        <w:rPr>
          <w:rFonts w:cs="Arial" w:ascii="Arial" w:hAnsi="Arial"/>
        </w:rPr>
        <w:t>Under South African copyright law the author has two moral rights, which are set out in section 20 of the Copyright Act. These are the right to be recognised as the author of the work (the paternity right), and the right to object to derogatory treatment of the work that would prejudice the author’s honour and reputation (the integrity right). The moral rights belong to the author and it remains with the author even after the work is sold and/or the copyright therein assigned to someone else. Moral rights infringement (under s 20) is a form of copyright infringement.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 xml:space="preserve">Ringo may ask the magazine to publish a notice that he is the author of the photograph in question.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Whether Ringo’s integrity right was infringed by the changes would depend on whether these changes prejudiced his honour and reputation.</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 xml:space="preserve">An interesting example of integrity rights infringement is the Canadian case of </w:t>
      </w:r>
      <w:r>
        <w:rPr>
          <w:rFonts w:cs="Arial" w:ascii="Arial" w:hAnsi="Arial"/>
          <w:i/>
          <w:iCs/>
        </w:rPr>
        <w:t>Snow v Eaton Centre Ltd</w:t>
      </w:r>
      <w:r>
        <w:rPr>
          <w:rFonts w:cs="Arial" w:ascii="Arial" w:hAnsi="Arial"/>
        </w:rPr>
        <w:t xml:space="preserve">, where a sculptor was upset when his sculpture of a flock of geese that he sold to a shopping center was decorated with red ribbons for the Christmas season. He felt that the decorations made the naturalistic work look ridiculous, and it was indeed found that the ribbons were prejudicial to his honour and reputation. </w:t>
      </w:r>
    </w:p>
    <w:p>
      <w:pPr>
        <w:pStyle w:val="Normal"/>
        <w:spacing w:lineRule="auto" w:line="240" w:before="0" w:after="0"/>
        <w:jc w:val="both"/>
        <w:rPr>
          <w:rFonts w:ascii="Arial" w:hAnsi="Arial" w:cs="Arial" w:asciiTheme="minorBidi" w:cstheme="minorBidi" w:hAnsiTheme="minorBidi"/>
          <w:bCs/>
        </w:rPr>
      </w:pPr>
      <w:r>
        <w:rPr>
          <w:rFonts w:cs="Arial" w:cstheme="minorBidi" w:ascii="Arial" w:hAnsi="Arial"/>
          <w:bCs/>
        </w:rPr>
      </w:r>
    </w:p>
    <w:p>
      <w:pPr>
        <w:pStyle w:val="Normal"/>
        <w:spacing w:lineRule="auto" w:line="240" w:before="0" w:after="0"/>
        <w:jc w:val="both"/>
        <w:rPr>
          <w:rFonts w:ascii="Arial" w:hAnsi="Arial" w:cs="Arial" w:asciiTheme="minorBidi" w:cstheme="minorBidi" w:hAnsiTheme="minorBidi"/>
        </w:rPr>
      </w:pPr>
      <w:r>
        <w:rPr>
          <w:rFonts w:cs="Arial" w:cstheme="minorBidi" w:ascii="Arial" w:hAnsi="Arial"/>
        </w:rPr>
      </w:r>
    </w:p>
    <w:p>
      <w:pPr>
        <w:pStyle w:val="Normal"/>
        <w:spacing w:lineRule="auto" w:line="240" w:before="0" w:after="0"/>
        <w:jc w:val="both"/>
        <w:rPr>
          <w:rFonts w:ascii="Arial" w:hAnsi="Arial" w:cs="Arial" w:asciiTheme="minorBidi" w:cstheme="minorBidi" w:hAnsiTheme="minorBidi"/>
          <w:b/>
          <w:b/>
          <w:bCs/>
        </w:rPr>
      </w:pPr>
      <w:r>
        <w:rPr>
          <w:rFonts w:cs="Arial" w:ascii="Arial" w:hAnsi="Arial" w:asciiTheme="minorBidi" w:cstheme="minorBidi" w:hAnsiTheme="minorBidi"/>
          <w:b/>
          <w:bCs/>
        </w:rPr>
        <w:t>Feedback on Question 4</w:t>
      </w:r>
    </w:p>
    <w:p>
      <w:pPr>
        <w:pStyle w:val="Normal"/>
        <w:spacing w:lineRule="auto" w:line="240" w:before="0" w:after="0"/>
        <w:jc w:val="both"/>
        <w:rPr>
          <w:rFonts w:ascii="Arial" w:hAnsi="Arial" w:cs="Arial" w:asciiTheme="minorBidi" w:cstheme="minorBidi" w:hAnsiTheme="minorBidi"/>
          <w:b/>
          <w:b/>
          <w:bCs/>
        </w:rPr>
      </w:pPr>
      <w:r>
        <w:rPr>
          <w:rFonts w:cs="Arial" w:cstheme="minorBidi" w:ascii="Arial" w:hAnsi="Arial"/>
          <w:b/>
          <w:bCs/>
        </w:rPr>
      </w:r>
    </w:p>
    <w:p>
      <w:pPr>
        <w:pStyle w:val="Normal"/>
        <w:spacing w:lineRule="auto" w:line="240" w:before="0" w:after="0"/>
        <w:jc w:val="both"/>
        <w:rPr>
          <w:rFonts w:ascii="Arial" w:hAnsi="Arial" w:cs="Arial"/>
        </w:rPr>
      </w:pPr>
      <w:r>
        <w:rPr>
          <w:rFonts w:cs="Arial" w:ascii="Arial" w:hAnsi="Arial"/>
        </w:rPr>
        <w:t>Section 12(1)(c) Fair dealing with a work for the purpose of reporting current events.</w:t>
      </w:r>
    </w:p>
    <w:p>
      <w:pPr>
        <w:pStyle w:val="Normal"/>
        <w:spacing w:lineRule="auto" w:line="240" w:before="0" w:after="0"/>
        <w:jc w:val="both"/>
        <w:rPr>
          <w:rFonts w:ascii="Arial" w:hAnsi="Arial" w:cs="Arial"/>
        </w:rPr>
      </w:pPr>
      <w:r>
        <w:rPr>
          <w:rFonts w:cs="Arial" w:ascii="Arial" w:hAnsi="Arial"/>
        </w:rPr>
        <w:t>Section 12(3)</w:t>
        <w:tab/>
        <w:t>Quotations exception.</w:t>
      </w:r>
    </w:p>
    <w:p>
      <w:pPr>
        <w:pStyle w:val="Normal"/>
        <w:spacing w:lineRule="auto" w:line="240" w:before="0" w:after="0"/>
        <w:jc w:val="both"/>
        <w:rPr>
          <w:rFonts w:ascii="Arial" w:hAnsi="Arial" w:cs="Arial"/>
        </w:rPr>
      </w:pPr>
      <w:r>
        <w:rPr>
          <w:rFonts w:cs="Arial" w:ascii="Arial" w:hAnsi="Arial"/>
        </w:rPr>
        <w:t>Section 12(7)</w:t>
        <w:tab/>
        <w:t>"The copyright in an article published in a newspaper or periodical, or in a broadcast, on any current economic, political or religious topic shall not be infringed by reproducing it in the press or broadcasting it, if such reproduction or broadcast has not been expressly reserved and the source is clearly mentioned."</w:t>
      </w:r>
    </w:p>
    <w:p>
      <w:pPr>
        <w:pStyle w:val="Normal"/>
        <w:spacing w:lineRule="auto" w:line="240" w:before="0" w:after="0"/>
        <w:jc w:val="both"/>
        <w:rPr>
          <w:rFonts w:ascii="Arial" w:hAnsi="Arial" w:cs="Arial" w:asciiTheme="minorBidi" w:cstheme="minorBidi" w:hAnsiTheme="minorBidi"/>
        </w:rPr>
      </w:pPr>
      <w:r>
        <w:rPr>
          <w:rFonts w:cs="Arial" w:cstheme="minorBidi" w:ascii="Arial" w:hAnsi="Arial"/>
        </w:rPr>
      </w:r>
    </w:p>
    <w:p>
      <w:pPr>
        <w:pStyle w:val="Normal"/>
        <w:spacing w:lineRule="auto" w:line="240" w:before="0" w:after="0"/>
        <w:jc w:val="both"/>
        <w:rPr>
          <w:rFonts w:ascii="Arial" w:hAnsi="Arial" w:cs="Arial" w:asciiTheme="minorBidi" w:cstheme="minorBidi" w:hAnsiTheme="minorBidi"/>
          <w:u w:val="single"/>
        </w:rPr>
      </w:pPr>
      <w:r>
        <w:rPr>
          <w:rFonts w:cs="Arial" w:cstheme="minorBidi" w:ascii="Arial" w:hAnsi="Arial"/>
          <w:u w:val="single"/>
        </w:rPr>
      </w:r>
    </w:p>
    <w:p>
      <w:pPr>
        <w:pStyle w:val="Normal"/>
        <w:spacing w:lineRule="auto" w:line="240" w:before="0" w:after="0"/>
        <w:jc w:val="both"/>
        <w:rPr>
          <w:rFonts w:ascii="Arial" w:hAnsi="Arial" w:cs="Arial" w:asciiTheme="minorBidi" w:cstheme="minorBidi" w:hAnsiTheme="minorBidi"/>
          <w:b/>
          <w:b/>
          <w:bCs/>
        </w:rPr>
      </w:pPr>
      <w:r>
        <w:rPr>
          <w:rFonts w:cs="Arial" w:ascii="Arial" w:hAnsi="Arial" w:asciiTheme="minorBidi" w:cstheme="minorBidi" w:hAnsiTheme="minorBidi"/>
          <w:b/>
          <w:bCs/>
        </w:rPr>
        <w:t>Feedback on Question 5</w:t>
      </w:r>
    </w:p>
    <w:p>
      <w:pPr>
        <w:pStyle w:val="Normal"/>
        <w:spacing w:lineRule="auto" w:line="240" w:before="0" w:after="0"/>
        <w:jc w:val="both"/>
        <w:rPr>
          <w:rFonts w:ascii="Arial" w:hAnsi="Arial" w:cs="Arial" w:asciiTheme="minorBidi" w:cstheme="minorBidi" w:hAnsiTheme="minorBidi"/>
          <w:b/>
          <w:b/>
          <w:bCs/>
        </w:rPr>
      </w:pPr>
      <w:r>
        <w:rPr>
          <w:rFonts w:cs="Arial" w:cstheme="minorBidi" w:ascii="Arial" w:hAnsi="Arial"/>
          <w:b/>
          <w:bCs/>
        </w:rPr>
      </w:r>
    </w:p>
    <w:p>
      <w:pPr>
        <w:pStyle w:val="ListParagraph"/>
        <w:numPr>
          <w:ilvl w:val="0"/>
          <w:numId w:val="2"/>
        </w:numPr>
        <w:spacing w:lineRule="auto" w:line="240" w:before="0" w:after="0"/>
        <w:ind w:left="426" w:hanging="426"/>
        <w:jc w:val="both"/>
        <w:rPr>
          <w:rFonts w:ascii="Arial" w:hAnsi="Arial" w:asciiTheme="minorBidi" w:hAnsiTheme="minorBidi"/>
        </w:rPr>
      </w:pPr>
      <w:r>
        <w:rPr>
          <w:rFonts w:ascii="Arial" w:hAnsi="Arial" w:asciiTheme="minorBidi" w:hAnsiTheme="minorBidi"/>
        </w:rPr>
        <w:t>Section 12(3)</w:t>
      </w:r>
    </w:p>
    <w:p>
      <w:pPr>
        <w:pStyle w:val="ListParagraph"/>
        <w:spacing w:lineRule="auto" w:line="240" w:before="0" w:after="0"/>
        <w:ind w:left="426" w:hanging="0"/>
        <w:jc w:val="both"/>
        <w:rPr>
          <w:rFonts w:ascii="Arial" w:hAnsi="Arial" w:asciiTheme="minorBidi" w:hAnsiTheme="minorBidi"/>
        </w:rPr>
      </w:pPr>
      <w:r>
        <w:rPr>
          <w:rFonts w:ascii="Arial" w:hAnsi="Arial" w:asciiTheme="minorBidi" w:hAnsiTheme="minorBidi"/>
        </w:rPr>
        <w:t xml:space="preserve">The work that is quoted from must be </w:t>
      </w:r>
      <w:r>
        <w:rPr>
          <w:rFonts w:ascii="Arial" w:hAnsi="Arial" w:asciiTheme="minorBidi" w:hAnsiTheme="minorBidi"/>
          <w:u w:val="single"/>
        </w:rPr>
        <w:t>lawfully available to the public</w:t>
      </w:r>
      <w:r>
        <w:rPr>
          <w:rFonts w:ascii="Arial" w:hAnsi="Arial" w:asciiTheme="minorBidi" w:hAnsiTheme="minorBidi"/>
        </w:rPr>
        <w:t>.</w:t>
      </w:r>
    </w:p>
    <w:p>
      <w:pPr>
        <w:pStyle w:val="ListParagraph"/>
        <w:spacing w:lineRule="auto" w:line="240" w:before="0" w:after="0"/>
        <w:ind w:left="426" w:hanging="0"/>
        <w:jc w:val="both"/>
        <w:rPr>
          <w:rFonts w:ascii="Arial" w:hAnsi="Arial" w:asciiTheme="minorBidi" w:hAnsiTheme="minorBidi"/>
        </w:rPr>
      </w:pPr>
      <w:r>
        <w:rPr>
          <w:rFonts w:ascii="Arial" w:hAnsi="Arial" w:asciiTheme="minorBidi" w:hAnsiTheme="minorBidi"/>
        </w:rPr>
        <w:t xml:space="preserve">The </w:t>
      </w:r>
      <w:r>
        <w:rPr>
          <w:rFonts w:ascii="Arial" w:hAnsi="Arial" w:asciiTheme="minorBidi" w:hAnsiTheme="minorBidi"/>
          <w:u w:val="single"/>
        </w:rPr>
        <w:t>source</w:t>
      </w:r>
      <w:r>
        <w:rPr>
          <w:rFonts w:ascii="Arial" w:hAnsi="Arial" w:asciiTheme="minorBidi" w:hAnsiTheme="minorBidi"/>
        </w:rPr>
        <w:t xml:space="preserve"> must be mentioned. </w:t>
      </w:r>
    </w:p>
    <w:p>
      <w:pPr>
        <w:pStyle w:val="ListParagraph"/>
        <w:spacing w:lineRule="auto" w:line="240" w:before="0" w:after="0"/>
        <w:ind w:left="426" w:hanging="0"/>
        <w:jc w:val="both"/>
        <w:rPr>
          <w:rFonts w:ascii="Arial" w:hAnsi="Arial" w:asciiTheme="minorBidi" w:hAnsiTheme="minorBidi"/>
        </w:rPr>
      </w:pPr>
      <w:r>
        <w:rPr>
          <w:rFonts w:ascii="Arial" w:hAnsi="Arial" w:asciiTheme="minorBidi" w:hAnsiTheme="minorBidi"/>
        </w:rPr>
        <w:t xml:space="preserve">The </w:t>
      </w:r>
      <w:r>
        <w:rPr>
          <w:rFonts w:ascii="Arial" w:hAnsi="Arial" w:asciiTheme="minorBidi" w:hAnsiTheme="minorBidi"/>
          <w:u w:val="single"/>
        </w:rPr>
        <w:t>name of the author</w:t>
      </w:r>
      <w:r>
        <w:rPr>
          <w:rFonts w:ascii="Arial" w:hAnsi="Arial" w:asciiTheme="minorBidi" w:hAnsiTheme="minorBidi"/>
        </w:rPr>
        <w:t xml:space="preserve"> (if it appears on the work) must be mentioned. </w:t>
      </w:r>
    </w:p>
    <w:p>
      <w:pPr>
        <w:pStyle w:val="ListParagraph"/>
        <w:spacing w:lineRule="auto" w:line="240" w:before="0" w:after="0"/>
        <w:ind w:left="426" w:hanging="0"/>
        <w:jc w:val="both"/>
        <w:rPr>
          <w:rFonts w:ascii="Arial" w:hAnsi="Arial" w:asciiTheme="minorBidi" w:hAnsiTheme="minorBidi"/>
        </w:rPr>
      </w:pPr>
      <w:r>
        <w:rPr>
          <w:rFonts w:ascii="Arial" w:hAnsi="Arial" w:asciiTheme="minorBidi" w:hAnsiTheme="minorBidi"/>
        </w:rPr>
        <w:t xml:space="preserve">The quotation must be compatible with </w:t>
      </w:r>
      <w:r>
        <w:rPr>
          <w:rFonts w:ascii="Arial" w:hAnsi="Arial" w:asciiTheme="minorBidi" w:hAnsiTheme="minorBidi"/>
          <w:u w:val="single"/>
        </w:rPr>
        <w:t>fair practice</w:t>
      </w:r>
      <w:r>
        <w:rPr>
          <w:rFonts w:ascii="Arial" w:hAnsi="Arial" w:asciiTheme="minorBidi" w:hAnsiTheme="minorBidi"/>
        </w:rPr>
        <w:t xml:space="preserve"> and</w:t>
      </w:r>
    </w:p>
    <w:p>
      <w:pPr>
        <w:pStyle w:val="ListParagraph"/>
        <w:spacing w:lineRule="auto" w:line="240" w:before="0" w:after="0"/>
        <w:ind w:left="426" w:hanging="0"/>
        <w:jc w:val="both"/>
        <w:rPr>
          <w:rFonts w:ascii="Arial" w:hAnsi="Arial" w:asciiTheme="minorBidi" w:hAnsiTheme="minorBidi"/>
        </w:rPr>
      </w:pPr>
      <w:r>
        <w:rPr>
          <w:rFonts w:ascii="Arial" w:hAnsi="Arial" w:asciiTheme="minorBidi" w:hAnsiTheme="minorBidi"/>
        </w:rPr>
        <w:t xml:space="preserve">may only be used to the </w:t>
      </w:r>
      <w:r>
        <w:rPr>
          <w:rFonts w:ascii="Arial" w:hAnsi="Arial" w:asciiTheme="minorBidi" w:hAnsiTheme="minorBidi"/>
          <w:u w:val="single"/>
        </w:rPr>
        <w:t>extent justified by the purpose</w:t>
      </w:r>
      <w:r>
        <w:rPr>
          <w:rFonts w:ascii="Arial" w:hAnsi="Arial" w:asciiTheme="minorBidi" w:hAnsiTheme="minorBidi"/>
        </w:rPr>
        <w:t>.</w:t>
      </w:r>
    </w:p>
    <w:p>
      <w:pPr>
        <w:pStyle w:val="ListParagraph"/>
        <w:spacing w:lineRule="auto" w:line="240" w:before="0" w:after="0"/>
        <w:ind w:left="426" w:hanging="0"/>
        <w:jc w:val="both"/>
        <w:rPr>
          <w:rFonts w:ascii="Arial" w:hAnsi="Arial" w:asciiTheme="minorBidi" w:hAnsiTheme="minorBidi"/>
        </w:rPr>
      </w:pPr>
      <w:r>
        <w:rPr>
          <w:rFonts w:asciiTheme="minorBidi" w:hAnsiTheme="minorBidi" w:ascii="Arial" w:hAnsi="Arial"/>
        </w:rPr>
      </w:r>
    </w:p>
    <w:p>
      <w:pPr>
        <w:pStyle w:val="Normal"/>
        <w:spacing w:lineRule="auto" w:line="240" w:before="0" w:after="0"/>
        <w:jc w:val="both"/>
        <w:rPr>
          <w:rFonts w:ascii="Arial" w:hAnsi="Arial" w:asciiTheme="minorBidi" w:hAnsiTheme="minorBidi"/>
        </w:rPr>
      </w:pPr>
      <w:r>
        <w:rPr>
          <w:rFonts w:ascii="Arial" w:hAnsi="Arial" w:asciiTheme="minorBidi" w:hAnsiTheme="minorBidi"/>
        </w:rPr>
        <w:t>(b)  No</w:t>
      </w:r>
    </w:p>
    <w:p>
      <w:pPr>
        <w:pStyle w:val="Normal"/>
        <w:spacing w:lineRule="auto" w:line="240" w:before="0" w:after="0"/>
        <w:jc w:val="both"/>
        <w:rPr>
          <w:rFonts w:ascii="Arial" w:hAnsi="Arial" w:asciiTheme="minorBidi" w:hAnsiTheme="minorBidi"/>
        </w:rPr>
      </w:pPr>
      <w:r>
        <w:rPr>
          <w:rFonts w:asciiTheme="minorBidi" w:hAnsiTheme="minorBidi" w:ascii="Arial" w:hAnsi="Arial"/>
        </w:rPr>
      </w:r>
    </w:p>
    <w:p>
      <w:pPr>
        <w:pStyle w:val="Normal"/>
        <w:spacing w:lineRule="auto" w:line="240" w:before="0" w:after="0"/>
        <w:ind w:left="450" w:hanging="450"/>
        <w:jc w:val="both"/>
        <w:rPr>
          <w:rFonts w:ascii="Arial" w:hAnsi="Arial" w:asciiTheme="minorBidi" w:hAnsiTheme="minorBidi"/>
        </w:rPr>
      </w:pPr>
      <w:r>
        <w:rPr>
          <w:rFonts w:ascii="Arial" w:hAnsi="Arial" w:asciiTheme="minorBidi" w:hAnsiTheme="minorBidi"/>
        </w:rPr>
        <w:t>(c)  As South Africa is a signatory of the Berne Convention, the South African Act needs to be aligned with the Convention.</w:t>
      </w:r>
    </w:p>
    <w:p>
      <w:pPr>
        <w:pStyle w:val="Normal"/>
        <w:spacing w:lineRule="auto" w:line="240" w:before="0" w:after="0"/>
        <w:ind w:left="450" w:hanging="450"/>
        <w:jc w:val="both"/>
        <w:rPr>
          <w:rFonts w:ascii="Arial" w:hAnsi="Arial" w:asciiTheme="minorBidi" w:hAnsiTheme="minorBidi"/>
        </w:rPr>
      </w:pPr>
      <w:r>
        <w:rPr>
          <w:rFonts w:asciiTheme="minorBidi" w:hAnsiTheme="minorBidi" w:ascii="Arial" w:hAnsi="Arial"/>
        </w:rPr>
      </w:r>
    </w:p>
    <w:p>
      <w:pPr>
        <w:pStyle w:val="Normal"/>
        <w:spacing w:lineRule="auto" w:line="240" w:before="0" w:after="0"/>
        <w:jc w:val="both"/>
        <w:rPr>
          <w:rFonts w:ascii="Arial" w:hAnsi="Arial" w:cs="Arial" w:asciiTheme="minorBidi" w:cstheme="minorBidi" w:hAnsiTheme="minorBidi"/>
          <w:b/>
          <w:b/>
          <w:bCs/>
        </w:rPr>
      </w:pPr>
      <w:r>
        <w:rPr>
          <w:rFonts w:cs="Arial" w:cstheme="minorBidi" w:ascii="Arial" w:hAnsi="Arial"/>
          <w:b/>
          <w:bCs/>
        </w:rPr>
      </w:r>
    </w:p>
    <w:p>
      <w:pPr>
        <w:pStyle w:val="Normal"/>
        <w:spacing w:lineRule="auto" w:line="240" w:before="0" w:after="0"/>
        <w:jc w:val="both"/>
        <w:rPr>
          <w:rFonts w:ascii="Arial" w:hAnsi="Arial" w:cs="Arial" w:asciiTheme="minorBidi" w:cstheme="minorBidi" w:hAnsiTheme="minorBidi"/>
          <w:b/>
          <w:b/>
          <w:bCs/>
        </w:rPr>
      </w:pPr>
      <w:r>
        <w:rPr>
          <w:rFonts w:cs="Arial" w:ascii="Arial" w:hAnsi="Arial" w:asciiTheme="minorBidi" w:cstheme="minorBidi" w:hAnsiTheme="minorBidi"/>
          <w:b/>
          <w:bCs/>
        </w:rPr>
        <w:t>Feedback on Question 6</w:t>
      </w:r>
    </w:p>
    <w:p>
      <w:pPr>
        <w:pStyle w:val="Normal"/>
        <w:spacing w:lineRule="auto" w:line="240" w:before="0" w:after="0"/>
        <w:jc w:val="both"/>
        <w:rPr>
          <w:rFonts w:ascii="Arial" w:hAnsi="Arial" w:cs="Arial" w:asciiTheme="minorBidi" w:cstheme="minorBidi" w:hAnsiTheme="minorBidi"/>
          <w:b/>
          <w:b/>
          <w:bCs/>
        </w:rPr>
      </w:pPr>
      <w:r>
        <w:rPr>
          <w:rFonts w:cs="Arial" w:cstheme="minorBidi" w:ascii="Arial" w:hAnsi="Arial"/>
          <w:b/>
          <w:bCs/>
        </w:rPr>
      </w:r>
    </w:p>
    <w:p>
      <w:pPr>
        <w:pStyle w:val="Normal"/>
        <w:spacing w:lineRule="auto" w:line="240" w:before="0" w:after="0"/>
        <w:jc w:val="both"/>
        <w:rPr>
          <w:rFonts w:ascii="Arial" w:hAnsi="Arial" w:cs="Arial" w:asciiTheme="minorBidi" w:cstheme="minorBidi" w:hAnsiTheme="minorBidi"/>
          <w:bCs/>
        </w:rPr>
      </w:pPr>
      <w:r>
        <w:rPr>
          <w:rFonts w:cs="Arial" w:ascii="Arial" w:hAnsi="Arial" w:asciiTheme="minorBidi" w:cstheme="minorBidi" w:hAnsiTheme="minorBidi"/>
          <w:bCs/>
        </w:rPr>
        <w:t>It must be in writing and signed by the assignor.</w:t>
      </w:r>
    </w:p>
    <w:p>
      <w:pPr>
        <w:pStyle w:val="Normal"/>
        <w:spacing w:lineRule="auto" w:line="240" w:before="0" w:after="0"/>
        <w:jc w:val="both"/>
        <w:rPr>
          <w:rFonts w:ascii="Arial" w:hAnsi="Arial" w:cs="Arial" w:asciiTheme="minorBidi" w:cstheme="minorBidi" w:hAnsiTheme="minorBidi"/>
          <w:b/>
          <w:b/>
          <w:bCs/>
        </w:rPr>
      </w:pPr>
      <w:r>
        <w:rPr>
          <w:rFonts w:cs="Arial" w:cstheme="minorBidi" w:ascii="Arial" w:hAnsi="Arial"/>
          <w:b/>
          <w:bCs/>
        </w:rPr>
      </w:r>
    </w:p>
    <w:p>
      <w:pPr>
        <w:pStyle w:val="Normal"/>
        <w:spacing w:lineRule="auto" w:line="240" w:before="0" w:after="0"/>
        <w:jc w:val="both"/>
        <w:rPr>
          <w:rFonts w:ascii="Arial" w:hAnsi="Arial" w:cs="Arial" w:asciiTheme="minorBidi" w:cstheme="minorBidi" w:hAnsiTheme="minorBidi"/>
          <w:b/>
          <w:b/>
          <w:bCs/>
        </w:rPr>
      </w:pPr>
      <w:r>
        <w:rPr>
          <w:rFonts w:cs="Arial" w:cstheme="minorBidi" w:ascii="Arial" w:hAnsi="Arial"/>
          <w:b/>
          <w:bCs/>
        </w:rPr>
      </w:r>
    </w:p>
    <w:p>
      <w:pPr>
        <w:pStyle w:val="Normal"/>
        <w:spacing w:lineRule="auto" w:line="240" w:before="0" w:after="0"/>
        <w:jc w:val="both"/>
        <w:rPr>
          <w:rFonts w:ascii="Arial" w:hAnsi="Arial" w:cs="Arial" w:asciiTheme="minorBidi" w:cstheme="minorBidi" w:hAnsiTheme="minorBidi"/>
          <w:b/>
          <w:b/>
          <w:bCs/>
        </w:rPr>
      </w:pPr>
      <w:r>
        <w:rPr>
          <w:rFonts w:cs="Arial" w:ascii="Arial" w:hAnsi="Arial" w:asciiTheme="minorBidi" w:cstheme="minorBidi" w:hAnsiTheme="minorBidi"/>
          <w:b/>
          <w:bCs/>
        </w:rPr>
        <w:t>Feedback on Question 7</w:t>
      </w:r>
    </w:p>
    <w:p>
      <w:pPr>
        <w:pStyle w:val="Normal"/>
        <w:spacing w:lineRule="auto" w:line="240" w:before="0" w:after="0"/>
        <w:jc w:val="both"/>
        <w:rPr>
          <w:rFonts w:ascii="Arial" w:hAnsi="Arial" w:cs="Arial" w:asciiTheme="minorBidi" w:cstheme="minorBidi" w:hAnsiTheme="minorBidi"/>
          <w:b/>
          <w:b/>
          <w:bCs/>
        </w:rPr>
      </w:pPr>
      <w:r>
        <w:rPr>
          <w:rFonts w:cs="Arial" w:cstheme="minorBidi" w:ascii="Arial" w:hAnsi="Arial"/>
          <w:b/>
          <w:bCs/>
        </w:rPr>
      </w:r>
    </w:p>
    <w:p>
      <w:pPr>
        <w:pStyle w:val="ListParagraph"/>
        <w:numPr>
          <w:ilvl w:val="0"/>
          <w:numId w:val="3"/>
        </w:numPr>
        <w:spacing w:lineRule="auto" w:line="240" w:before="0" w:after="0"/>
        <w:ind w:left="180" w:hanging="180"/>
        <w:jc w:val="both"/>
        <w:rPr>
          <w:rFonts w:ascii="Arial" w:hAnsi="Arial" w:cs="Arial" w:asciiTheme="minorBidi" w:cstheme="minorBidi" w:hAnsiTheme="minorBidi"/>
          <w:bCs/>
        </w:rPr>
      </w:pPr>
      <w:r>
        <w:rPr>
          <w:rFonts w:cs="Arial" w:ascii="Arial" w:hAnsi="Arial" w:asciiTheme="minorBidi" w:cstheme="minorBidi" w:hAnsiTheme="minorBidi"/>
          <w:bCs/>
        </w:rPr>
        <w:t>An interdict (injunction)</w:t>
      </w:r>
    </w:p>
    <w:p>
      <w:pPr>
        <w:pStyle w:val="ListParagraph"/>
        <w:numPr>
          <w:ilvl w:val="0"/>
          <w:numId w:val="3"/>
        </w:numPr>
        <w:spacing w:lineRule="auto" w:line="240" w:before="0" w:after="0"/>
        <w:ind w:left="180" w:hanging="180"/>
        <w:jc w:val="both"/>
        <w:rPr>
          <w:rFonts w:ascii="Arial" w:hAnsi="Arial" w:cs="Arial" w:asciiTheme="minorBidi" w:cstheme="minorBidi" w:hAnsiTheme="minorBidi"/>
          <w:bCs/>
        </w:rPr>
      </w:pPr>
      <w:r>
        <w:rPr>
          <w:rFonts w:cs="Arial" w:ascii="Arial" w:hAnsi="Arial" w:asciiTheme="minorBidi" w:cstheme="minorBidi" w:hAnsiTheme="minorBidi"/>
          <w:bCs/>
        </w:rPr>
        <w:t>Damages</w:t>
      </w:r>
    </w:p>
    <w:p>
      <w:pPr>
        <w:pStyle w:val="ListParagraph"/>
        <w:numPr>
          <w:ilvl w:val="0"/>
          <w:numId w:val="3"/>
        </w:numPr>
        <w:spacing w:lineRule="auto" w:line="240" w:before="0" w:after="0"/>
        <w:ind w:left="180" w:hanging="180"/>
        <w:jc w:val="both"/>
        <w:rPr>
          <w:rFonts w:ascii="Arial" w:hAnsi="Arial" w:cs="Arial" w:asciiTheme="minorBidi" w:cstheme="minorBidi" w:hAnsiTheme="minorBidi"/>
          <w:bCs/>
        </w:rPr>
      </w:pPr>
      <w:r>
        <w:rPr>
          <w:rFonts w:cs="Arial" w:ascii="Arial" w:hAnsi="Arial" w:asciiTheme="minorBidi" w:cstheme="minorBidi" w:hAnsiTheme="minorBidi"/>
          <w:bCs/>
        </w:rPr>
        <w:t>Delivery up</w:t>
      </w:r>
    </w:p>
    <w:p>
      <w:pPr>
        <w:pStyle w:val="ListParagraph"/>
        <w:numPr>
          <w:ilvl w:val="0"/>
          <w:numId w:val="3"/>
        </w:numPr>
        <w:spacing w:lineRule="auto" w:line="240" w:before="0" w:after="0"/>
        <w:ind w:left="180" w:hanging="180"/>
        <w:jc w:val="both"/>
        <w:rPr>
          <w:rFonts w:ascii="Arial" w:hAnsi="Arial" w:cs="Arial" w:asciiTheme="minorBidi" w:cstheme="minorBidi" w:hAnsiTheme="minorBidi"/>
          <w:bCs/>
        </w:rPr>
      </w:pPr>
      <w:r>
        <w:rPr>
          <w:rFonts w:cs="Arial" w:ascii="Arial" w:hAnsi="Arial" w:asciiTheme="minorBidi" w:cstheme="minorBidi" w:hAnsiTheme="minorBidi"/>
          <w:bCs/>
        </w:rPr>
        <w:t>In lieu of damages, a reasonable royalty</w:t>
      </w:r>
    </w:p>
    <w:p>
      <w:pPr>
        <w:pStyle w:val="ListParagraph"/>
        <w:numPr>
          <w:ilvl w:val="0"/>
          <w:numId w:val="3"/>
        </w:numPr>
        <w:spacing w:lineRule="auto" w:line="240" w:before="0" w:after="0"/>
        <w:ind w:left="180" w:hanging="180"/>
        <w:jc w:val="both"/>
        <w:rPr>
          <w:rFonts w:ascii="Arial" w:hAnsi="Arial" w:cs="Arial" w:asciiTheme="minorBidi" w:cstheme="minorBidi" w:hAnsiTheme="minorBidi"/>
          <w:bCs/>
        </w:rPr>
      </w:pPr>
      <w:r>
        <w:rPr>
          <w:rFonts w:cs="Arial" w:ascii="Arial" w:hAnsi="Arial" w:asciiTheme="minorBidi" w:cstheme="minorBidi" w:hAnsiTheme="minorBidi"/>
          <w:bCs/>
        </w:rPr>
        <w:t>Additional damages.</w:t>
      </w:r>
    </w:p>
    <w:p>
      <w:pPr>
        <w:pStyle w:val="Normal"/>
        <w:spacing w:lineRule="auto" w:line="240" w:before="0" w:after="0"/>
        <w:jc w:val="both"/>
        <w:rPr>
          <w:rFonts w:ascii="Arial" w:hAnsi="Arial" w:cs="Arial" w:asciiTheme="minorBidi" w:cstheme="minorBidi" w:hAnsiTheme="minorBidi"/>
          <w:bCs/>
        </w:rPr>
      </w:pPr>
      <w:r>
        <w:rPr>
          <w:rFonts w:cs="Arial" w:cstheme="minorBidi" w:ascii="Arial" w:hAnsi="Arial"/>
          <w:bCs/>
        </w:rPr>
      </w:r>
    </w:p>
    <w:p>
      <w:pPr>
        <w:pStyle w:val="Normal"/>
        <w:spacing w:lineRule="auto" w:line="240" w:before="0" w:after="0"/>
        <w:jc w:val="both"/>
        <w:rPr/>
      </w:pPr>
      <w:r>
        <w:rPr>
          <w:rFonts w:cs="Arial" w:ascii="Arial" w:hAnsi="Arial" w:asciiTheme="minorBidi" w:cstheme="minorBidi" w:hAnsiTheme="minorBidi"/>
          <w:bCs/>
        </w:rPr>
        <w:t>Please see Study Unit 7 for more detail about the said remedies.</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2090607496"/>
    </w:sdtPr>
    <w:sdtContent>
      <w:p>
        <w:pPr>
          <w:pStyle w:val="Footer"/>
          <w:jc w:val="right"/>
          <w:rPr/>
        </w:pPr>
        <w:r>
          <w:rPr/>
          <w:t xml:space="preserve">Page </w:t>
        </w:r>
        <w:r>
          <w:rPr>
            <w:b/>
            <w:bCs/>
            <w:sz w:val="24"/>
            <w:szCs w:val="24"/>
          </w:rPr>
          <w:fldChar w:fldCharType="begin"/>
        </w:r>
        <w:r>
          <w:instrText> PAGE </w:instrText>
        </w:r>
        <w:r>
          <w:fldChar w:fldCharType="separate"/>
        </w:r>
        <w:r>
          <w:t>2</w:t>
        </w:r>
        <w:r>
          <w:fldChar w:fldCharType="end"/>
        </w:r>
        <w:r>
          <w:rPr/>
          <w:t xml:space="preserve"> of </w:t>
        </w:r>
        <w:r>
          <w:rPr>
            <w:b/>
            <w:bCs/>
            <w:sz w:val="24"/>
            <w:szCs w:val="24"/>
          </w:rPr>
          <w:fldChar w:fldCharType="begin"/>
        </w:r>
        <w:r>
          <w:instrText> NUMPAGES </w:instrText>
        </w:r>
        <w:r>
          <w:fldChar w:fldCharType="separate"/>
        </w:r>
        <w:r>
          <w:t>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66e8"/>
    <w:pPr>
      <w:widowControl/>
      <w:bidi w:val="0"/>
      <w:spacing w:lineRule="auto" w:line="276" w:before="0" w:after="200"/>
      <w:jc w:val="left"/>
    </w:pPr>
    <w:rPr>
      <w:rFonts w:ascii="Calibri" w:hAnsi="Calibri" w:eastAsia="Calibri" w:cs="Times New Roman" w:asciiTheme="minorHAnsi" w:eastAsiaTheme="minorHAnsi" w:hAnsiTheme="minorHAnsi"/>
      <w:color w:val="auto"/>
      <w:sz w:val="22"/>
      <w:szCs w:val="22"/>
      <w:lang w:bidi="ar-SA" w:val="en-US"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6978"/>
    <w:rPr>
      <w:rFonts w:ascii="Calibri" w:hAnsi="Calibri" w:eastAsia="Calibri" w:cs="Times New Roman"/>
      <w:lang w:bidi="ar-SA"/>
    </w:rPr>
  </w:style>
  <w:style w:type="character" w:styleId="FooterChar" w:customStyle="1">
    <w:name w:val="Footer Char"/>
    <w:basedOn w:val="DefaultParagraphFont"/>
    <w:link w:val="Footer"/>
    <w:uiPriority w:val="99"/>
    <w:qFormat/>
    <w:rsid w:val="00fc6978"/>
    <w:rPr>
      <w:rFonts w:ascii="Calibri" w:hAnsi="Calibri" w:eastAsia="Calibri" w:cs="Times New Roman"/>
      <w:lang w:bidi="ar-SA"/>
    </w:rPr>
  </w:style>
  <w:style w:type="character" w:styleId="BalloonTextChar" w:customStyle="1">
    <w:name w:val="Balloon Text Char"/>
    <w:basedOn w:val="DefaultParagraphFont"/>
    <w:link w:val="BalloonText"/>
    <w:uiPriority w:val="99"/>
    <w:semiHidden/>
    <w:qFormat/>
    <w:rsid w:val="00143d44"/>
    <w:rPr>
      <w:rFonts w:ascii="Arial" w:hAnsi="Arial" w:eastAsia="Calibri" w:cs="Arial"/>
      <w:sz w:val="16"/>
      <w:szCs w:val="16"/>
      <w:lang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Default" w:customStyle="1">
    <w:name w:val="Default"/>
    <w:qFormat/>
    <w:rsid w:val="002766e8"/>
    <w:pPr>
      <w:widowControl/>
      <w:bidi w:val="0"/>
      <w:spacing w:lineRule="auto" w:line="240" w:before="0" w:after="0"/>
      <w:jc w:val="left"/>
    </w:pPr>
    <w:rPr>
      <w:rFonts w:ascii="Arial" w:hAnsi="Arial" w:cs="Arial" w:eastAsia="Calibri"/>
      <w:color w:val="000000"/>
      <w:sz w:val="24"/>
      <w:szCs w:val="24"/>
      <w:lang w:val="en-US" w:eastAsia="en-US" w:bidi="he-IL"/>
    </w:rPr>
  </w:style>
  <w:style w:type="paragraph" w:styleId="ListParagraph">
    <w:name w:val="List Paragraph"/>
    <w:basedOn w:val="Normal"/>
    <w:uiPriority w:val="34"/>
    <w:qFormat/>
    <w:rsid w:val="001d2ec9"/>
    <w:pPr>
      <w:spacing w:before="0" w:after="200"/>
      <w:ind w:left="720" w:hanging="0"/>
      <w:contextualSpacing/>
    </w:pPr>
    <w:rPr/>
  </w:style>
  <w:style w:type="paragraph" w:styleId="Header">
    <w:name w:val="Header"/>
    <w:basedOn w:val="Normal"/>
    <w:link w:val="HeaderChar"/>
    <w:uiPriority w:val="99"/>
    <w:unhideWhenUsed/>
    <w:rsid w:val="00fc697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c6978"/>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143d44"/>
    <w:pPr>
      <w:spacing w:lineRule="auto" w:line="240" w:before="0" w:after="0"/>
    </w:pPr>
    <w:rPr>
      <w:rFonts w:ascii="Arial" w:hAnsi="Arial" w:cs="Arial"/>
      <w:sz w:val="16"/>
      <w:szCs w:val="16"/>
    </w:rPr>
  </w:style>
  <w:style w:type="paragraph" w:styleId="NormalWeb">
    <w:name w:val="Normal (Web)"/>
    <w:basedOn w:val="Normal"/>
    <w:uiPriority w:val="99"/>
    <w:semiHidden/>
    <w:unhideWhenUsed/>
    <w:qFormat/>
    <w:rsid w:val="00c11d11"/>
    <w:pPr>
      <w:spacing w:lineRule="auto" w:line="240" w:beforeAutospacing="1" w:afterAutospacing="1"/>
    </w:pPr>
    <w:rPr>
      <w:rFonts w:ascii="Times New Roman" w:hAnsi="Times New Roman" w:eastAsia="Times New Roman"/>
      <w:sz w:val="24"/>
      <w:szCs w:val="24"/>
      <w:lang w:bidi="he-I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308B5-A98D-494F-92B1-AAA149AE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LibreOffice/5.3.3.2$Linux_X86_64 LibreOffice_project/30m0$Build-2</Application>
  <Pages>2</Pages>
  <Words>743</Words>
  <Characters>3615</Characters>
  <CharactersWithSpaces>4319</CharactersWithSpaces>
  <Paragraphs>38</Paragraphs>
  <Company>UNISA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2017-04-27T17:57:00Z</dcterms:created>
  <dc:creator>Geyer, Sunelle</dc:creator>
  <dc:description/>
  <dc:language>en-GB</dc:language>
  <cp:lastModifiedBy>Geyer, Sunelle</cp:lastModifiedBy>
  <cp:lastPrinted>2016-09-12T06:24:00Z</cp:lastPrinted>
  <dcterms:modified xsi:type="dcterms:W3CDTF">2017-04-27T18:37:00Z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