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 xml:space="preserve">Task </w:t>
            </w:r>
            <w:r w:rsidRPr="001A01F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>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Assessment </w:t>
            </w:r>
            <w:r w:rsidR="00C46B91"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Task </w:t>
            </w: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 w:rsidRPr="008F4773"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  <w:t>Add additional columns as required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8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8F097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9D3D2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EFF9BB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C37A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ED3EA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D1B2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CDE09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9EEC4A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BB7B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493DE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0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1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2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3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4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A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A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0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6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F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>Have Foundation Skills been considered in the development of the assessment tools? YES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497913">
        <w:rPr>
          <w:rFonts w:ascii="Arial" w:eastAsia="SimSun" w:hAnsi="Arial" w:cs="Arial"/>
          <w:bCs/>
          <w:szCs w:val="24"/>
        </w:rPr>
        <w:t>YES/NO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48F4" w14:textId="77777777" w:rsidR="00646D3A" w:rsidRDefault="00646D3A" w:rsidP="008F4773">
      <w:pPr>
        <w:spacing w:after="0" w:line="240" w:lineRule="auto"/>
      </w:pPr>
      <w:r>
        <w:separator/>
      </w:r>
    </w:p>
  </w:endnote>
  <w:endnote w:type="continuationSeparator" w:id="0">
    <w:p w14:paraId="76554D58" w14:textId="77777777" w:rsidR="00646D3A" w:rsidRDefault="00646D3A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CF23" w14:textId="77777777" w:rsidR="00646D3A" w:rsidRDefault="00646D3A" w:rsidP="008F4773">
      <w:pPr>
        <w:spacing w:after="0" w:line="240" w:lineRule="auto"/>
      </w:pPr>
      <w:r>
        <w:separator/>
      </w:r>
    </w:p>
  </w:footnote>
  <w:footnote w:type="continuationSeparator" w:id="0">
    <w:p w14:paraId="2333BECD" w14:textId="77777777" w:rsidR="00646D3A" w:rsidRDefault="00646D3A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ICTAII501 Automate work tasks using machine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127F75"/>
    <w:rsid w:val="001A01F1"/>
    <w:rsid w:val="002111FC"/>
    <w:rsid w:val="002632E7"/>
    <w:rsid w:val="00265BDB"/>
    <w:rsid w:val="00287BEC"/>
    <w:rsid w:val="003A65F8"/>
    <w:rsid w:val="003E1339"/>
    <w:rsid w:val="003F26A8"/>
    <w:rsid w:val="00453814"/>
    <w:rsid w:val="00497913"/>
    <w:rsid w:val="004B6AF2"/>
    <w:rsid w:val="0050169C"/>
    <w:rsid w:val="005938AA"/>
    <w:rsid w:val="005B0FD5"/>
    <w:rsid w:val="00646D3A"/>
    <w:rsid w:val="0088514D"/>
    <w:rsid w:val="008F4773"/>
    <w:rsid w:val="00927791"/>
    <w:rsid w:val="0094139C"/>
    <w:rsid w:val="00952D72"/>
    <w:rsid w:val="00987A92"/>
    <w:rsid w:val="00992E12"/>
    <w:rsid w:val="00A62CE6"/>
    <w:rsid w:val="00B06344"/>
    <w:rsid w:val="00B36E37"/>
    <w:rsid w:val="00BA7F59"/>
    <w:rsid w:val="00C3069C"/>
    <w:rsid w:val="00C46B91"/>
    <w:rsid w:val="00CA126B"/>
    <w:rsid w:val="00DB2C37"/>
    <w:rsid w:val="00DE26A5"/>
    <w:rsid w:val="00E71A89"/>
    <w:rsid w:val="00E76A75"/>
    <w:rsid w:val="00EC0254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6C5FCB"/>
    <w:rsid w:val="007B331C"/>
    <w:rsid w:val="00877210"/>
    <w:rsid w:val="00B36E37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15</cp:revision>
  <dcterms:created xsi:type="dcterms:W3CDTF">2019-10-30T06:39:00Z</dcterms:created>
  <dcterms:modified xsi:type="dcterms:W3CDTF">2024-06-05T13:17:00Z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