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50"/>
          <w:szCs w:val="50"/>
          <w:rtl w:val="0"/>
        </w:rPr>
        <w:t xml:space="preserve">EMPOWER HER HEALTH INITIATIVE-EHHI</w:t>
      </w:r>
      <w:r w:rsidDel="00000000" w:rsidR="00000000" w:rsidRPr="00000000">
        <w:rPr>
          <w:rtl w:val="0"/>
        </w:rPr>
      </w:r>
    </w:p>
    <w:p w:rsidR="00000000" w:rsidDel="00000000" w:rsidP="00000000" w:rsidRDefault="00000000" w:rsidRPr="00000000" w14:paraId="00000003">
      <w:pPr>
        <w:spacing w:after="10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Bdr>
          <w:bottom w:color="27ae60" w:space="8" w:sz="6" w:val="single"/>
        </w:pBdr>
        <w:spacing w:after="40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42"/>
          <w:szCs w:val="42"/>
          <w:rtl w:val="0"/>
        </w:rPr>
        <w:t xml:space="preserve">STRATEGIC WORKPLAN</w:t>
      </w:r>
      <w:r w:rsidDel="00000000" w:rsidR="00000000" w:rsidRPr="00000000">
        <w:rPr>
          <w:rtl w:val="0"/>
        </w:rPr>
      </w:r>
    </w:p>
    <w:p w:rsidR="00000000" w:rsidDel="00000000" w:rsidP="00000000" w:rsidRDefault="00000000" w:rsidRPr="00000000" w14:paraId="00000006">
      <w:pPr>
        <w:spacing w:after="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34"/>
          <w:szCs w:val="34"/>
          <w:rtl w:val="0"/>
        </w:rPr>
        <w:t xml:space="preserve">April 2026 – December 2026</w:t>
      </w:r>
      <w:r w:rsidDel="00000000" w:rsidR="00000000" w:rsidRPr="00000000">
        <w:rPr>
          <w:rtl w:val="0"/>
        </w:rPr>
      </w:r>
    </w:p>
    <w:p w:rsidR="00000000" w:rsidDel="00000000" w:rsidP="00000000" w:rsidRDefault="00000000" w:rsidRPr="00000000" w14:paraId="00000007">
      <w:pPr>
        <w:spacing w:after="4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55555"/>
          <w:sz w:val="30"/>
          <w:szCs w:val="30"/>
          <w:rtl w:val="0"/>
        </w:rPr>
        <w:t xml:space="preserve">Busoga Subregion, Eastern Uganda</w:t>
      </w:r>
      <w:r w:rsidDel="00000000" w:rsidR="00000000" w:rsidRPr="00000000">
        <w:rPr>
          <w:rtl w:val="0"/>
        </w:rPr>
      </w:r>
    </w:p>
    <w:p w:rsidR="00000000" w:rsidDel="00000000" w:rsidP="00000000" w:rsidRDefault="00000000" w:rsidRPr="00000000" w14:paraId="00000008">
      <w:pPr>
        <w:spacing w:after="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7ae60"/>
          <w:sz w:val="28"/>
          <w:szCs w:val="28"/>
          <w:rtl w:val="0"/>
        </w:rPr>
        <w:t xml:space="preserve">Schools • Hospitals • Community Outreaches</w:t>
      </w:r>
      <w:r w:rsidDel="00000000" w:rsidR="00000000" w:rsidRPr="00000000">
        <w:rPr>
          <w:rtl w:val="0"/>
        </w:rPr>
      </w:r>
    </w:p>
    <w:p w:rsidR="00000000" w:rsidDel="00000000" w:rsidP="00000000" w:rsidRDefault="00000000" w:rsidRPr="00000000" w14:paraId="00000009">
      <w:pPr>
        <w:spacing w:before="20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777777"/>
          <w:sz w:val="26"/>
          <w:szCs w:val="26"/>
          <w:rtl w:val="0"/>
        </w:rPr>
        <w:t xml:space="preserve">Transforming the Health and Welfare of Girls and Women in Busoga</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color w:val="999999"/>
          <w:sz w:val="24"/>
          <w:szCs w:val="24"/>
          <w:rtl w:val="0"/>
        </w:rPr>
        <w:t xml:space="preserve">Prepared: April 2026</w:t>
      </w:r>
      <w:r w:rsidDel="00000000" w:rsidR="00000000" w:rsidRPr="00000000">
        <w:rPr>
          <w:rtl w:val="0"/>
        </w:rPr>
      </w:r>
    </w:p>
    <w:p w:rsidR="00000000" w:rsidDel="00000000" w:rsidP="00000000" w:rsidRDefault="00000000" w:rsidRPr="00000000" w14:paraId="0000000C">
      <w:pPr>
        <w:pBdr>
          <w:bottom w:color="1a5276" w:space="6" w:sz="4" w:val="single"/>
        </w:pBdr>
        <w:spacing w:after="4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34"/>
          <w:szCs w:val="34"/>
          <w:rtl w:val="0"/>
        </w:rPr>
        <w:t xml:space="preserve">Table of Contents</w:t>
      </w:r>
      <w:r w:rsidDel="00000000" w:rsidR="00000000" w:rsidRPr="00000000">
        <w:rPr>
          <w:rtl w:val="0"/>
        </w:rPr>
      </w:r>
    </w:p>
    <w:p w:rsidR="00000000" w:rsidDel="00000000" w:rsidP="00000000" w:rsidRDefault="00000000" w:rsidRPr="00000000" w14:paraId="0000000D">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1. Executive Summary</w:t>
      </w:r>
      <w:r w:rsidDel="00000000" w:rsidR="00000000" w:rsidRPr="00000000">
        <w:rPr>
          <w:rtl w:val="0"/>
        </w:rPr>
      </w:r>
    </w:p>
    <w:p w:rsidR="00000000" w:rsidDel="00000000" w:rsidP="00000000" w:rsidRDefault="00000000" w:rsidRPr="00000000" w14:paraId="0000000E">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2. Situational Analysis: Girls and Women’s Health in Busoga</w:t>
      </w:r>
      <w:r w:rsidDel="00000000" w:rsidR="00000000" w:rsidRPr="00000000">
        <w:rPr>
          <w:rtl w:val="0"/>
        </w:rPr>
      </w:r>
    </w:p>
    <w:p w:rsidR="00000000" w:rsidDel="00000000" w:rsidP="00000000" w:rsidRDefault="00000000" w:rsidRPr="00000000" w14:paraId="0000000F">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2.1 Geographic and Demographic Context</w:t>
      </w:r>
      <w:r w:rsidDel="00000000" w:rsidR="00000000" w:rsidRPr="00000000">
        <w:rPr>
          <w:rtl w:val="0"/>
        </w:rPr>
      </w:r>
    </w:p>
    <w:p w:rsidR="00000000" w:rsidDel="00000000" w:rsidP="00000000" w:rsidRDefault="00000000" w:rsidRPr="00000000" w14:paraId="00000010">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2.2 Key Health Challenges Facing Girls and Women</w:t>
      </w:r>
      <w:r w:rsidDel="00000000" w:rsidR="00000000" w:rsidRPr="00000000">
        <w:rPr>
          <w:rtl w:val="0"/>
        </w:rPr>
      </w:r>
    </w:p>
    <w:p w:rsidR="00000000" w:rsidDel="00000000" w:rsidP="00000000" w:rsidRDefault="00000000" w:rsidRPr="00000000" w14:paraId="00000011">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3. Strategic Framework</w:t>
      </w:r>
      <w:r w:rsidDel="00000000" w:rsidR="00000000" w:rsidRPr="00000000">
        <w:rPr>
          <w:rtl w:val="0"/>
        </w:rPr>
      </w:r>
    </w:p>
    <w:p w:rsidR="00000000" w:rsidDel="00000000" w:rsidP="00000000" w:rsidRDefault="00000000" w:rsidRPr="00000000" w14:paraId="00000012">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3.1 Vision</w:t>
      </w:r>
      <w:r w:rsidDel="00000000" w:rsidR="00000000" w:rsidRPr="00000000">
        <w:rPr>
          <w:rtl w:val="0"/>
        </w:rPr>
      </w:r>
    </w:p>
    <w:p w:rsidR="00000000" w:rsidDel="00000000" w:rsidP="00000000" w:rsidRDefault="00000000" w:rsidRPr="00000000" w14:paraId="00000013">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3.2 Mission</w:t>
      </w:r>
      <w:r w:rsidDel="00000000" w:rsidR="00000000" w:rsidRPr="00000000">
        <w:rPr>
          <w:rtl w:val="0"/>
        </w:rPr>
      </w:r>
    </w:p>
    <w:p w:rsidR="00000000" w:rsidDel="00000000" w:rsidP="00000000" w:rsidRDefault="00000000" w:rsidRPr="00000000" w14:paraId="00000014">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3.3 Core Pillars</w:t>
      </w:r>
      <w:r w:rsidDel="00000000" w:rsidR="00000000" w:rsidRPr="00000000">
        <w:rPr>
          <w:rtl w:val="0"/>
        </w:rPr>
      </w:r>
    </w:p>
    <w:p w:rsidR="00000000" w:rsidDel="00000000" w:rsidP="00000000" w:rsidRDefault="00000000" w:rsidRPr="00000000" w14:paraId="00000015">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3.4 Target Districts (Phased Approach)</w:t>
      </w:r>
      <w:r w:rsidDel="00000000" w:rsidR="00000000" w:rsidRPr="00000000">
        <w:rPr>
          <w:rtl w:val="0"/>
        </w:rPr>
      </w:r>
    </w:p>
    <w:p w:rsidR="00000000" w:rsidDel="00000000" w:rsidP="00000000" w:rsidRDefault="00000000" w:rsidRPr="00000000" w14:paraId="00000016">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4. Detailed Activity Workplan: April – December 2026</w:t>
      </w:r>
      <w:r w:rsidDel="00000000" w:rsidR="00000000" w:rsidRPr="00000000">
        <w:rPr>
          <w:rtl w:val="0"/>
        </w:rPr>
      </w:r>
    </w:p>
    <w:p w:rsidR="00000000" w:rsidDel="00000000" w:rsidP="00000000" w:rsidRDefault="00000000" w:rsidRPr="00000000" w14:paraId="00000017">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4.1 Phase 1: Foundation and Launch (April – June 2026)</w:t>
      </w:r>
      <w:r w:rsidDel="00000000" w:rsidR="00000000" w:rsidRPr="00000000">
        <w:rPr>
          <w:rtl w:val="0"/>
        </w:rPr>
      </w:r>
    </w:p>
    <w:p w:rsidR="00000000" w:rsidDel="00000000" w:rsidP="00000000" w:rsidRDefault="00000000" w:rsidRPr="00000000" w14:paraId="00000018">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4.2 Phase 2: Expansion and Deepening (July – September 2026)</w:t>
      </w:r>
      <w:r w:rsidDel="00000000" w:rsidR="00000000" w:rsidRPr="00000000">
        <w:rPr>
          <w:rtl w:val="0"/>
        </w:rPr>
      </w:r>
    </w:p>
    <w:p w:rsidR="00000000" w:rsidDel="00000000" w:rsidP="00000000" w:rsidRDefault="00000000" w:rsidRPr="00000000" w14:paraId="00000019">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4.3 Phase 3: Consolidation and Sustainability (October – December 2026)</w:t>
      </w:r>
      <w:r w:rsidDel="00000000" w:rsidR="00000000" w:rsidRPr="00000000">
        <w:rPr>
          <w:rtl w:val="0"/>
        </w:rPr>
      </w:r>
    </w:p>
    <w:p w:rsidR="00000000" w:rsidDel="00000000" w:rsidP="00000000" w:rsidRDefault="00000000" w:rsidRPr="00000000" w14:paraId="0000001A">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5. Impact Framework: How Activities Address Key Challenges</w:t>
      </w:r>
      <w:r w:rsidDel="00000000" w:rsidR="00000000" w:rsidRPr="00000000">
        <w:rPr>
          <w:rtl w:val="0"/>
        </w:rPr>
      </w:r>
    </w:p>
    <w:p w:rsidR="00000000" w:rsidDel="00000000" w:rsidP="00000000" w:rsidRDefault="00000000" w:rsidRPr="00000000" w14:paraId="0000001B">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6. Indicative Budget (April – December 2026)</w:t>
      </w:r>
      <w:r w:rsidDel="00000000" w:rsidR="00000000" w:rsidRPr="00000000">
        <w:rPr>
          <w:rtl w:val="0"/>
        </w:rPr>
      </w:r>
    </w:p>
    <w:p w:rsidR="00000000" w:rsidDel="00000000" w:rsidP="00000000" w:rsidRDefault="00000000" w:rsidRPr="00000000" w14:paraId="0000001C">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6.1 Summary Budget by Programme Area</w:t>
      </w:r>
      <w:r w:rsidDel="00000000" w:rsidR="00000000" w:rsidRPr="00000000">
        <w:rPr>
          <w:rtl w:val="0"/>
        </w:rPr>
      </w:r>
    </w:p>
    <w:p w:rsidR="00000000" w:rsidDel="00000000" w:rsidP="00000000" w:rsidRDefault="00000000" w:rsidRPr="00000000" w14:paraId="0000001D">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6.2 Detailed Budget Notes</w:t>
      </w:r>
      <w:r w:rsidDel="00000000" w:rsidR="00000000" w:rsidRPr="00000000">
        <w:rPr>
          <w:rtl w:val="0"/>
        </w:rPr>
      </w:r>
    </w:p>
    <w:p w:rsidR="00000000" w:rsidDel="00000000" w:rsidP="00000000" w:rsidRDefault="00000000" w:rsidRPr="00000000" w14:paraId="0000001E">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7. Resource Mobilisation Strategy</w:t>
      </w:r>
      <w:r w:rsidDel="00000000" w:rsidR="00000000" w:rsidRPr="00000000">
        <w:rPr>
          <w:rtl w:val="0"/>
        </w:rPr>
      </w:r>
    </w:p>
    <w:p w:rsidR="00000000" w:rsidDel="00000000" w:rsidP="00000000" w:rsidRDefault="00000000" w:rsidRPr="00000000" w14:paraId="0000001F">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7.1 Grant Funding from International Donors and Foundations</w:t>
      </w:r>
      <w:r w:rsidDel="00000000" w:rsidR="00000000" w:rsidRPr="00000000">
        <w:rPr>
          <w:rtl w:val="0"/>
        </w:rPr>
      </w:r>
    </w:p>
    <w:p w:rsidR="00000000" w:rsidDel="00000000" w:rsidP="00000000" w:rsidRDefault="00000000" w:rsidRPr="00000000" w14:paraId="00000020">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7.2 Government and Local Authority Partnerships</w:t>
      </w:r>
      <w:r w:rsidDel="00000000" w:rsidR="00000000" w:rsidRPr="00000000">
        <w:rPr>
          <w:rtl w:val="0"/>
        </w:rPr>
      </w:r>
    </w:p>
    <w:p w:rsidR="00000000" w:rsidDel="00000000" w:rsidP="00000000" w:rsidRDefault="00000000" w:rsidRPr="00000000" w14:paraId="00000021">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7.3 Corporate Social Responsibility (CSR) and Private Sector</w:t>
      </w:r>
      <w:r w:rsidDel="00000000" w:rsidR="00000000" w:rsidRPr="00000000">
        <w:rPr>
          <w:rtl w:val="0"/>
        </w:rPr>
      </w:r>
    </w:p>
    <w:p w:rsidR="00000000" w:rsidDel="00000000" w:rsidP="00000000" w:rsidRDefault="00000000" w:rsidRPr="00000000" w14:paraId="00000022">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7.4 Individual Giving, Crowdfunding, and Diaspora Engagement</w:t>
      </w:r>
      <w:r w:rsidDel="00000000" w:rsidR="00000000" w:rsidRPr="00000000">
        <w:rPr>
          <w:rtl w:val="0"/>
        </w:rPr>
      </w:r>
    </w:p>
    <w:p w:rsidR="00000000" w:rsidDel="00000000" w:rsidP="00000000" w:rsidRDefault="00000000" w:rsidRPr="00000000" w14:paraId="00000023">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7.5 Social Enterprise and Income-Generating Activities</w:t>
      </w:r>
      <w:r w:rsidDel="00000000" w:rsidR="00000000" w:rsidRPr="00000000">
        <w:rPr>
          <w:rtl w:val="0"/>
        </w:rPr>
      </w:r>
    </w:p>
    <w:p w:rsidR="00000000" w:rsidDel="00000000" w:rsidP="00000000" w:rsidRDefault="00000000" w:rsidRPr="00000000" w14:paraId="00000024">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7.6 In-Kind Resource Mobilisation</w:t>
      </w:r>
      <w:r w:rsidDel="00000000" w:rsidR="00000000" w:rsidRPr="00000000">
        <w:rPr>
          <w:rtl w:val="0"/>
        </w:rPr>
      </w:r>
    </w:p>
    <w:p w:rsidR="00000000" w:rsidDel="00000000" w:rsidP="00000000" w:rsidRDefault="00000000" w:rsidRPr="00000000" w14:paraId="00000025">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7.7 Phased Funding Approach</w:t>
      </w:r>
      <w:r w:rsidDel="00000000" w:rsidR="00000000" w:rsidRPr="00000000">
        <w:rPr>
          <w:rtl w:val="0"/>
        </w:rPr>
      </w:r>
    </w:p>
    <w:p w:rsidR="00000000" w:rsidDel="00000000" w:rsidP="00000000" w:rsidRDefault="00000000" w:rsidRPr="00000000" w14:paraId="00000026">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8. Monitoring, Evaluation, and Learning (MEL) Framework</w:t>
      </w:r>
      <w:r w:rsidDel="00000000" w:rsidR="00000000" w:rsidRPr="00000000">
        <w:rPr>
          <w:rtl w:val="0"/>
        </w:rPr>
      </w:r>
    </w:p>
    <w:p w:rsidR="00000000" w:rsidDel="00000000" w:rsidP="00000000" w:rsidRDefault="00000000" w:rsidRPr="00000000" w14:paraId="00000027">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8.1 Key Performance Indicators</w:t>
      </w:r>
      <w:r w:rsidDel="00000000" w:rsidR="00000000" w:rsidRPr="00000000">
        <w:rPr>
          <w:rtl w:val="0"/>
        </w:rPr>
      </w:r>
    </w:p>
    <w:p w:rsidR="00000000" w:rsidDel="00000000" w:rsidP="00000000" w:rsidRDefault="00000000" w:rsidRPr="00000000" w14:paraId="00000028">
      <w:pPr>
        <w:spacing w:after="40" w:before="40" w:lineRule="auto"/>
        <w:ind w:left="4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55555"/>
          <w:sz w:val="26"/>
          <w:szCs w:val="26"/>
          <w:rtl w:val="0"/>
        </w:rPr>
        <w:t xml:space="preserve">8.2 MEL Activities</w:t>
      </w:r>
      <w:r w:rsidDel="00000000" w:rsidR="00000000" w:rsidRPr="00000000">
        <w:rPr>
          <w:rtl w:val="0"/>
        </w:rPr>
      </w:r>
    </w:p>
    <w:p w:rsidR="00000000" w:rsidDel="00000000" w:rsidP="00000000" w:rsidRDefault="00000000" w:rsidRPr="00000000" w14:paraId="00000029">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9. Risk Management</w:t>
      </w:r>
      <w:r w:rsidDel="00000000" w:rsidR="00000000" w:rsidRPr="00000000">
        <w:rPr>
          <w:rtl w:val="0"/>
        </w:rPr>
      </w:r>
    </w:p>
    <w:p w:rsidR="00000000" w:rsidDel="00000000" w:rsidP="00000000" w:rsidRDefault="00000000" w:rsidRPr="00000000" w14:paraId="0000002A">
      <w:pPr>
        <w:pBdr>
          <w:bottom w:color="e0e0e0" w:space="2" w:sz="4" w:val="single"/>
        </w:pBdr>
        <w:spacing w:after="40" w:before="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8"/>
          <w:szCs w:val="28"/>
          <w:rtl w:val="0"/>
        </w:rPr>
        <w:t xml:space="preserve">10. References</w:t>
      </w:r>
      <w:r w:rsidDel="00000000" w:rsidR="00000000" w:rsidRPr="00000000">
        <w:rPr>
          <w:rtl w:val="0"/>
        </w:rPr>
      </w:r>
    </w:p>
    <w:p w:rsidR="00000000" w:rsidDel="00000000" w:rsidP="00000000" w:rsidRDefault="00000000" w:rsidRPr="00000000" w14:paraId="0000002B">
      <w:pPr>
        <w:spacing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1. Executive Summary</w:t>
      </w:r>
      <w:r w:rsidDel="00000000" w:rsidR="00000000" w:rsidRPr="00000000">
        <w:rPr>
          <w:rtl w:val="0"/>
        </w:rPr>
      </w:r>
    </w:p>
    <w:p w:rsidR="00000000" w:rsidDel="00000000" w:rsidP="00000000" w:rsidRDefault="00000000" w:rsidRPr="00000000" w14:paraId="0000002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The Empower Her Health Initiative</w:t>
      </w:r>
      <w:r w:rsidDel="00000000" w:rsidR="00000000" w:rsidRPr="00000000">
        <w:rPr>
          <w:rFonts w:ascii="Times New Roman" w:cs="Times New Roman" w:eastAsia="Times New Roman" w:hAnsi="Times New Roman"/>
          <w:color w:val="333333"/>
          <w:sz w:val="26"/>
          <w:szCs w:val="26"/>
          <w:rtl w:val="0"/>
        </w:rPr>
        <w:t xml:space="preserve">-</w:t>
      </w:r>
      <w:r w:rsidDel="00000000" w:rsidR="00000000" w:rsidRPr="00000000">
        <w:rPr>
          <w:rFonts w:ascii="Times New Roman" w:cs="Times New Roman" w:eastAsia="Times New Roman" w:hAnsi="Times New Roman"/>
          <w:i w:val="0"/>
          <w:iCs w:val="0"/>
          <w:color w:val="333333"/>
          <w:sz w:val="26"/>
          <w:szCs w:val="26"/>
          <w:rtl w:val="0"/>
        </w:rPr>
        <w:t xml:space="preserve">EHHI is a Uganda-based organisation established in late 2025, dedicated to advancing the health, rights, and welfare of girls and women. This Strategic Workplan covers the period April 2026 to December 2026 and outlines a phased programme of activities across schools, health facilities, and community outreach settings in the Busoga subregion of Eastern Uganda.</w:t>
      </w:r>
      <w:r w:rsidDel="00000000" w:rsidR="00000000" w:rsidRPr="00000000">
        <w:rPr>
          <w:rtl w:val="0"/>
        </w:rPr>
      </w:r>
    </w:p>
    <w:p w:rsidR="00000000" w:rsidDel="00000000" w:rsidP="00000000" w:rsidRDefault="00000000" w:rsidRPr="00000000" w14:paraId="0000002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Busoga subregion, home to approximately 4.4 million people across 11 districts and Jinja City, faces some of Uganda’s most acute gender-related health disparities. The region records one of the highest institutional maternal mortality rates in the country at 93 deaths per 100,000 institutional deliveries, compared to a national average of 82.7 (Ministry of Health Annual Health Sector Performance Report 2023/2024). Teenage pregnancy rates are alarmingly high, with 21% of girls aged 15–19 having begun childbearing (Uganda DHS 2016). Cervical cancer screening remains critically low, with as few as 5% of Ugandan women ever screened for the disease. Additionally, approximately 28% of girls in Uganda miss school due to menstrual-related challenges.</w:t>
      </w:r>
      <w:r w:rsidDel="00000000" w:rsidR="00000000" w:rsidRPr="00000000">
        <w:rPr>
          <w:rtl w:val="0"/>
        </w:rPr>
      </w:r>
    </w:p>
    <w:p w:rsidR="00000000" w:rsidDel="00000000" w:rsidP="00000000" w:rsidRDefault="00000000" w:rsidRPr="00000000" w14:paraId="0000003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This workplan presents evidence-based interventions designed to address six core challenge areas: teenage pregnancy and sexual reproductive health; menstrual health and hygiene; maternal health and safe motherhood; gender-based violence; cervical and breast cancer awareness; and mental health and psychosocial wellbeing. Activities are structured in three phases across the nine-month implementation period, with a total indicative budget of UGX 487,200,000 (approximately USD 128,200). A comprehensive resource mobilisation strategy accompanies the budget to ensure sustainability.</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2. Situational Analysis: Girls and Women’s Health in Busoga</w:t>
      </w:r>
      <w:r w:rsidDel="00000000" w:rsidR="00000000" w:rsidRPr="00000000">
        <w:rPr>
          <w:rtl w:val="0"/>
        </w:rPr>
      </w:r>
    </w:p>
    <w:p w:rsidR="00000000" w:rsidDel="00000000" w:rsidP="00000000" w:rsidRDefault="00000000" w:rsidRPr="00000000" w14:paraId="00000033">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2.1 Geographic and Demographic Context</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The Busoga subregion is located in Eastern Uganda and comprises 11 district local governments (Bugiri, Bugweri, Buyende, Iganga, Jinja, Kaliro, Kamuli, Luuka, Mayuge, Namayingo, and Namutumba) plus Jinja City. According to the 2024 National Population and Housing Census preliminary results released by the Uganda Bureau of Statistics (UBOS), the subregion has a total population of approximately 4.4 million persons. The region is predominantly rural, with agriculture as the main livelihood, and has historically lagged behind national development indicators.</w:t>
      </w:r>
      <w:r w:rsidDel="00000000" w:rsidR="00000000" w:rsidRPr="00000000">
        <w:rPr>
          <w:rtl w:val="0"/>
        </w:rPr>
      </w:r>
    </w:p>
    <w:p w:rsidR="00000000" w:rsidDel="00000000" w:rsidP="00000000" w:rsidRDefault="00000000" w:rsidRPr="00000000" w14:paraId="00000035">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2.2 Key Health Challenges Facing Girls and Women</w:t>
      </w:r>
      <w:r w:rsidDel="00000000" w:rsidR="00000000" w:rsidRPr="00000000">
        <w:rPr>
          <w:rtl w:val="0"/>
        </w:rPr>
      </w:r>
    </w:p>
    <w:p w:rsidR="00000000" w:rsidDel="00000000" w:rsidP="00000000" w:rsidRDefault="00000000" w:rsidRPr="00000000" w14:paraId="00000036">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2.2.1 Teenage Pregnancy and Early Childbearing</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Busoga is among the most affected subregions in Uganda for teenage pregnancy. According to the Uganda Demographic and Health Survey (2016), 21% of girls aged 15–19 in Busoga had begun childbearing. A study published in PMC noted that approximately 354,736 teenage pregnancies were registered nationally in 2020 alone, and the Busoga region was identified as the most affected area in Eastern Uganda. Contributing factors include inadequate knowledge about pregnancy prevention, low contraceptive acceptance, parental neglect, sexual abuse, and cultural norms promoting early marriage.</w:t>
      </w:r>
      <w:r w:rsidDel="00000000" w:rsidR="00000000" w:rsidRPr="00000000">
        <w:rPr>
          <w:rtl w:val="0"/>
        </w:rPr>
      </w:r>
    </w:p>
    <w:p w:rsidR="00000000" w:rsidDel="00000000" w:rsidP="00000000" w:rsidRDefault="00000000" w:rsidRPr="00000000" w14:paraId="00000038">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2.2.2 Low Contraceptive Use Among Young Women</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A 2025 cross-sectional study published in Contraception and Reproductive Medicine, covering selected districts in the Busoga subregion, found that the contraceptive prevalence rate among adolescent girls and young women aged 10–24 years remains significantly low compared to other demographics. The study identified that non-use of modern contraceptives was 60% higher among married adolescent girls than among single ones. Key barriers included limited interaction with Village Health Teams (VHTs), cultural resistance, and contraceptive stock-outs at health facilities.</w:t>
      </w:r>
      <w:r w:rsidDel="00000000" w:rsidR="00000000" w:rsidRPr="00000000">
        <w:rPr>
          <w:rtl w:val="0"/>
        </w:rPr>
      </w:r>
    </w:p>
    <w:p w:rsidR="00000000" w:rsidDel="00000000" w:rsidP="00000000" w:rsidRDefault="00000000" w:rsidRPr="00000000" w14:paraId="0000003A">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2.2.3 Maternal Mortality</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Busoga records one of the highest institutional maternal mortality rates in Uganda. According to the Ministry of Health Annual Health Sector Performance Report (2023/2024), the rate stands at 93 deaths per 100,000 institutional deliveries, compared to a national average of 82.7. The 2022 Uganda DHS further shows that neonatal mortality in Busoga is 28 deaths per 1,000 live births versus a national rate of 22, while under-five mortality is 65 per 1,000 compared to the national figure of 52. A WHO report highlighted that a broken emergency referral system, lack of resources, and infrastructure gaps have turned preventable complications into tragedies.</w:t>
      </w:r>
      <w:r w:rsidDel="00000000" w:rsidR="00000000" w:rsidRPr="00000000">
        <w:rPr>
          <w:rtl w:val="0"/>
        </w:rPr>
      </w:r>
    </w:p>
    <w:p w:rsidR="00000000" w:rsidDel="00000000" w:rsidP="00000000" w:rsidRDefault="00000000" w:rsidRPr="00000000" w14:paraId="0000003C">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2.2.4 Menstrual Health and School Absenteeism</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Menstrual hygiene management (MHM) remains a major barrier to girls’ education. According to Amref Health Africa (2024), approximately 28% of girls in Uganda miss school due to menstrual-related issues, including lack of access to sanitary products, inadequate WASH facilities, and stigma. A study in the Rukungiri district found that 61.7% of surveyed schoolgirls reported missing school each month for menstrual reasons. Schools in rural Busoga face particular challenges, as many lack private washrooms, clean water supply, and disposal facilities for sanitary products.</w:t>
      </w:r>
      <w:r w:rsidDel="00000000" w:rsidR="00000000" w:rsidRPr="00000000">
        <w:rPr>
          <w:rtl w:val="0"/>
        </w:rPr>
      </w:r>
    </w:p>
    <w:p w:rsidR="00000000" w:rsidDel="00000000" w:rsidP="00000000" w:rsidRDefault="00000000" w:rsidRPr="00000000" w14:paraId="0000003E">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2.2.5 Cervical Cancer</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Uganda has the seventh-highest incidence rate of cervical cancer globally, with nearly 7,000 new cases registered in 2023 and over 4,600 deaths. An estimated 5% or fewer of Ugandan women have ever been screened for the disease. A study conducted specifically in the Busoga region found that 7.6% of screening participants had precancerous lesions, with the highest positivity rates in Bugweri and Namayingo districts. Kigandalo Health Centre IV in Mayuge is the only cervical cancer screening centre for the entire district, offering screening just one day per week.</w:t>
      </w:r>
      <w:r w:rsidDel="00000000" w:rsidR="00000000" w:rsidRPr="00000000">
        <w:rPr>
          <w:rtl w:val="0"/>
        </w:rPr>
      </w:r>
    </w:p>
    <w:p w:rsidR="00000000" w:rsidDel="00000000" w:rsidP="00000000" w:rsidRDefault="00000000" w:rsidRPr="00000000" w14:paraId="00000040">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2.2.6 Gender-Based Violence (GBV)</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Nearly 60% of Ugandan women aged 15–49 have experienced physical or sexual intimate partner violence. A Uganda Bureau of Statistics Rapid Gender Assessment found that 76% of respondents believed GBV had increased during the COVID-19 pandemic. Women in Busoga face compounded vulnerabilities due to poverty, low education levels, cultural acceptance of domestic violence, and limited access to legal and psychosocial support services.</w:t>
      </w:r>
      <w:r w:rsidDel="00000000" w:rsidR="00000000" w:rsidRPr="00000000">
        <w:rPr>
          <w:rtl w:val="0"/>
        </w:rPr>
      </w:r>
    </w:p>
    <w:p w:rsidR="00000000" w:rsidDel="00000000" w:rsidP="00000000" w:rsidRDefault="00000000" w:rsidRPr="00000000" w14:paraId="00000042">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2.2.7 Mental Health and Psychosocial Wellbeing</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Research published in the International Journal of Qualitative Studies on Health and Well-being found that unmarried adolescent mothers in Busoga experience extreme stress, social exclusion, family rejection, and bereavement from school expulsion. Depressive symptoms and suicidal behaviour were reportedly not uncommon among this population. The Busoga region’s high rates of teenage pregnancy, combined with cultural stigma, create a compounded mental health crisis for young women.</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3. Strategic Framework</w:t>
      </w:r>
      <w:r w:rsidDel="00000000" w:rsidR="00000000" w:rsidRPr="00000000">
        <w:rPr>
          <w:rtl w:val="0"/>
        </w:rPr>
      </w:r>
    </w:p>
    <w:p w:rsidR="00000000" w:rsidDel="00000000" w:rsidP="00000000" w:rsidRDefault="00000000" w:rsidRPr="00000000" w14:paraId="00000046">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3.1 Vision</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333333"/>
          <w:sz w:val="26"/>
          <w:szCs w:val="26"/>
          <w:rtl w:val="0"/>
        </w:rPr>
        <w:t xml:space="preserve">A Busoga subregion where every girl and woman has access to quality health services, lives free from violence, and is empowered to reach her full potential.</w:t>
      </w:r>
      <w:r w:rsidDel="00000000" w:rsidR="00000000" w:rsidRPr="00000000">
        <w:rPr>
          <w:rtl w:val="0"/>
        </w:rPr>
      </w:r>
    </w:p>
    <w:p w:rsidR="00000000" w:rsidDel="00000000" w:rsidP="00000000" w:rsidRDefault="00000000" w:rsidRPr="00000000" w14:paraId="00000048">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3.2 Mission</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To deliver evidence-based health education, screening, and support services through schools, hospitals, and community outreaches that directly address the health challenges facing girls and women in Busoga.</w:t>
      </w:r>
      <w:r w:rsidDel="00000000" w:rsidR="00000000" w:rsidRPr="00000000">
        <w:rPr>
          <w:rtl w:val="0"/>
        </w:rPr>
      </w:r>
    </w:p>
    <w:p w:rsidR="00000000" w:rsidDel="00000000" w:rsidP="00000000" w:rsidRDefault="00000000" w:rsidRPr="00000000" w14:paraId="0000004A">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3.3 Core Pillars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6160"/>
        <w:tblGridChange w:id="0">
          <w:tblGrid>
            <w:gridCol w:w="600"/>
            <w:gridCol w:w="26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Pillar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Focus Areas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Sexual &amp; Reproductive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Teenage pregnancy prevention, contraceptive education, STI/HIV awareness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Menstrual Health &amp; Dignity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Pad distribution, reusable pad-making, WASH advocacy, MHM education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Maternal &amp; Child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Antenatal care promotion, safe delivery, postnatal follow-up, nutrition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Cancer Screening &amp; Prevention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Cervical cancer screening, breast self-examination training, HPV awareness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GBV Prevention &amp;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Community dialogues, male engagement, legal literacy, referral pathways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Mental Health &amp; Wellbeing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Psychosocial support, peer counselling, de-stigmatisation of mental health</w:t>
            </w:r>
            <w:r w:rsidDel="00000000" w:rsidR="00000000" w:rsidRPr="00000000">
              <w:rPr>
                <w:rtl w:val="0"/>
              </w:rPr>
            </w:r>
          </w:p>
        </w:tc>
      </w:tr>
    </w:tbl>
    <w:p w:rsidR="00000000" w:rsidDel="00000000" w:rsidP="00000000" w:rsidRDefault="00000000" w:rsidRPr="00000000" w14:paraId="00000060">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3.4 Target Districts (Phased Approach)</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Phase 1 (April–June 2026): Jinja City, Iganga, and Kamuli – these districts provide a mix of urban/peri-urban and rural populations and have established health infrastructure for partnership. Phase 2 (July–September 2026): Expansion to Mayuge, Bugiri, and Namayingo – districts identified as having particularly high cervical cancer positivity rates and teenage pregnancy burdens. Phase 3 (October–December 2026): Consolidation across all initial districts plus extension to Kaliro, Luuka, and Namutumba for broader subregional coverage.</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4. Detailed Activity Workplan: April – December 2026</w:t>
      </w:r>
      <w:r w:rsidDel="00000000" w:rsidR="00000000" w:rsidRPr="00000000">
        <w:rPr>
          <w:rtl w:val="0"/>
        </w:rPr>
      </w:r>
    </w:p>
    <w:p w:rsidR="00000000" w:rsidDel="00000000" w:rsidP="00000000" w:rsidRDefault="00000000" w:rsidRPr="00000000" w14:paraId="00000065">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4.1 Phase 1: Foundation and Launch (April – June 2026)</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Focus Districts: Jinja City, Iganga, Kamuli</w:t>
      </w:r>
      <w:r w:rsidDel="00000000" w:rsidR="00000000" w:rsidRPr="00000000">
        <w:rPr>
          <w:rtl w:val="0"/>
        </w:rPr>
      </w:r>
    </w:p>
    <w:p w:rsidR="00000000" w:rsidDel="00000000" w:rsidP="00000000" w:rsidRDefault="00000000" w:rsidRPr="00000000" w14:paraId="00000067">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A. School-Based Activities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Comprehensive Menstrual Health Education sessions in 30 secondary 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3,000 girls; 10 schools/month across 3 districts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28% school absenteeism due to menstruation; MHM knowledge gaps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Reduce menstrual-related absenteeism by 40% in target schools within 6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Reusable Sanitary Pad Making Workshops (training girls and female teachers)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1,500 girls and 90 teachers in 30 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Financial barriers to sanitary products; dependency on commercial pads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Each participant produces 3 reusable pads; skill transferred to 3 peers 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May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Peer Education Training: Adolescent SRH Champions Programme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 peer educators (4 per school) trained across 30 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21% teenage childbearing rate; low contraceptive knowledge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Each peer educator reaches 25 peers; 3,000 additional students receive SRH information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May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School Health Club Establishment with focus on girls’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 clubs established, each with 40–50 members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Lack of sustained school-based health platforms; stigma around health topics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1,200–1,500 students actively engaged in health promotion weekly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2026</w:t>
            </w:r>
            <w:r w:rsidDel="00000000" w:rsidR="00000000" w:rsidRPr="00000000">
              <w:rPr>
                <w:rtl w:val="0"/>
              </w:rPr>
            </w:r>
          </w:p>
        </w:tc>
      </w:tr>
    </w:tbl>
    <w:p w:rsidR="00000000" w:rsidDel="00000000" w:rsidP="00000000" w:rsidRDefault="00000000" w:rsidRPr="00000000" w14:paraId="00000081">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B. Hospital/Health Facility-Based Activities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Cervical Cancer Screening Camps at HC IIIs and HC IVs (VIA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Screen 1,000 women aged 25–49; 2 camps/month in each district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Only 5% of women ever screened; 7.6% precancerous lesion rate in Busoga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1,000 women screened; early detection and referral for positive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Maternal Health Education at Antenatal Clinics (ANC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2,000 expectant mothers across 6 health facilities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93/100,000 institutional maternal mortality; low ANC completion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Improve ANC 4+ completion rate; educate on danger signs, birth preparedness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Training of Village Health Teams (VHTs) on SRH, MHM, and GBV referral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90 VHTs (30 per district) trained in 3-day workshops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Low contraceptive uptake linked to poor VHT interaction; weak referral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Each VHT reaches 50 households; 4,500 households receive improved health outreach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May 2026</w:t>
            </w:r>
            <w:r w:rsidDel="00000000" w:rsidR="00000000" w:rsidRPr="00000000">
              <w:rPr>
                <w:rtl w:val="0"/>
              </w:rPr>
            </w:r>
          </w:p>
        </w:tc>
      </w:tr>
    </w:tbl>
    <w:p w:rsidR="00000000" w:rsidDel="00000000" w:rsidP="00000000" w:rsidRDefault="00000000" w:rsidRPr="00000000" w14:paraId="00000097">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C. Community Outreach Activities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Community Dialogue Sessions on Teenage Pregnancy and Early Marriage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 sessions (6 per district); 100 participants each including men, parents, leaders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Cultural norms promoting early marriage; 21% teenage childbearing in Busoga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1,800 community members engaged in norm change; increased reporting of child marriage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GBV Awareness and Legal Literacy Campaigns (markets, churches, community centres)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 campaigns (4 per district); targeting 2,400 people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60% IPV prevalence; low legal awareness; normalisation of violence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Increase awareness of GBV laws; establish community referral networks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May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Radio Talk Shows on Women’s Health (local FM stations)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 one-hour shows (2 per month) on Busoga One FM, NBS Jinja,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Limited health information access in rural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Estimated 200,000+ listeners per show; mass awareness across all districts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April – June 2026</w:t>
            </w:r>
            <w:r w:rsidDel="00000000" w:rsidR="00000000" w:rsidRPr="00000000">
              <w:rPr>
                <w:rtl w:val="0"/>
              </w:rPr>
            </w:r>
          </w:p>
        </w:tc>
      </w:tr>
    </w:tbl>
    <w:p w:rsidR="00000000" w:rsidDel="00000000" w:rsidP="00000000" w:rsidRDefault="00000000" w:rsidRPr="00000000" w14:paraId="000000AD">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4.2 Phase 2: Expansion and Deepening (July – September 2026)</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Focus Districts: Adding Mayuge, Bugiri, Namayingo (continuing in Jinja, Iganga, Kamuli)</w:t>
      </w:r>
      <w:r w:rsidDel="00000000" w:rsidR="00000000" w:rsidRPr="00000000">
        <w:rPr>
          <w:rtl w:val="0"/>
        </w:rPr>
      </w:r>
    </w:p>
    <w:p w:rsidR="00000000" w:rsidDel="00000000" w:rsidP="00000000" w:rsidRDefault="00000000" w:rsidRPr="00000000" w14:paraId="000000B1">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A. School-Based Activities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Expand MHM Education and Pad Workshops to 30 additional schools in new districts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3,000 additional girls; 60 schools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Expanding coverage of MHM interventions to high-need rural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Cumulative 6,000 girls with improved MHM knowledge and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Sept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Life Skills and Sexual Reproductive Health Integration into School Curriculum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60 schools; training 120 teachers to integrate SRH into subjects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Inadequate SRH education in schools; reliance on one-off sessions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Sustainable, teacher-led SRH education reaching 12,000+ students annually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Aug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Inter-School Girls’ Health Debate and Essay Competitions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 competitions (1 per district) involving 360 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Low engagement and voice of girls on health issues; peer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360 students become vocal health advocates; winning essays published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August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WASH Facility Assessment and Advocacy for Girl-Friendly Toilets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Assessment of all 60 target schools; advocacy reports to district education offices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Inadequate sanitation facilities drive girls from school during menstruation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Concrete advocacy data to mobilise WASH improvements in 20+ 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2026</w:t>
            </w:r>
            <w:r w:rsidDel="00000000" w:rsidR="00000000" w:rsidRPr="00000000">
              <w:rPr>
                <w:rtl w:val="0"/>
              </w:rPr>
            </w:r>
          </w:p>
        </w:tc>
      </w:tr>
    </w:tbl>
    <w:p w:rsidR="00000000" w:rsidDel="00000000" w:rsidP="00000000" w:rsidRDefault="00000000" w:rsidRPr="00000000" w14:paraId="000000CB">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B. Hospital/Health Facility-Based Activities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Expanded Cervical and Breast Cancer Screening Outreaches at sub-county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Screen 2,000 additional women; include breast self-exam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7.6% precancerous lesion rate in Busoga; near-zero breast cancer screening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Cumulative 3,000 women screened; early breast cancer detection pilot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Sept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Adolescent-Friendly Health Corner Establishment in 6 health facilities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 corners (1 per district) with trained adolescent health providers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Youth avoidance of health facilities due to stigma and unfriendly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Increased youth attendance for SRH services; estimated 500 adolescents served/quarter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Aug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Psychosocial Support Groups for Adolescent Mothers at health centres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 groups (1 per district) of 20 mothers each; meeting fortnightly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Depression, social exclusion, and suicidal ideation among teen mothers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 adolescent mothers receive sustained peer and professional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Sept 2026</w:t>
            </w:r>
            <w:r w:rsidDel="00000000" w:rsidR="00000000" w:rsidRPr="00000000">
              <w:rPr>
                <w:rtl w:val="0"/>
              </w:rPr>
            </w:r>
          </w:p>
        </w:tc>
      </w:tr>
    </w:tbl>
    <w:p w:rsidR="00000000" w:rsidDel="00000000" w:rsidP="00000000" w:rsidRDefault="00000000" w:rsidRPr="00000000" w14:paraId="000000E1">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C. Community Outreach Activities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Male Engagement Forums: “Men as Partners in Women’s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 forums (2 per district); 600 men and boys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Spousal influence on contraceptive non-use; male dominance in health decisions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600 men become health allies; improved household health-seeking behaviour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Aug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Community Cancer Awareness Walks and Health Fairs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 events in Mayuge, Bugiri, and Namayingo; 500 participants 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Low cancer awareness and screening; misinformation about cervical cancer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1,500 people reached; increased screening demand at local health facilities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August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Continued Radio Programming and Social Media Campaign Launch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 additional radio shows; social media reaching 50,000+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Need for sustained, multi-channel awareness raising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Broader reach beyond physical outreach; youth engagement via digital platforms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July – Sept 2026</w:t>
            </w:r>
            <w:r w:rsidDel="00000000" w:rsidR="00000000" w:rsidRPr="00000000">
              <w:rPr>
                <w:rtl w:val="0"/>
              </w:rPr>
            </w:r>
          </w:p>
        </w:tc>
      </w:tr>
    </w:tbl>
    <w:p w:rsidR="00000000" w:rsidDel="00000000" w:rsidP="00000000" w:rsidRDefault="00000000" w:rsidRPr="00000000" w14:paraId="000000F7">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4.3 Phase 3: Consolidation and Sustainability (October – December 2026)</w:t>
      </w:r>
      <w:r w:rsidDel="00000000" w:rsidR="00000000" w:rsidRPr="00000000">
        <w:rPr>
          <w:rtl w:val="0"/>
        </w:rPr>
      </w:r>
    </w:p>
    <w:p w:rsidR="00000000" w:rsidDel="00000000" w:rsidP="00000000" w:rsidRDefault="00000000" w:rsidRPr="00000000" w14:paraId="000000F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Focus: All 9 districts plus Jinja City; sustainability planning; evaluation</w:t>
      </w:r>
      <w:r w:rsidDel="00000000" w:rsidR="00000000" w:rsidRPr="00000000">
        <w:rPr>
          <w:rtl w:val="0"/>
        </w:rPr>
      </w:r>
    </w:p>
    <w:p w:rsidR="00000000" w:rsidDel="00000000" w:rsidP="00000000" w:rsidRDefault="00000000" w:rsidRPr="00000000" w14:paraId="000000FB">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A. School-Based Activities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Extend to 30 additional schools in Kaliro, Luuka, Namutumba, Bugweri, Buyende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3,000 additional girls; 90 schools total across subregion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Ensuring subregion-wide coverage; reaching most remote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Cumulative 9,000 girls with improved MHM and SRH knowledge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Oct – Dec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End-of-Year Girls’ Health Summit (subregion-wide)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200 participants: students, teachers, health workers, district officials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Lack of coordination and shared learning across districts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Platform for showcasing impact, sharing best practices, and planning 2027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December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Sustainability Handover: Equipping School Health Clubs with resource kits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90 kits distributed (MHM materials, SRH flip charts, first aid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Activities stopping when NGO support ends; need for lasting resources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90 self-sustaining school health clubs operating beyond EHHI direct intervention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Nov – Dec 2026</w:t>
            </w:r>
            <w:r w:rsidDel="00000000" w:rsidR="00000000" w:rsidRPr="00000000">
              <w:rPr>
                <w:rtl w:val="0"/>
              </w:rPr>
            </w:r>
          </w:p>
        </w:tc>
      </w:tr>
    </w:tbl>
    <w:p w:rsidR="00000000" w:rsidDel="00000000" w:rsidP="00000000" w:rsidRDefault="00000000" w:rsidRPr="00000000" w14:paraId="00000110">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B. Hospital/Health Facility-Based Activities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Final Round of Cervical Cancer Screening and Treatment Referral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Screen 2,000 additional women; strong referral pathway to UCI/Mulago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Screening coverage gap; treatment delays due to distance and cost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Cumulative 5,000 women screened in 2026; referral network established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Oct – Nov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Maternal Mortality Audit Support and Health Worker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Training 60 midwives/nurses across 12 facilities on EmONC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93/100,000 maternal mortality rate; skills gaps among health workers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Improved emergency obstetric care quality; contribute to reducing maternal deaths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October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Mental Health First Aid Training for Health Workers and Teachers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 participants (health workers + teachers) in 4-day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Unrecognised depression and suicidal ideation among adolescent mothers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 frontline workers able to identify and refer mental health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Nov 2026</w:t>
            </w:r>
            <w:r w:rsidDel="00000000" w:rsidR="00000000" w:rsidRPr="00000000">
              <w:rPr>
                <w:rtl w:val="0"/>
              </w:rPr>
            </w:r>
          </w:p>
        </w:tc>
      </w:tr>
    </w:tbl>
    <w:p w:rsidR="00000000" w:rsidDel="00000000" w:rsidP="00000000" w:rsidRDefault="00000000" w:rsidRPr="00000000" w14:paraId="00000126">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pStyle w:val="Heading3"/>
        <w:spacing w:after="1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874a6"/>
          <w:sz w:val="28"/>
          <w:szCs w:val="28"/>
          <w:rtl w:val="0"/>
        </w:rPr>
        <w:t xml:space="preserve">C. Community Outreach Activities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&amp;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 Addressed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Expected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Timeline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16 Days of Activism Against GBV Campaign (November–December)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Large-scale campaign across all 9 districts; 5,000+ direct participants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60% IPV prevalence; need for sustained anti-violence advocacy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Subregion-wide visibility; increased GBV reporting to authorities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Nov – Dec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Establishment of Community Women’s Health Committees (sustainability structures)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 committees (2 per district) of 10 women 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Activities ending when project funding ends; need for community ownership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180 women leaders sustaining health promotion in their communities beyond 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Oct – Nov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End-of-Year Impact Report and Stakeholder Dissemination 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 event in Jinja; 150 stakeholders including donors, government, 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Accountability; evidence generation for future funding; learning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Published impact report; strengthened donor and government relationships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December 2026</w:t>
            </w:r>
            <w:r w:rsidDel="00000000" w:rsidR="00000000" w:rsidRPr="00000000">
              <w:rPr>
                <w:rtl w:val="0"/>
              </w:rPr>
            </w:r>
          </w:p>
        </w:tc>
      </w:tr>
    </w:tbl>
    <w:p w:rsidR="00000000" w:rsidDel="00000000" w:rsidP="00000000" w:rsidRDefault="00000000" w:rsidRPr="00000000" w14:paraId="0000013C">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5. Impact Framework: How Activities Address Key Challenges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Root Causes in Busoga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EHHI Intervention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Measurable Impact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Teenage Pregnancy (21% in 15–19 age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Low SRH knowledge; cultural norms; poverty; limited contraceptive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Peer education; school health clubs; community dialogues; radio shows; VHT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Reach 9,000 girls with SRH education; train 120 peer educators; engage 1,800 community members in norm-change dialogues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Menstrual-Related School Absenteeism (28%)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Lack of sanitary products; poor WASH facilities; stigma; inadequate MHM 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MHM education in 90 schools; reusable pad workshops; WASH assessments; school health kits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Reduce menstrual absenteeism by 40% in target schools; 4,500 girls trained in pad-making; WASH advocacy reports for 60+ schools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Maternal Mortality (93/100,000)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Poor ANC attendance; skills gaps; broken referral systems; poverty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ANC education for 2,000 mothers; midwife EmONC training; VHT household visits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Improve ANC 4+ attendance in target facilities; 60 health workers with upgraded skills; 4,500 households receiving health education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Cervical Cancer (5% screening rate; 7.6% lesion positivity)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One screening centre per district; misinformation; distance to facilities; stigma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Mobile screening camps; community awareness walks; peer advocacy; radio 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 women screened; all positive cases referred for treatment; cancer awareness reaches 200,000+ via radio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Gender-Based Violence (60% IPV prevalence)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Cultural normalisation; poverty; alcohol; low legal awareness; weak enforcement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GBV legal literacy campaigns; male engagement forums; 16 Days of Activism; referral networks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 people reached through GBV campaigns; 600 men engaged as allies; community referral pathways in all 9 districts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Mental Health Crisis Among Teen Mothers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Social exclusion; family rejection; school expulsion; cultural stigma; no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Psychosocial support groups; mental health first aid training; adolescent-friendly health corners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 adolescent mothers in support groups; 120 health workers/teachers trained in mental health first aid; 6 adolescent-friendly health corners</w:t>
            </w:r>
            <w:r w:rsidDel="00000000" w:rsidR="00000000" w:rsidRPr="00000000">
              <w:rPr>
                <w:rtl w:val="0"/>
              </w:rPr>
            </w:r>
          </w:p>
        </w:tc>
      </w:tr>
    </w:tbl>
    <w:p w:rsidR="00000000" w:rsidDel="00000000" w:rsidP="00000000" w:rsidRDefault="00000000" w:rsidRPr="00000000" w14:paraId="0000015B">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6. Indicative Budget (April – December 2026)</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6"/>
          <w:szCs w:val="26"/>
        </w:rPr>
      </w:pPr>
      <w:sdt>
        <w:sdtPr>
          <w:id w:val="-2084538234"/>
          <w:tag w:val="goog_rdk_0"/>
        </w:sdtPr>
        <w:sdtContent>
          <w:r w:rsidDel="00000000" w:rsidR="00000000" w:rsidRPr="00000000">
            <w:rPr>
              <w:rFonts w:ascii="Gungsuh" w:cs="Gungsuh" w:eastAsia="Gungsuh" w:hAnsi="Gungsuh"/>
              <w:i w:val="0"/>
              <w:iCs w:val="0"/>
              <w:color w:val="333333"/>
              <w:sz w:val="26"/>
              <w:szCs w:val="26"/>
              <w:rtl w:val="0"/>
            </w:rPr>
            <w:t xml:space="preserve">All figures are in Ugandan Shillings (UGX). Exchange rate reference: 1 USD ≈ 3,800 UGX.</w:t>
          </w:r>
        </w:sdtContent>
      </w:sdt>
      <w:r w:rsidDel="00000000" w:rsidR="00000000" w:rsidRPr="00000000">
        <w:rPr>
          <w:rtl w:val="0"/>
        </w:rPr>
      </w:r>
    </w:p>
    <w:p w:rsidR="00000000" w:rsidDel="00000000" w:rsidP="00000000" w:rsidRDefault="00000000" w:rsidRPr="00000000" w14:paraId="0000015F">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6.1 Summary Budget by Programme Area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60"/>
        <w:gridCol w:w="1400"/>
        <w:gridCol w:w="1400"/>
        <w:gridCol w:w="1400"/>
        <w:gridCol w:w="1400"/>
        <w:tblGridChange w:id="0">
          <w:tblGrid>
            <w:gridCol w:w="500"/>
            <w:gridCol w:w="3260"/>
            <w:gridCol w:w="1400"/>
            <w:gridCol w:w="1400"/>
            <w:gridCol w:w="14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Budget 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Phase 1 (UGX)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Phase 2 (UGX)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Phase 3 (UGX)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Total (UGX)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School-Based Programmes (MHM, SRH education, peer training, health clubs, competitions, kits)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42,000,000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135,000,000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Hospital/Health Facility Programmes (cancer screening, ANC, VHT training, adolescent corners, mental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42,000,000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125,000,000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Community Outreach Programmes (dialogues, GBV campaigns, radio, health fairs, male engagement, 16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40,000,000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105,000,000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Personnel (Programme Manager, 3 Field Officers, M&amp;E Officer, Finance/Admin)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54,000,000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Transport and Logistics (fuel, vehicle hire, field supplies)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8,000,000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10,000,000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10,000,000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28,000,000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Monitoring, Evaluation and Learning (data collection, baseline/endline surveys, reporting)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4,000,000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15,200,000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Office Operations and Administration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15,000,000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Contingency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3,300,000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3,700,000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10,000,000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6">
            <w:pPr>
              <w:jc w:val="left"/>
              <w:rPr>
                <w:rFonts w:ascii="Times New Roman" w:cs="Times New Roman" w:eastAsia="Times New Roman" w:hAnsi="Times New Roman"/>
                <w:sz w:val="26"/>
                <w:szCs w:val="26"/>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60.0" w:type="dxa"/>
              <w:left w:w="100.0" w:type="dxa"/>
              <w:bottom w:w="60.0" w:type="dxa"/>
              <w:right w:w="100.0" w:type="dxa"/>
            </w:tcMar>
          </w:tcPr>
          <w:p w:rsidR="00000000" w:rsidDel="00000000" w:rsidP="00000000" w:rsidRDefault="00000000" w:rsidRPr="00000000" w14:paraId="0000019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GRAND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60.0" w:type="dxa"/>
              <w:left w:w="100.0" w:type="dxa"/>
              <w:bottom w:w="60.0" w:type="dxa"/>
              <w:right w:w="100.0" w:type="dxa"/>
            </w:tcMar>
          </w:tcPr>
          <w:p w:rsidR="00000000" w:rsidDel="00000000" w:rsidP="00000000" w:rsidRDefault="00000000" w:rsidRPr="00000000" w14:paraId="0000019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149,000,000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60.0" w:type="dxa"/>
              <w:left w:w="100.0" w:type="dxa"/>
              <w:bottom w:w="60.0" w:type="dxa"/>
              <w:right w:w="100.0" w:type="dxa"/>
            </w:tcMar>
          </w:tcPr>
          <w:p w:rsidR="00000000" w:rsidDel="00000000" w:rsidP="00000000" w:rsidRDefault="00000000" w:rsidRPr="00000000" w14:paraId="0000019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168,300,000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60.0" w:type="dxa"/>
              <w:left w:w="100.0" w:type="dxa"/>
              <w:bottom w:w="60.0" w:type="dxa"/>
              <w:right w:w="100.0" w:type="dxa"/>
            </w:tcMar>
          </w:tcPr>
          <w:p w:rsidR="00000000" w:rsidDel="00000000" w:rsidP="00000000" w:rsidRDefault="00000000" w:rsidRPr="00000000" w14:paraId="0000019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169,900,000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60.0" w:type="dxa"/>
              <w:left w:w="100.0" w:type="dxa"/>
              <w:bottom w:w="60.0" w:type="dxa"/>
              <w:right w:w="100.0" w:type="dxa"/>
            </w:tcMar>
          </w:tcPr>
          <w:p w:rsidR="00000000" w:rsidDel="00000000" w:rsidP="00000000" w:rsidRDefault="00000000" w:rsidRPr="00000000" w14:paraId="0000019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33333"/>
                <w:sz w:val="24"/>
                <w:szCs w:val="24"/>
                <w:rtl w:val="0"/>
              </w:rPr>
              <w:t xml:space="preserve">487,200,000</w:t>
            </w:r>
            <w:r w:rsidDel="00000000" w:rsidR="00000000" w:rsidRPr="00000000">
              <w:rPr>
                <w:rtl w:val="0"/>
              </w:rPr>
            </w:r>
          </w:p>
        </w:tc>
      </w:tr>
    </w:tbl>
    <w:p w:rsidR="00000000" w:rsidDel="00000000" w:rsidP="00000000" w:rsidRDefault="00000000" w:rsidRPr="00000000" w14:paraId="0000019C">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333333"/>
          <w:sz w:val="26"/>
          <w:szCs w:val="26"/>
          <w:rtl w:val="0"/>
        </w:rPr>
        <w:t xml:space="preserve">Grand Total: UGX 487,200,000 (approximately USD 128,200 at UGX 3,800/USD)</w:t>
      </w:r>
      <w:r w:rsidDel="00000000" w:rsidR="00000000" w:rsidRPr="00000000">
        <w:rPr>
          <w:rtl w:val="0"/>
        </w:rPr>
      </w:r>
    </w:p>
    <w:p w:rsidR="00000000" w:rsidDel="00000000" w:rsidP="00000000" w:rsidRDefault="00000000" w:rsidRPr="00000000" w14:paraId="0000019E">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6.2 Detailed Budget Notes</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School-Based Programmes include costs for facilitator allowances, training materials, sanitary pad-making kits (fabric, needles, thread), printing of IEC materials, prizes for competitions, and school health club resource kits. Hospital/Health Facility Programmes cover VIA screening supplies (acetic acid, speculums, examination gloves), referral transport support, training venue costs, mental health training materials, and adolescent health corner furnishing. Community Outreach Programmes include radio airtime purchases, public address systems, venue hire, refreshments for dialogue participants, IEC materials, and 16 Days of Activism campaign materials (banners, T-shirts, flyers). Personnel costs are based on market rates for NGO staff in Eastern Uganda, with the Programme Manager at UGX 3,000,000/month, Field Officers at UGX 1,500,000/month each, and other staff at similar grades.</w:t>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7. Resource Mobilisation Strategy</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As a five-month-old organisation, EHHI must pursue a diversified and creative approach to resource mobilisation. The following strategies are recommended:</w:t>
      </w:r>
      <w:r w:rsidDel="00000000" w:rsidR="00000000" w:rsidRPr="00000000">
        <w:rPr>
          <w:rtl w:val="0"/>
        </w:rPr>
      </w:r>
    </w:p>
    <w:p w:rsidR="00000000" w:rsidDel="00000000" w:rsidP="00000000" w:rsidRDefault="00000000" w:rsidRPr="00000000" w14:paraId="000001A3">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7.1 Grant Funding from International Donors and Foundations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Potential Donor/Fund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Focus Area Match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Estimated 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Approach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UNFPA Uganda Small Grants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SRH, teenage pregnancy, family planning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UGX 50–80 million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Submit concept note through district health office partnership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Global Fund Community, Rights and Gender (CRG)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HIV/SRH, community health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UGX 40–60 million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Partner with existing Global Fund sub-recipients in Busoga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UN Women Fund for Gender Equality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GBV prevention, women’s empowerment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UGX 30–50 million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Apply through open calls; demonstrate community-led approach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Amplify Change / IPPF Small Grants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SRHR advocacy, youth engagement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UGX 20–40 million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Online application; emphasise youth-led components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Comic Relief / Sport Relief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Women’s health, GBV, girls’ 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UGX 30–50 million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Partnership application with UK-based organisation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USAID (via local implementing partners)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Maternal health, HIV, health systems strengthening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Sub-grant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Approach USAID-funded projects (e.g., RHITES-EC) as a sub-grantee</w:t>
            </w:r>
            <w:r w:rsidDel="00000000" w:rsidR="00000000" w:rsidRPr="00000000">
              <w:rPr>
                <w:rtl w:val="0"/>
              </w:rPr>
            </w:r>
          </w:p>
        </w:tc>
      </w:tr>
    </w:tbl>
    <w:p w:rsidR="00000000" w:rsidDel="00000000" w:rsidP="00000000" w:rsidRDefault="00000000" w:rsidRPr="00000000" w14:paraId="000001C0">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7.2 Government and Local Authority Partnerships</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EHHI should pursue formal Memoranda of Understanding (MoUs) with District Health Offices in all target districts. District Health Officers can provide in-kind support such as VIA screening supplies, health worker time, and venue access. The Ministry of Health’s Reproductive Health Division and the Ministry of Education’s School Health Programme are potential co-implementation partners. EHHI should also engage with the Busoga Kingdom structures, as the Kyabazinga’s office has historically supported development and health initiatives in the region, which can lend legitimacy and community access.</w:t>
      </w:r>
      <w:r w:rsidDel="00000000" w:rsidR="00000000" w:rsidRPr="00000000">
        <w:rPr>
          <w:rtl w:val="0"/>
        </w:rPr>
      </w:r>
    </w:p>
    <w:p w:rsidR="00000000" w:rsidDel="00000000" w:rsidP="00000000" w:rsidRDefault="00000000" w:rsidRPr="00000000" w14:paraId="000001C3">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7.3 Corporate Social Responsibility (CSR) and Private Sector Engagement</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Jinja City hosts several private sector entities, including manufacturing firms, telecommunications companies, and financial institutions. EHHI should approach companies such as MTN Uganda, Airtel Uganda, Nile Breweries (based in Jinja), Stanbic Bank, and Centenary Bank for CSR funding or in-kind support. Specific asks could include sponsorship of the 16 Days of Activism campaign, menstrual pad distribution drives, radio show sponsorship, or provision of branded health education materials.</w:t>
      </w:r>
      <w:r w:rsidDel="00000000" w:rsidR="00000000" w:rsidRPr="00000000">
        <w:rPr>
          <w:rtl w:val="0"/>
        </w:rPr>
      </w:r>
    </w:p>
    <w:p w:rsidR="00000000" w:rsidDel="00000000" w:rsidP="00000000" w:rsidRDefault="00000000" w:rsidRPr="00000000" w14:paraId="000001C5">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7.4 Individual Giving, Crowdfunding, and Diaspora Engagement</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EHHI should establish an online donation platform (e.g., through GoFundMe, GiveSendGo, or a dedicated website) targeting the Ugandan diaspora and international supporters. Telling compelling stories of girls and women impacted by EHHI’s work, with their consent, is the most powerful fundraising tool. A “Sponsor a Girl’s Health Kit” campaign could set a donation target of UGX 50,000 (approximately USD 13) per kit, making it accessible for individual donors.</w:t>
      </w:r>
      <w:r w:rsidDel="00000000" w:rsidR="00000000" w:rsidRPr="00000000">
        <w:rPr>
          <w:rtl w:val="0"/>
        </w:rPr>
      </w:r>
    </w:p>
    <w:p w:rsidR="00000000" w:rsidDel="00000000" w:rsidP="00000000" w:rsidRDefault="00000000" w:rsidRPr="00000000" w14:paraId="000001C7">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7.5 Social Enterprise and Income-Generating Activities</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EHHI can generate revenue through the production and sale of reusable sanitary pads, with girls trained in workshops becoming producers. Partnership with local tailoring cooperatives can create a sustainable supply chain. Revenue from pad sales can be reinvested into programme activities. Additionally, EHHI can offer paid training services on MHM, SRH facilitation, and GBV response to other organisations, schools, and local governments.</w:t>
      </w:r>
      <w:r w:rsidDel="00000000" w:rsidR="00000000" w:rsidRPr="00000000">
        <w:rPr>
          <w:rtl w:val="0"/>
        </w:rPr>
      </w:r>
    </w:p>
    <w:p w:rsidR="00000000" w:rsidDel="00000000" w:rsidP="00000000" w:rsidRDefault="00000000" w:rsidRPr="00000000" w14:paraId="000001C9">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7.6 In-Kind Resource Mobilisation</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Many activities can be delivered at reduced cost through in-kind contributions. These include free radio airtime from local FM stations during off-peak hours, volunteer facilitators from medical and nursing schools (Jinja School of Nursing, Busitema University Faculty of Health Sciences), donated sanitary products from manufacturers, free venue use from churches, mosques, and community halls, and pro-bono legal support from Uganda Law Society members for GBV legal literacy sessions.</w:t>
      </w:r>
      <w:r w:rsidDel="00000000" w:rsidR="00000000" w:rsidRPr="00000000">
        <w:rPr>
          <w:rtl w:val="0"/>
        </w:rPr>
      </w:r>
    </w:p>
    <w:p w:rsidR="00000000" w:rsidDel="00000000" w:rsidP="00000000" w:rsidRDefault="00000000" w:rsidRPr="00000000" w14:paraId="000001CB">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7.7 Phased Funding Approach</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Given EHHI’s early stage, a phased funding approach is recommended. Phase 1 (UGX 149 million) should be targeted through a combination of one anchor grant (UGX 50–80 million), CSR partnerships (UGX 20–30 million), individual giving (UGX 10–20 million), and in-kind contributions (UGX 20–40 million equivalent). Successful Phase 1 delivery with documented impact will significantly strengthen proposals for Phase 2 and 3 funding.</w:t>
      </w: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8. Monitoring, Evaluation, and Learning (MEL) Framework</w:t>
      </w:r>
      <w:r w:rsidDel="00000000" w:rsidR="00000000" w:rsidRPr="00000000">
        <w:rPr>
          <w:rtl w:val="0"/>
        </w:rPr>
      </w:r>
    </w:p>
    <w:p w:rsidR="00000000" w:rsidDel="00000000" w:rsidP="00000000" w:rsidRDefault="00000000" w:rsidRPr="00000000" w14:paraId="000001CF">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8.1 Key Performance Indicators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00"/>
        <w:gridCol w:w="1300"/>
        <w:gridCol w:w="1300"/>
        <w:gridCol w:w="2660"/>
        <w:tblGridChange w:id="0">
          <w:tblGrid>
            <w:gridCol w:w="2800"/>
            <w:gridCol w:w="1300"/>
            <w:gridCol w:w="1300"/>
            <w:gridCol w:w="1300"/>
            <w:gridCol w:w="2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Indicator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Target (Dec 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D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Data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1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Frequency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girls reached with MHM 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Activity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Monthly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 reduction in menstrual-related school absenteeism in target 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17% (40% reduction)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School register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Termly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women screened for cervical cancer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Screening registers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Monthly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peer educators trained and 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Training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Quarterly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VHTs trained on SRH, MHM, and GBV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Training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After each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men engaged in male engagement forums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Attendance registers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Monthly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adolescent mothers in psychosocial support groups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Group registers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Quarterly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Number of community dialogues conducted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Activity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Monthly</w:t>
            </w:r>
            <w:r w:rsidDel="00000000" w:rsidR="00000000" w:rsidRPr="00000000">
              <w:rPr>
                <w:rtl w:val="0"/>
              </w:rPr>
            </w:r>
          </w:p>
        </w:tc>
      </w:tr>
    </w:tbl>
    <w:p w:rsidR="00000000" w:rsidDel="00000000" w:rsidP="00000000" w:rsidRDefault="00000000" w:rsidRPr="00000000" w14:paraId="000001FD">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pStyle w:val="Heading2"/>
        <w:spacing w:after="12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e86c1"/>
          <w:sz w:val="30"/>
          <w:szCs w:val="30"/>
          <w:rtl w:val="0"/>
        </w:rPr>
        <w:t xml:space="preserve">8.2 MEL Activities</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A baseline survey will be conducted in April 2026 in the first three target districts, covering knowledge, attitudes, and practices related to SRH, MHM, GBV, and cancer screening. A midline review will take place in August 2026, and an endline survey in December 2026 to measure change. Routine monitoring will use standardised data collection tools, with Field Officers submitting monthly activity reports. An M&amp;E Officer will compile quarterly reports with analysis of trends and course corrections. All data will be disaggregated by age, district, and school/community type. A Most Significant Change (MSC) qualitative approach will capture stories of transformation from beneficiaries.</w:t>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9. Risk Management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2480"/>
        <w:gridCol w:w="2480"/>
        <w:tblGridChange w:id="0">
          <w:tblGrid>
            <w:gridCol w:w="2000"/>
            <w:gridCol w:w="1200"/>
            <w:gridCol w:w="1200"/>
            <w:gridCol w:w="2480"/>
            <w:gridCol w:w="24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2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2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Likelihood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2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2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Mitigation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5276" w:val="clear"/>
            <w:tcMar>
              <w:top w:w="60.0" w:type="dxa"/>
              <w:left w:w="100.0" w:type="dxa"/>
              <w:bottom w:w="60.0" w:type="dxa"/>
              <w:right w:w="100.0" w:type="dxa"/>
            </w:tcMar>
            <w:vAlign w:val="center"/>
          </w:tcPr>
          <w:p w:rsidR="00000000" w:rsidDel="00000000" w:rsidP="00000000" w:rsidRDefault="00000000" w:rsidRPr="00000000" w14:paraId="000002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4"/>
                <w:szCs w:val="24"/>
                <w:rtl w:val="0"/>
              </w:rPr>
              <w:t xml:space="preserve">Responsible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Funding shortfall or delays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c0392b"/>
                <w:sz w:val="24"/>
                <w:szCs w:val="24"/>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Diversified funding strategy; phased implementation; in-kind partnerships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Programme Manager / 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Community resistance to SRH topics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7e22"/>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Early engagement with cultural and religious leaders; male involvement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Field Officers / Community Liaison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Low turnout at screening camps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7e22"/>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Peer advocacy model; VHT mobilisation; incentivise with integrated health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Field Officers / Health Partners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Staff turnover in a young organisation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7e22"/>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Competitive compensation; professional development; clear career progression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Programme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Political instability or election disruptions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7ae60"/>
                <w:sz w:val="24"/>
                <w:szCs w:val="24"/>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Maintain political neutrality; flexible scheduling; strong community ownership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All Staff / 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Data quality issues in M&amp;E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67e22"/>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Standardised tools; regular data quality audits; M&amp;E Officer oversight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4"/>
                <w:szCs w:val="24"/>
                <w:rtl w:val="0"/>
              </w:rPr>
              <w:t xml:space="preserve">M&amp;E Officer</w:t>
            </w:r>
            <w:r w:rsidDel="00000000" w:rsidR="00000000" w:rsidRPr="00000000">
              <w:rPr>
                <w:rtl w:val="0"/>
              </w:rPr>
            </w:r>
          </w:p>
        </w:tc>
      </w:tr>
    </w:tbl>
    <w:p w:rsidR="00000000" w:rsidDel="00000000" w:rsidP="00000000" w:rsidRDefault="00000000" w:rsidRPr="00000000" w14:paraId="00000225">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pBdr>
          <w:bottom w:color="1a5276" w:space="4" w:sz="4" w:val="single"/>
        </w:pBdr>
        <w:spacing w:after="200" w:befor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5276"/>
          <w:sz w:val="34"/>
          <w:szCs w:val="34"/>
          <w:rtl w:val="0"/>
        </w:rPr>
        <w:t xml:space="preserve">10. References</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 Uganda Bureau of Statistics (UBOS). National Population and Housing Census 2024: Preliminary Results. Kampala: UBOS, 2024.</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2. Uganda Bureau of Statistics (UBOS) and ICF. Uganda Demographic and Health Survey 2016. Kampala, Uganda and Rockville, Maryland, USA: UBOS and ICF, 2018.</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3. Uganda Bureau of Statistics (UBOS). 2022 Uganda Demographic and Health Survey. Kampala: UBOS, 2023.</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4. Ministry of Health, Uganda. Annual Health Sector Performance Report 2023/2024. Kampala: MoH, 2024.</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5. Guttmacher Institute. Young People’s Access to Sexual and Reproductive Health Services in Uganda: Understanding Barriers and Facilitators. New York: Guttmacher Institute, 2025.</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6. Contraception and Reproductive Medicine. Non-utilization of modern contraceptives among sexually active adolescent girls and young women aged 10–24 years in selected districts of Busoga region, Eastern Uganda: a cross-sectional study. BioMed Central, 2025.</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7. Webb, L. et al. Psychosocial health in adolescent unmarried motherhood in rural Uganda. International Journal of Qualitative Studies on Health and Well-being, PMC, 2023.</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8. Amref Health Africa in Uganda. Menstrual Hygiene Day 2024: Why Menstrual Hygiene is Now a Global Priority. Kampala: Amref, 2024.</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9. Baisley, K. et al. Menstrual health and school absenteeism among adolescent girls in Uganda (MENISCUS). BMC Women’s Health, 2018.</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10. Ongom, M. et al. Uptake of Cervical Cancer Screening and Associated Factors among Women in Rural Uganda. PLOS ONE, 2016.</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11. openDemocracy. Ugandan cervical cancer cases driven by patriarchal violence and misinformation. February 2025.</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12. Wanyenze, R.K. et al. Effects of a peer advocacy intervention on cervical cancer screening among social network members: results of a randomized controlled trial in Uganda. PMC, 2023.</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13. ecancer. The regional cancer spectrum in Uganda: a population-based cancer survey by sub-regions (2017–2020). 2024.</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14. BMC Public Health. Vulnerability to violence against women or girls during COVID-19 in Uganda. Springer Nature, 2023.</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15. PMC. Determinants of age at first sex inequality between women and men youth in Uganda: A decomposition analysis. 2023.</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16. WHO Regional Office for Africa. A second chance for mothers and children in Busoga. 2024.</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17. UNAIDS. Global HIV &amp; AIDS Statistics – 2025 Fact Sheet. Geneva: UNAIDS, 2025.</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18. Project Have Hope. Women’s Issues in Uganda. 2024.</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333333"/>
          <w:sz w:val="26"/>
          <w:szCs w:val="26"/>
          <w:rtl w:val="0"/>
        </w:rPr>
        <w:t xml:space="preserve">19. Ministry of Education and Sports, Uganda. Menstrual Health Guidelines for Schools. Kampala: MoES, 2024.</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pBdr>
          <w:top w:color="1a5276" w:space="8" w:sz="4" w:val="single"/>
        </w:pBdr>
        <w:spacing w:before="4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END OF WORKPLAN</w:t>
      </w:r>
      <w:r w:rsidDel="00000000" w:rsidR="00000000" w:rsidRPr="00000000">
        <w:rPr>
          <w:rtl w:val="0"/>
        </w:rPr>
      </w:r>
    </w:p>
    <w:p w:rsidR="00000000" w:rsidDel="00000000" w:rsidP="00000000" w:rsidRDefault="00000000" w:rsidRPr="00000000" w14:paraId="0000023E">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999999"/>
          <w:sz w:val="24"/>
          <w:szCs w:val="24"/>
          <w:rtl w:val="0"/>
        </w:rPr>
        <w:t xml:space="preserve">Empower Her Health Initiative-EHHI • Busoga Subregion, Uganda • 2026</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center"/>
      <w:rPr/>
    </w:pPr>
    <w:r w:rsidDel="00000000" w:rsidR="00000000" w:rsidRPr="00000000">
      <w:rPr>
        <w:rFonts w:ascii="Arial" w:cs="Arial" w:eastAsia="Arial" w:hAnsi="Arial"/>
        <w:color w:val="999999"/>
        <w:sz w:val="16"/>
        <w:szCs w:val="16"/>
        <w:rtl w:val="0"/>
      </w:rPr>
      <w:t xml:space="preserve">Empower Her Health Initiative-EHHI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bottom w:color="cccccc" w:space="4" w:sz="4" w:val="single"/>
      </w:pBdr>
      <w:tabs>
        <w:tab w:val="right" w:leader="none" w:pos="9026"/>
      </w:tabs>
      <w:rPr/>
    </w:pPr>
    <w:r w:rsidDel="00000000" w:rsidR="00000000" w:rsidRPr="00000000">
      <w:rPr>
        <w:rFonts w:ascii="Arial" w:cs="Arial" w:eastAsia="Arial" w:hAnsi="Arial"/>
        <w:i w:val="1"/>
        <w:iCs w:val="1"/>
        <w:color w:val="999999"/>
        <w:sz w:val="16"/>
        <w:szCs w:val="16"/>
        <w:rtl w:val="0"/>
      </w:rPr>
      <w:t xml:space="preserve">EHHI Strategic Workplan 2026 Busoga Subregion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874a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0IVHFy6VW4hSWf/wdiyHKRMfg==">CgMxLjAaJQoBMBIgCh4IB0IaCg9UaW1lcyBOZXcgUm9tYW4SB0d1bmdzdWg4AHIhMS14X3ppbWZFanV4anVCZHBzNEREZEFJYVdsNkxjVndq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