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Rainbow’s End explores discovery as a transformative journey for individuals.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Analyse the connection between land, heritage, and cultural identity in Rainbow’s End, focusing on how the characters' relationships with the land shape their sense of self.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“Maybe that’s why it’s good, it’s true” Sunset Boulevard shows that</w:t>
        <w:br/>
        <w:br/>
      </w:r>
      <w:r w:rsidR="00EC1345">
        <w:rPr>
          <w:color w:val="231F21"/>
          <w:w w:val="105"/>
          <w:sz w:val="21"/>
        </w:rPr>
      </w:r>
      <w:r>
        <w:t>the truth, however ordinary or painful, is what matters. Do you agree?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“There’s nothing tragic about being 50, not unless</w:t>
        <w:br/>
        <w:br/>
      </w:r>
      <w:r w:rsidR="00B47520">
        <w:rPr>
          <w:color w:val="231F21"/>
          <w:w w:val="105"/>
          <w:sz w:val="21"/>
        </w:rPr>
      </w:r>
      <w:r>
        <w:t>you try to be 25”. Sunset boulevard is about the</w:t>
      </w:r>
      <w:r>
        <w:t>need to face reality. Do you agree?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Other Side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"Growth begins where</w:t>
        <w:br/>
      </w:r>
      <w:r>
        <w:t>comfort ends."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145960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96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I looked back only once – then I stepped</w:t>
        <w:br/>
      </w:r>
      <w:r>
        <w:t>into the unknown with quiet resolve.'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