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Analyse how different attitudes or perspectives are communicated through the construction of voices in Rainbow’s End.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’The dream sequences in Rainbow’s End are the characters’ only escape from the depressing reality of life.’ Discuss.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In Billy Wilder’s Sunset Boulevard</w:t>
        <w:br/>
        <w:br/>
      </w:r>
      <w:r w:rsidR="00EC1345">
        <w:rPr>
          <w:color w:val="231F21"/>
          <w:w w:val="105"/>
          <w:sz w:val="21"/>
        </w:rPr>
      </w:r>
      <w:r>
        <w:t>things are never what they seem. Discuss.</w:t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“I felt trapped like the cigarette in the contraption</w:t>
        <w:br/>
      </w:r>
      <w:r w:rsidR="00B47520">
        <w:rPr>
          <w:color w:val="231F21"/>
          <w:w w:val="105"/>
          <w:sz w:val="21"/>
        </w:rPr>
      </w:r>
      <w:r>
        <w:t>on her finger”. Sunset Boulevard is concerned with entrapment. Do you agree?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The Other Side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"Growth begins where</w:t>
        <w:br/>
      </w:r>
      <w:r>
        <w:t>comfort ends."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145960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96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I looked back only once – then I stepped</w:t>
        <w:br/>
      </w:r>
      <w:r>
        <w:t>into the unknown with quiet resolve.'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6012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40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0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588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