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libri" w:hAnsi="Calibri"/>
        </w:rPr>
      </w:pPr>
      <w:r>
        <w:rPr>
          <w:rFonts w:eastAsia="Times New Roman" w:cs="Calibri" w:cstheme="minorHAnsi"/>
          <w:b/>
          <w:bCs/>
          <w:color w:val="000000" w:themeColor="text1"/>
          <w:sz w:val="28"/>
          <w:szCs w:val="24"/>
          <w:lang w:val="lv-LV"/>
        </w:rPr>
        <w:t>SARS-CoV-2 sekvencēšanas rezultātu pārskats</w:t>
      </w:r>
    </w:p>
    <w:p>
      <w:pPr>
        <w:pStyle w:val="Normal"/>
        <w:jc w:val="center"/>
        <w:rPr>
          <w:rFonts w:ascii="Calibri" w:hAnsi="Calibri" w:eastAsia="Times New Roman" w:cs="Calibri" w:cstheme="minorHAnsi"/>
          <w:b/>
          <w:b/>
          <w:bCs/>
          <w:color w:val="000000" w:themeColor="text1"/>
          <w:sz w:val="28"/>
          <w:szCs w:val="24"/>
          <w:lang w:val="lv-LV"/>
        </w:rPr>
      </w:pPr>
      <w:r>
        <w:rPr>
          <w:rFonts w:eastAsia="Times New Roman" w:cs="Calibri" w:cstheme="minorHAnsi"/>
          <w:b/>
          <w:bCs/>
          <w:color w:val="000000" w:themeColor="text1"/>
          <w:sz w:val="28"/>
          <w:szCs w:val="24"/>
          <w:lang w:val="lv-LV"/>
        </w:rPr>
      </w:r>
    </w:p>
    <w:p>
      <w:pPr>
        <w:pStyle w:val="Normal"/>
        <w:spacing w:lineRule="auto" w:line="360" w:before="0" w:after="0"/>
        <w:rPr/>
      </w:pPr>
      <w:r>
        <w:rPr>
          <w:rFonts w:eastAsia="Times New Roman" w:cs="Calibri" w:cstheme="minorHAnsi"/>
          <w:b/>
          <w:bCs/>
          <w:color w:val="000000" w:themeColor="text1"/>
          <w:sz w:val="24"/>
          <w:szCs w:val="24"/>
          <w:lang w:val="lv-LV"/>
        </w:rPr>
        <w:t>Pārskata periods:</w:t>
      </w:r>
      <w:r>
        <w:rPr>
          <w:rFonts w:eastAsia="Times New Roman" w:cs="Calibri" w:cstheme="minorHAnsi"/>
          <w:bCs/>
          <w:color w:val="000000" w:themeColor="text1"/>
          <w:sz w:val="24"/>
          <w:szCs w:val="24"/>
          <w:lang w:val="lv-LV"/>
        </w:rPr>
        <w:t xml:space="preserve"> {{seq_date_range}}</w:t>
      </w:r>
    </w:p>
    <w:p>
      <w:pPr>
        <w:pStyle w:val="Normal"/>
        <w:spacing w:lineRule="auto" w:line="360" w:before="0" w:after="0"/>
        <w:rPr>
          <w:rFonts w:ascii="Calibri" w:hAnsi="Calibri"/>
        </w:rPr>
      </w:pPr>
      <w:r>
        <w:rPr>
          <w:rFonts w:eastAsia="Times New Roman" w:cs="Calibri" w:cstheme="minorHAnsi"/>
          <w:b/>
          <w:bCs/>
          <w:color w:val="000000" w:themeColor="text1"/>
          <w:sz w:val="24"/>
          <w:szCs w:val="24"/>
          <w:lang w:val="lv-LV"/>
        </w:rPr>
        <w:t>Veiksmīgi nosekvencēto paraugu skaits:</w:t>
      </w:r>
      <w:r>
        <w:rPr>
          <w:rFonts w:eastAsia="Times New Roman" w:cs="Calibri" w:cstheme="minorHAnsi"/>
          <w:bCs/>
          <w:color w:val="000000" w:themeColor="text1"/>
          <w:sz w:val="24"/>
          <w:szCs w:val="24"/>
          <w:lang w:val="lv-LV"/>
        </w:rPr>
        <w:t xml:space="preserve"> </w:t>
      </w:r>
      <w:r>
        <w:rPr>
          <w:rFonts w:eastAsia="Times New Roman" w:cs="Times New Roman"/>
          <w:bCs/>
          <w:color w:val="000000" w:themeColor="text1"/>
          <w:sz w:val="24"/>
          <w:szCs w:val="24"/>
          <w:lang w:val="en-US"/>
        </w:rPr>
        <w:t>{{sample_count}}</w:t>
      </w:r>
    </w:p>
    <w:p>
      <w:pPr>
        <w:pStyle w:val="Normal"/>
        <w:spacing w:lineRule="auto" w:line="360" w:before="0" w:after="0"/>
        <w:rPr>
          <w:rFonts w:ascii="Calibri" w:hAnsi="Calibri"/>
        </w:rPr>
      </w:pPr>
      <w:r>
        <w:rPr>
          <w:rFonts w:eastAsia="Times New Roman" w:cs="Times New Roman"/>
          <w:bCs/>
          <w:color w:val="000000" w:themeColor="text1"/>
          <w:sz w:val="24"/>
          <w:szCs w:val="24"/>
          <w:lang w:val="en-US"/>
        </w:rPr>
        <w:t>(</w:t>
      </w:r>
      <w:r>
        <w:rPr>
          <w:rFonts w:eastAsia="Times New Roman" w:cs="Calibri" w:cstheme="minorHAnsi"/>
          <w:bCs/>
          <w:color w:val="000000" w:themeColor="text1"/>
          <w:sz w:val="24"/>
          <w:szCs w:val="24"/>
          <w:lang w:val="lv-LV"/>
        </w:rPr>
        <w:t>{{seq_lab_string}}</w:t>
      </w:r>
      <w:r>
        <w:rPr>
          <w:rFonts w:eastAsia="Times New Roman" w:cs="Times New Roman"/>
          <w:bCs/>
          <w:color w:val="000000" w:themeColor="text1"/>
          <w:sz w:val="24"/>
          <w:szCs w:val="24"/>
          <w:lang w:val="en-US"/>
        </w:rPr>
        <w:t>)*</w:t>
      </w:r>
    </w:p>
    <w:p>
      <w:pPr>
        <w:pStyle w:val="Normal"/>
        <w:spacing w:lineRule="auto" w:line="360" w:before="0" w:after="0"/>
        <w:rPr>
          <w:rFonts w:ascii="Calibri" w:hAnsi="Calibri"/>
        </w:rPr>
      </w:pPr>
      <w:r>
        <w:rPr>
          <w:rFonts w:eastAsia="Times New Roman" w:cs="Calibri" w:cstheme="minorHAnsi"/>
          <w:b/>
          <w:bCs/>
          <w:color w:val="000000" w:themeColor="text1"/>
          <w:sz w:val="24"/>
          <w:szCs w:val="24"/>
          <w:lang w:val="lv-LV"/>
        </w:rPr>
        <w:t xml:space="preserve">Paraugu sadalījums pēc paveidiem: </w:t>
      </w:r>
    </w:p>
    <w:tbl>
      <w:tblPr>
        <w:tblStyle w:val="TableGrid"/>
        <w:tblW w:w="9736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355"/>
        <w:gridCol w:w="3037"/>
        <w:gridCol w:w="3344"/>
      </w:tblGrid>
      <w:tr>
        <w:trPr/>
        <w:tc>
          <w:tcPr>
            <w:tcW w:w="3355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eastAsia="Times New Roman" w:cs="Calibri" w:cstheme="minorHAnsi"/>
                <w:b/>
                <w:bCs/>
                <w:color w:val="000000" w:themeColor="text1"/>
                <w:sz w:val="24"/>
                <w:szCs w:val="24"/>
                <w:lang w:val="lv-LV"/>
              </w:rPr>
              <w:t>Paveids</w:t>
            </w:r>
          </w:p>
        </w:tc>
        <w:tc>
          <w:tcPr>
            <w:tcW w:w="3037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eastAsia="Times New Roman" w:cs="Calibri" w:cstheme="minorHAnsi"/>
                <w:b/>
                <w:bCs/>
                <w:color w:val="000000" w:themeColor="text1"/>
                <w:sz w:val="24"/>
                <w:szCs w:val="24"/>
                <w:lang w:val="lv-LV"/>
              </w:rPr>
              <w:t>Apakšpaveids</w:t>
            </w:r>
          </w:p>
        </w:tc>
        <w:tc>
          <w:tcPr>
            <w:tcW w:w="3344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eastAsia="Times New Roman" w:cs="Calibri" w:cstheme="minorHAnsi"/>
                <w:b/>
                <w:bCs/>
                <w:color w:val="000000" w:themeColor="text1"/>
                <w:sz w:val="24"/>
                <w:szCs w:val="24"/>
                <w:lang w:val="lv-LV"/>
              </w:rPr>
              <w:t>Paraugu skaits</w:t>
            </w:r>
          </w:p>
        </w:tc>
      </w:tr>
      <w:tr>
        <w:trPr/>
        <w:tc>
          <w:tcPr>
            <w:tcW w:w="9736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eastAsia="Times New Roman" w:cs="Calibri" w:cstheme="minorHAnsi"/>
                <w:bCs/>
                <w:color w:val="000000" w:themeColor="text1"/>
                <w:sz w:val="24"/>
                <w:szCs w:val="24"/>
                <w:lang w:val="lv-LV"/>
              </w:rPr>
              <w:t>{%tr for item in lineage_data_table%}</w:t>
            </w:r>
          </w:p>
        </w:tc>
      </w:tr>
      <w:tr>
        <w:trPr/>
        <w:tc>
          <w:tcPr>
            <w:tcW w:w="335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eastAsia="Times New Roman" w:cs="Calibri" w:cstheme="minorHAnsi"/>
                <w:bCs/>
                <w:color w:val="000000" w:themeColor="text1"/>
                <w:sz w:val="24"/>
                <w:szCs w:val="24"/>
                <w:lang w:val="lv-LV"/>
              </w:rPr>
              <w:t>{{item.lineage}}</w:t>
            </w:r>
          </w:p>
        </w:tc>
        <w:tc>
          <w:tcPr>
            <w:tcW w:w="303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eastAsia="Times New Roman" w:cs="Calibri" w:cstheme="minorHAnsi"/>
                <w:bCs/>
                <w:color w:val="000000" w:themeColor="text1"/>
                <w:sz w:val="24"/>
                <w:szCs w:val="24"/>
                <w:lang w:val="lv-LV"/>
              </w:rPr>
              <w:t>{{item.sublin}}</w:t>
            </w:r>
          </w:p>
        </w:tc>
        <w:tc>
          <w:tcPr>
            <w:tcW w:w="334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eastAsia="Times New Roman" w:cs="Calibri" w:cstheme="minorHAnsi"/>
                <w:bCs/>
                <w:color w:val="000000" w:themeColor="text1"/>
                <w:sz w:val="24"/>
                <w:szCs w:val="24"/>
                <w:lang w:val="lv-LV"/>
              </w:rPr>
              <w:t>{{item.count}}</w:t>
            </w:r>
          </w:p>
        </w:tc>
      </w:tr>
      <w:tr>
        <w:trPr/>
        <w:tc>
          <w:tcPr>
            <w:tcW w:w="9736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eastAsia="Times New Roman" w:cs="Calibri" w:cstheme="minorHAnsi"/>
                <w:bCs/>
                <w:color w:val="000000" w:themeColor="text1"/>
                <w:sz w:val="24"/>
                <w:szCs w:val="24"/>
                <w:lang w:val="lv-LV"/>
              </w:rPr>
              <w:t>{%tr endfor %}</w:t>
            </w:r>
          </w:p>
        </w:tc>
      </w:tr>
    </w:tbl>
    <w:p>
      <w:pPr>
        <w:pStyle w:val="Normal"/>
        <w:rPr>
          <w:rFonts w:ascii="Calibri" w:hAnsi="Calibri" w:eastAsia="Times New Roman" w:cs="Calibri" w:cstheme="minorHAnsi"/>
          <w:b/>
          <w:b/>
          <w:bCs/>
          <w:color w:val="000000" w:themeColor="text1"/>
          <w:sz w:val="20"/>
          <w:szCs w:val="20"/>
          <w:lang w:val="lv-LV"/>
        </w:rPr>
      </w:pPr>
      <w:r>
        <w:rPr>
          <w:rFonts w:eastAsia="Times New Roman" w:cs="Calibri" w:cstheme="minorHAnsi"/>
          <w:b/>
          <w:bCs/>
          <w:color w:val="000000" w:themeColor="text1"/>
          <w:sz w:val="20"/>
          <w:szCs w:val="20"/>
          <w:lang w:val="lv-LV"/>
        </w:rPr>
        <w:t>*</w:t>
      </w:r>
      <w:r>
        <w:rPr>
          <w:rFonts w:eastAsia="Times New Roman" w:cs="Calibri" w:cstheme="minorHAnsi"/>
          <w:color w:val="000000" w:themeColor="text1"/>
          <w:sz w:val="20"/>
          <w:szCs w:val="20"/>
          <w:lang w:val="lv-LV"/>
        </w:rPr>
        <w:t>Pilnais sekvencēto paraugu saraksts pielikumā un pavadošajā failā.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b/>
          <w:b/>
          <w:bCs/>
          <w:color w:val="000000" w:themeColor="text1"/>
          <w:sz w:val="24"/>
          <w:szCs w:val="24"/>
          <w:lang w:val="lv-LV"/>
        </w:rPr>
      </w:pPr>
      <w:r>
        <w:rPr>
          <w:rFonts w:eastAsia="Times New Roman" w:cs="Calibri" w:cstheme="minorHAnsi"/>
          <w:b/>
          <w:bCs/>
          <w:color w:val="000000" w:themeColor="text1"/>
          <w:sz w:val="24"/>
          <w:szCs w:val="24"/>
          <w:lang w:val="lv-LV"/>
        </w:rPr>
      </w:r>
      <w:r>
        <w:br w:type="page"/>
      </w:r>
    </w:p>
    <w:p>
      <w:pPr>
        <w:pStyle w:val="Normal"/>
        <w:rPr>
          <w:rFonts w:ascii="Calibri" w:hAnsi="Calibri"/>
        </w:rPr>
      </w:pPr>
      <w:r>
        <w:rPr>
          <w:rFonts w:eastAsia="Times New Roman" w:cs="Calibri" w:cstheme="minorHAnsi"/>
          <w:b/>
          <w:bCs/>
          <w:color w:val="000000" w:themeColor="text1"/>
          <w:sz w:val="24"/>
          <w:szCs w:val="24"/>
          <w:lang w:val="lv-LV"/>
        </w:rPr>
        <w:t>SARS-CoV-2 paveidu sadalījums laikā</w:t>
      </w:r>
    </w:p>
    <w:p>
      <w:pPr>
        <w:pStyle w:val="Normal"/>
        <w:rPr>
          <w:rFonts w:ascii="Calibri" w:hAnsi="Calibri"/>
        </w:rPr>
      </w:pPr>
      <w:r>
        <w:rPr>
          <w:lang w:val="lv-LV"/>
        </w:rPr>
        <w:t>{{plot_5}}</w:t>
      </w:r>
      <w:r>
        <w:br w:type="page"/>
      </w:r>
    </w:p>
    <w:p>
      <w:pPr>
        <w:pStyle w:val="Normal"/>
        <w:rPr>
          <w:rFonts w:ascii="Calibri" w:hAnsi="Calibri"/>
        </w:rPr>
      </w:pPr>
      <w:r>
        <w:rPr>
          <w:rFonts w:eastAsia="Times New Roman" w:cs="Calibri" w:cstheme="minorHAnsi"/>
          <w:b/>
          <w:bCs/>
          <w:color w:val="000000" w:themeColor="text1"/>
          <w:sz w:val="24"/>
          <w:szCs w:val="24"/>
          <w:lang w:val="lv-LV"/>
        </w:rPr>
        <w:t>SARS-CoV-2 paveidu sadalījums novados</w:t>
      </w:r>
    </w:p>
    <w:p>
      <w:pPr>
        <w:pStyle w:val="Normal"/>
        <w:rPr>
          <w:rFonts w:ascii="Calibri" w:hAnsi="Calibri"/>
        </w:rPr>
      </w:pPr>
      <w:r>
        <w:rPr>
          <w:rFonts w:eastAsia="Times New Roman" w:cs="Calibri" w:cstheme="minorHAnsi"/>
          <w:b/>
          <w:bCs/>
          <w:color w:val="000000" w:themeColor="text1"/>
          <w:sz w:val="24"/>
          <w:szCs w:val="24"/>
          <w:lang w:val="lv-LV"/>
        </w:rPr>
        <w:t>{{plot_8}}</w:t>
      </w:r>
      <w:r>
        <w:br w:type="page"/>
      </w:r>
    </w:p>
    <w:p>
      <w:pPr>
        <w:pStyle w:val="ListParagraph"/>
        <w:rPr>
          <w:rFonts w:ascii="Calibri" w:hAnsi="Calibri" w:eastAsia="Times New Roman" w:cs="Calibri" w:cstheme="minorHAnsi"/>
          <w:b/>
          <w:b/>
          <w:bCs/>
          <w:color w:val="000000" w:themeColor="text1"/>
          <w:sz w:val="24"/>
          <w:szCs w:val="24"/>
          <w:lang w:val="lv-LV"/>
        </w:rPr>
      </w:pPr>
      <w:r>
        <w:rPr>
          <w:rFonts w:eastAsia="Times New Roman" w:cs="Calibri" w:cstheme="minorHAnsi"/>
          <w:b/>
          <w:bCs/>
          <w:color w:val="000000" w:themeColor="text1"/>
          <w:sz w:val="24"/>
          <w:szCs w:val="24"/>
          <w:lang w:val="lv-LV"/>
        </w:rPr>
      </w:r>
    </w:p>
    <w:p>
      <w:pPr>
        <w:pStyle w:val="ListParagraph"/>
        <w:rPr>
          <w:rFonts w:ascii="Calibri" w:hAnsi="Calibri"/>
        </w:rPr>
      </w:pPr>
      <w:r>
        <w:rPr>
          <w:rFonts w:eastAsia="Times New Roman" w:cs="Calibri" w:cstheme="minorHAnsi"/>
          <w:b/>
          <w:bCs/>
          <w:color w:val="000000" w:themeColor="text1"/>
          <w:sz w:val="24"/>
          <w:szCs w:val="24"/>
          <w:lang w:val="lv-LV"/>
        </w:rPr>
        <w:t>Katra parauga sekvencēšanas kvalitātes rādītāji</w:t>
      </w:r>
    </w:p>
    <w:p>
      <w:pPr>
        <w:pStyle w:val="ListParagraph"/>
        <w:rPr>
          <w:rFonts w:ascii="Calibri" w:hAnsi="Calibri"/>
        </w:rPr>
      </w:pPr>
      <w:r>
        <w:rPr>
          <w:rFonts w:cs="Calibri" w:cstheme="minorHAnsi"/>
          <w:lang w:val="lv-LV"/>
        </w:rPr>
        <w:t>{{plot_1}}{{plot_2}}{{plot_3}}{{plot_4}}</w:t>
      </w:r>
    </w:p>
    <w:p>
      <w:pPr>
        <w:pStyle w:val="ListParagraph"/>
        <w:rPr>
          <w:rFonts w:ascii="Calibri" w:hAnsi="Calibri" w:cs="Calibri" w:cstheme="minorHAnsi"/>
          <w:lang w:val="lv-LV"/>
        </w:rPr>
      </w:pPr>
      <w:r>
        <w:rPr>
          <w:rFonts w:cs="Calibri" w:cstheme="minorHAnsi"/>
          <w:lang w:val="lv-LV"/>
        </w:rPr>
      </w:r>
      <w:r>
        <w:br w:type="page"/>
      </w:r>
    </w:p>
    <w:p>
      <w:pPr>
        <w:pStyle w:val="ListParagraph"/>
        <w:rPr>
          <w:rFonts w:ascii="Calibri" w:hAnsi="Calibri" w:eastAsia="Times New Roman" w:cs="Calibri" w:cstheme="minorHAnsi"/>
          <w:b/>
          <w:b/>
          <w:bCs/>
          <w:color w:val="000000" w:themeColor="text1"/>
          <w:sz w:val="24"/>
          <w:szCs w:val="24"/>
          <w:lang w:val="lv-LV"/>
        </w:rPr>
      </w:pPr>
      <w:r>
        <w:rPr>
          <w:rFonts w:eastAsia="Times New Roman" w:cs="Calibri" w:cstheme="minorHAnsi"/>
          <w:b/>
          <w:bCs/>
          <w:color w:val="000000" w:themeColor="text1"/>
          <w:sz w:val="24"/>
          <w:szCs w:val="24"/>
          <w:lang w:val="lv-LV"/>
        </w:rPr>
      </w:r>
    </w:p>
    <w:p>
      <w:pPr>
        <w:pStyle w:val="ListParagraph"/>
        <w:rPr>
          <w:rFonts w:ascii="Calibri" w:hAnsi="Calibri"/>
        </w:rPr>
      </w:pPr>
      <w:r>
        <w:rPr>
          <w:rFonts w:eastAsia="Times New Roman" w:cs="Calibri" w:cstheme="minorHAnsi"/>
          <w:b/>
          <w:bCs/>
          <w:color w:val="000000" w:themeColor="text1"/>
          <w:sz w:val="24"/>
          <w:szCs w:val="24"/>
          <w:lang w:val="lv-LV"/>
        </w:rPr>
        <w:t xml:space="preserve">Pārskata periodā noteiktās mutācijas </w:t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080" w:right="1080" w:header="0" w:top="1440" w:footer="1440" w:bottom="1979" w:gutter="0"/>
          <w:pgNumType w:fmt="decimal"/>
          <w:formProt w:val="false"/>
          <w:textDirection w:val="lrTb"/>
          <w:docGrid w:type="default" w:linePitch="360" w:charSpace="4096"/>
        </w:sectPr>
        <w:pStyle w:val="ListParagraph"/>
        <w:rPr>
          <w:rFonts w:ascii="Calibri" w:hAnsi="Calibri"/>
        </w:rPr>
      </w:pPr>
      <w:r>
        <w:rPr>
          <w:rFonts w:cs="Calibri" w:cstheme="minorHAnsi"/>
          <w:bCs/>
          <w:lang w:val="lv-LV"/>
        </w:rPr>
        <w:t>{{plot_6}}</w:t>
      </w:r>
    </w:p>
    <w:p>
      <w:pPr>
        <w:pStyle w:val="Normal"/>
        <w:spacing w:lineRule="auto" w:line="240"/>
        <w:rPr>
          <w:rFonts w:ascii="Calibri" w:hAnsi="Calibri" w:eastAsia="Times New Roman" w:cs="Calibri" w:cstheme="minorHAnsi"/>
          <w:b/>
          <w:b/>
          <w:bCs/>
          <w:color w:val="000000" w:themeColor="text1"/>
          <w:sz w:val="24"/>
          <w:szCs w:val="24"/>
          <w:lang w:val="lv-LV"/>
        </w:rPr>
      </w:pPr>
      <w:r>
        <w:rPr>
          <w:rFonts w:eastAsia="Times New Roman" w:cs="Calibri" w:cstheme="minorHAnsi"/>
          <w:b/>
          <w:bCs/>
          <w:color w:val="000000" w:themeColor="text1"/>
          <w:sz w:val="24"/>
          <w:szCs w:val="24"/>
          <w:lang w:val="lv-LV"/>
        </w:rPr>
      </w:r>
    </w:p>
    <w:p>
      <w:pPr>
        <w:pStyle w:val="Normal"/>
        <w:spacing w:lineRule="auto" w:line="240"/>
        <w:rPr>
          <w:rFonts w:ascii="Calibri" w:hAnsi="Calibri"/>
        </w:rPr>
      </w:pPr>
      <w:r>
        <w:rPr>
          <w:rFonts w:eastAsia="Times New Roman" w:cs="Calibri" w:cstheme="minorHAnsi"/>
          <w:b/>
          <w:bCs/>
          <w:color w:val="000000" w:themeColor="text1"/>
          <w:sz w:val="24"/>
          <w:szCs w:val="24"/>
          <w:lang w:val="lv-LV"/>
        </w:rPr>
        <w:t>Iegūto datu analīze:</w:t>
      </w:r>
    </w:p>
    <w:p>
      <w:pPr>
        <w:pStyle w:val="Normal"/>
        <w:spacing w:lineRule="auto" w:line="240"/>
        <w:ind w:left="720" w:firstLine="708"/>
        <w:jc w:val="both"/>
        <w:rPr>
          <w:rFonts w:ascii="Calibri" w:hAnsi="Calibri" w:eastAsia="Times New Roman" w:cs="Calibri" w:cstheme="minorHAnsi"/>
          <w:bCs/>
          <w:color w:val="000000" w:themeColor="text1"/>
          <w:sz w:val="24"/>
          <w:szCs w:val="24"/>
          <w:lang w:val="lv-LV"/>
        </w:rPr>
      </w:pPr>
      <w:r>
        <w:rPr>
          <w:rFonts w:eastAsia="Times New Roman" w:cs="Calibri" w:cstheme="minorHAnsi"/>
          <w:color w:val="000000" w:themeColor="text1"/>
          <w:sz w:val="24"/>
          <w:szCs w:val="24"/>
          <w:lang w:val="lv-LV"/>
        </w:rPr>
        <w:t>Sekvenču dati tika apstrādāti, izmantojot SIA RAKUS Laboratorijas dienesta izveidotu darbplūsmu (</w:t>
      </w:r>
      <w:hyperlink r:id="rId4">
        <w:r>
          <w:rPr>
            <w:rStyle w:val="InternetLink"/>
            <w:rFonts w:eastAsia="Times New Roman" w:cs="Calibri" w:cstheme="minorHAnsi"/>
            <w:sz w:val="24"/>
            <w:szCs w:val="24"/>
            <w:lang w:val="lv-LV"/>
          </w:rPr>
          <w:t>https://github.com/NMRL/SARS-CoV2_assembly</w:t>
        </w:r>
      </w:hyperlink>
      <w:r>
        <w:rPr>
          <w:rFonts w:eastAsia="Times New Roman" w:cs="Calibri" w:cstheme="minorHAnsi"/>
          <w:color w:val="000000" w:themeColor="text1"/>
          <w:sz w:val="24"/>
          <w:szCs w:val="24"/>
          <w:lang w:val="lv-LV"/>
        </w:rPr>
        <w:t xml:space="preserve">). Iegūtie sekvenču dati tika filtrēti izmantojot cutadapt 2.31 [1] un fastp 0.20.1 [2], lai atbrīvotos no zemas kvalitātes nolasījumiem. Filtrētās sekvences tika pielīdzinātas Wuhan-Hu-1 SARS-CoV-2 izolāta references genomam (Accession number: MN908947.3) ar bwa 0.7.17-r1198-dirty mem [3] un samtools 1.12 [4]. ARTIC v3 amplifikācijas oligonukleotīdi tika noņemti, izmantojot iVar 1.3.1 [5] un bedtools v.2.30.00 [6]. Pēc kvalitātes kontroles nolasījumi tika atkārtoti pielīdzināti Wuhan-Hu-1 references genomam, izmantojot abra2 2.23 [7]. Variantu identificēšana un consensus sekvences izveidošana tika veikta ar freebayes v0.9.21 [8], vcflib 1.0.2/vcffilter [9] un iVar 1.3.1 [5]. Variantu anotācijai tika izmantots snpEff 5.0e [10] un PANGO celmu piešķiršana tika veikta, izmantojot Pangolin [11]. </w:t>
      </w:r>
    </w:p>
    <w:p>
      <w:pPr>
        <w:pStyle w:val="Normal"/>
        <w:spacing w:lineRule="auto" w:line="240"/>
        <w:rPr>
          <w:rFonts w:ascii="Calibri" w:hAnsi="Calibri"/>
        </w:rPr>
      </w:pPr>
      <w:r>
        <w:rPr>
          <w:rFonts w:eastAsia="Times New Roman" w:cs="Calibri" w:cstheme="minorHAnsi"/>
          <w:b/>
          <w:bCs/>
          <w:color w:val="000000" w:themeColor="text1"/>
          <w:sz w:val="24"/>
          <w:szCs w:val="24"/>
          <w:lang w:val="lv-LV"/>
        </w:rPr>
        <w:t>Avotu saraksts:</w:t>
      </w:r>
    </w:p>
    <w:p>
      <w:pPr>
        <w:pStyle w:val="Normal"/>
        <w:spacing w:lineRule="auto" w:line="240" w:before="0" w:after="0"/>
        <w:ind w:left="640" w:hanging="640"/>
        <w:contextualSpacing/>
        <w:rPr>
          <w:sz w:val="20"/>
          <w:szCs w:val="20"/>
        </w:rPr>
      </w:pPr>
      <w:r>
        <w:rPr>
          <w:rFonts w:eastAsia="Times New Roman" w:cs="Calibri" w:cstheme="minorHAnsi"/>
          <w:color w:val="000000" w:themeColor="text1"/>
          <w:sz w:val="20"/>
          <w:szCs w:val="20"/>
          <w:lang w:val="lv-LV"/>
        </w:rPr>
        <w:t xml:space="preserve">1. </w:t>
      </w:r>
      <w:r>
        <w:rPr>
          <w:rFonts w:cs="Calibri" w:cstheme="minorHAnsi"/>
          <w:sz w:val="20"/>
          <w:szCs w:val="20"/>
          <w:lang w:val="lv-LV"/>
        </w:rPr>
        <w:tab/>
      </w:r>
      <w:r>
        <w:rPr>
          <w:rFonts w:eastAsia="Times New Roman" w:cs="Calibri" w:cstheme="minorHAnsi"/>
          <w:color w:val="000000" w:themeColor="text1"/>
          <w:sz w:val="20"/>
          <w:szCs w:val="20"/>
          <w:lang w:val="lv-LV"/>
        </w:rPr>
        <w:t xml:space="preserve">Martin M. Cutadapt removes adapter sequences from high-throughput sequencing reads. </w:t>
      </w:r>
      <w:r>
        <w:rPr>
          <w:rFonts w:eastAsia="Times New Roman" w:cs="Calibri" w:cstheme="minorHAnsi"/>
          <w:i/>
          <w:iCs/>
          <w:color w:val="000000" w:themeColor="text1"/>
          <w:sz w:val="20"/>
          <w:szCs w:val="20"/>
          <w:lang w:val="lv-LV"/>
        </w:rPr>
        <w:t>EMBnet.journal</w:t>
      </w:r>
      <w:r>
        <w:rPr>
          <w:rFonts w:eastAsia="Times New Roman" w:cs="Calibri" w:cstheme="minorHAnsi"/>
          <w:color w:val="000000" w:themeColor="text1"/>
          <w:sz w:val="20"/>
          <w:szCs w:val="20"/>
          <w:lang w:val="lv-LV"/>
        </w:rPr>
        <w:t>. 2011;17(1):10. doi:10.14806/EJ.17.1.200</w:t>
      </w:r>
    </w:p>
    <w:p>
      <w:pPr>
        <w:pStyle w:val="Normal"/>
        <w:spacing w:lineRule="auto" w:line="240" w:before="0" w:after="0"/>
        <w:ind w:left="640" w:hanging="640"/>
        <w:contextualSpacing/>
        <w:rPr>
          <w:sz w:val="20"/>
          <w:szCs w:val="20"/>
        </w:rPr>
      </w:pPr>
      <w:r>
        <w:rPr>
          <w:rFonts w:eastAsia="Times New Roman" w:cs="Calibri" w:cstheme="minorHAnsi"/>
          <w:color w:val="000000" w:themeColor="text1"/>
          <w:sz w:val="20"/>
          <w:szCs w:val="20"/>
          <w:lang w:val="lv-LV"/>
        </w:rPr>
        <w:t xml:space="preserve">2. </w:t>
      </w:r>
      <w:r>
        <w:rPr>
          <w:rFonts w:cs="Calibri" w:cstheme="minorHAnsi"/>
          <w:sz w:val="20"/>
          <w:szCs w:val="20"/>
          <w:lang w:val="lv-LV"/>
        </w:rPr>
        <w:tab/>
      </w:r>
      <w:r>
        <w:rPr>
          <w:rFonts w:eastAsia="Times New Roman" w:cs="Calibri" w:cstheme="minorHAnsi"/>
          <w:color w:val="000000" w:themeColor="text1"/>
          <w:sz w:val="20"/>
          <w:szCs w:val="20"/>
          <w:lang w:val="lv-LV"/>
        </w:rPr>
        <w:t xml:space="preserve">Chen S, Zhou Y, Chen Y, Gu J. fastp: an ultra-fast all-in-one FASTQ preprocessor. </w:t>
      </w:r>
      <w:r>
        <w:rPr>
          <w:rFonts w:eastAsia="Times New Roman" w:cs="Calibri" w:cstheme="minorHAnsi"/>
          <w:i/>
          <w:iCs/>
          <w:color w:val="000000" w:themeColor="text1"/>
          <w:sz w:val="20"/>
          <w:szCs w:val="20"/>
          <w:lang w:val="lv-LV"/>
        </w:rPr>
        <w:t>Bioinformatics</w:t>
      </w:r>
      <w:r>
        <w:rPr>
          <w:rFonts w:eastAsia="Times New Roman" w:cs="Calibri" w:cstheme="minorHAnsi"/>
          <w:color w:val="000000" w:themeColor="text1"/>
          <w:sz w:val="20"/>
          <w:szCs w:val="20"/>
          <w:lang w:val="lv-LV"/>
        </w:rPr>
        <w:t>. 2018;34(17):i884-i890. doi:10.1093/BIOINFORMATICS/BTY560</w:t>
      </w:r>
    </w:p>
    <w:p>
      <w:pPr>
        <w:pStyle w:val="Normal"/>
        <w:spacing w:lineRule="auto" w:line="240" w:before="0" w:after="0"/>
        <w:ind w:left="640" w:hanging="640"/>
        <w:contextualSpacing/>
        <w:rPr>
          <w:rFonts w:ascii="Calibri" w:hAnsi="Calibri" w:eastAsia="Times New Roman" w:cs="Calibri" w:cstheme="minorHAnsi"/>
          <w:bCs/>
          <w:color w:val="000000" w:themeColor="text1"/>
          <w:sz w:val="24"/>
          <w:szCs w:val="24"/>
          <w:lang w:val="lv-LV"/>
        </w:rPr>
      </w:pPr>
      <w:r>
        <w:rPr>
          <w:rFonts w:eastAsia="Times New Roman" w:cs="Calibri" w:cstheme="minorHAnsi"/>
          <w:color w:val="000000" w:themeColor="text1"/>
          <w:sz w:val="20"/>
          <w:szCs w:val="20"/>
          <w:lang w:val="lv-LV"/>
        </w:rPr>
        <w:t xml:space="preserve">3. </w:t>
      </w:r>
      <w:r>
        <w:rPr>
          <w:rFonts w:cs="Calibri" w:cstheme="minorHAnsi"/>
          <w:sz w:val="20"/>
          <w:szCs w:val="20"/>
          <w:lang w:val="lv-LV"/>
        </w:rPr>
        <w:tab/>
      </w:r>
      <w:r>
        <w:rPr>
          <w:rFonts w:eastAsia="Times New Roman" w:cs="Calibri" w:cstheme="minorHAnsi"/>
          <w:color w:val="000000" w:themeColor="text1"/>
          <w:sz w:val="20"/>
          <w:szCs w:val="20"/>
          <w:lang w:val="lv-LV"/>
        </w:rPr>
        <w:t xml:space="preserve">Li H. Aligning sequence reads, clone sequences and assembly contigs with BWA-MEM. March 2013. </w:t>
      </w:r>
      <w:hyperlink r:id="rId5">
        <w:r>
          <w:rPr>
            <w:rStyle w:val="InternetLink"/>
            <w:rFonts w:eastAsia="Times New Roman" w:cs="Calibri" w:cstheme="minorHAnsi"/>
            <w:color w:val="000000" w:themeColor="text1"/>
            <w:sz w:val="20"/>
            <w:szCs w:val="20"/>
            <w:lang w:val="lv-LV"/>
          </w:rPr>
          <w:t>https://arxiv.org/abs/1303.3997v2</w:t>
        </w:r>
      </w:hyperlink>
      <w:r>
        <w:rPr>
          <w:rFonts w:eastAsia="Times New Roman" w:cs="Calibri" w:cstheme="minorHAnsi"/>
          <w:color w:val="000000" w:themeColor="text1"/>
          <w:sz w:val="20"/>
          <w:szCs w:val="20"/>
          <w:lang w:val="lv-LV"/>
        </w:rPr>
        <w:t>. Accessed August 21, 2021.</w:t>
      </w:r>
    </w:p>
    <w:p>
      <w:pPr>
        <w:pStyle w:val="Normal"/>
        <w:spacing w:lineRule="auto" w:line="240" w:before="0" w:after="0"/>
        <w:ind w:left="640" w:hanging="640"/>
        <w:contextualSpacing/>
        <w:rPr>
          <w:sz w:val="20"/>
          <w:szCs w:val="20"/>
        </w:rPr>
      </w:pPr>
      <w:r>
        <w:rPr>
          <w:rFonts w:eastAsia="Times New Roman" w:cs="Calibri" w:cstheme="minorHAnsi"/>
          <w:color w:val="000000" w:themeColor="text1"/>
          <w:sz w:val="20"/>
          <w:szCs w:val="20"/>
          <w:lang w:val="lv-LV"/>
        </w:rPr>
        <w:t xml:space="preserve">4. </w:t>
      </w:r>
      <w:r>
        <w:rPr>
          <w:rFonts w:cs="Calibri" w:cstheme="minorHAnsi"/>
          <w:sz w:val="20"/>
          <w:szCs w:val="20"/>
          <w:lang w:val="lv-LV"/>
        </w:rPr>
        <w:tab/>
      </w:r>
      <w:r>
        <w:rPr>
          <w:rFonts w:eastAsia="Times New Roman" w:cs="Calibri" w:cstheme="minorHAnsi"/>
          <w:color w:val="000000" w:themeColor="text1"/>
          <w:sz w:val="20"/>
          <w:szCs w:val="20"/>
          <w:lang w:val="lv-LV"/>
        </w:rPr>
        <w:t xml:space="preserve">Li H, Handsaker B, Wysoker A, et al. The Sequence Alignment/Map format and SAMtools. </w:t>
      </w:r>
      <w:r>
        <w:rPr>
          <w:rFonts w:eastAsia="Times New Roman" w:cs="Calibri" w:cstheme="minorHAnsi"/>
          <w:i/>
          <w:iCs/>
          <w:color w:val="000000" w:themeColor="text1"/>
          <w:sz w:val="20"/>
          <w:szCs w:val="20"/>
          <w:lang w:val="lv-LV"/>
        </w:rPr>
        <w:t>Bioinformatics</w:t>
      </w:r>
      <w:r>
        <w:rPr>
          <w:rFonts w:eastAsia="Times New Roman" w:cs="Calibri" w:cstheme="minorHAnsi"/>
          <w:color w:val="000000" w:themeColor="text1"/>
          <w:sz w:val="20"/>
          <w:szCs w:val="20"/>
          <w:lang w:val="lv-LV"/>
        </w:rPr>
        <w:t>. 2009;25(16):2078-2079. doi:10.1093/BIOINFORMATICS/BTP352</w:t>
      </w:r>
    </w:p>
    <w:p>
      <w:pPr>
        <w:pStyle w:val="Normal"/>
        <w:spacing w:lineRule="auto" w:line="240" w:before="0" w:after="0"/>
        <w:ind w:left="640" w:hanging="640"/>
        <w:contextualSpacing/>
        <w:rPr>
          <w:sz w:val="20"/>
          <w:szCs w:val="20"/>
        </w:rPr>
      </w:pPr>
      <w:r>
        <w:rPr>
          <w:rFonts w:eastAsia="Times New Roman" w:cs="Calibri" w:cstheme="minorHAnsi"/>
          <w:color w:val="000000" w:themeColor="text1"/>
          <w:sz w:val="20"/>
          <w:szCs w:val="20"/>
          <w:lang w:val="lv-LV"/>
        </w:rPr>
        <w:t xml:space="preserve">5. </w:t>
      </w:r>
      <w:r>
        <w:rPr>
          <w:rFonts w:cs="Calibri" w:cstheme="minorHAnsi"/>
          <w:sz w:val="20"/>
          <w:szCs w:val="20"/>
          <w:lang w:val="lv-LV"/>
        </w:rPr>
        <w:tab/>
      </w:r>
      <w:r>
        <w:rPr>
          <w:rFonts w:eastAsia="Times New Roman" w:cs="Calibri" w:cstheme="minorHAnsi"/>
          <w:color w:val="000000" w:themeColor="text1"/>
          <w:sz w:val="20"/>
          <w:szCs w:val="20"/>
          <w:lang w:val="lv-LV"/>
        </w:rPr>
        <w:t xml:space="preserve">Grubaugh ND, Gangavarapu K, Quick J, et al. An amplicon-based sequencing framework for accurately measuring intrahost virus diversity using PrimalSeq and iVar. </w:t>
      </w:r>
      <w:r>
        <w:rPr>
          <w:rFonts w:eastAsia="Times New Roman" w:cs="Calibri" w:cstheme="minorHAnsi"/>
          <w:i/>
          <w:iCs/>
          <w:color w:val="000000" w:themeColor="text1"/>
          <w:sz w:val="20"/>
          <w:szCs w:val="20"/>
          <w:lang w:val="lv-LV"/>
        </w:rPr>
        <w:t>Genome Biol 2019 201</w:t>
      </w:r>
      <w:r>
        <w:rPr>
          <w:rFonts w:eastAsia="Times New Roman" w:cs="Calibri" w:cstheme="minorHAnsi"/>
          <w:color w:val="000000" w:themeColor="text1"/>
          <w:sz w:val="20"/>
          <w:szCs w:val="20"/>
          <w:lang w:val="lv-LV"/>
        </w:rPr>
        <w:t>. 2019;20(1):1-19. doi:10.1186/S13059-018-1618-7</w:t>
      </w:r>
    </w:p>
    <w:p>
      <w:pPr>
        <w:pStyle w:val="Normal"/>
        <w:spacing w:lineRule="auto" w:line="240" w:before="0" w:after="0"/>
        <w:ind w:left="640" w:hanging="640"/>
        <w:contextualSpacing/>
        <w:rPr>
          <w:sz w:val="20"/>
          <w:szCs w:val="20"/>
        </w:rPr>
      </w:pPr>
      <w:r>
        <w:rPr>
          <w:rFonts w:eastAsia="Times New Roman" w:cs="Calibri" w:cstheme="minorHAnsi"/>
          <w:color w:val="000000" w:themeColor="text1"/>
          <w:sz w:val="20"/>
          <w:szCs w:val="20"/>
          <w:lang w:val="lv-LV"/>
        </w:rPr>
        <w:t xml:space="preserve">6. </w:t>
      </w:r>
      <w:r>
        <w:rPr>
          <w:rFonts w:cs="Calibri" w:cstheme="minorHAnsi"/>
          <w:sz w:val="20"/>
          <w:szCs w:val="20"/>
          <w:lang w:val="lv-LV"/>
        </w:rPr>
        <w:tab/>
      </w:r>
      <w:r>
        <w:rPr>
          <w:rFonts w:eastAsia="Times New Roman" w:cs="Calibri" w:cstheme="minorHAnsi"/>
          <w:color w:val="000000" w:themeColor="text1"/>
          <w:sz w:val="20"/>
          <w:szCs w:val="20"/>
          <w:lang w:val="lv-LV"/>
        </w:rPr>
        <w:t xml:space="preserve">Quinlan AR, Hall IM. BEDTools: a flexible suite of utilities for comparing genomic features. </w:t>
      </w:r>
      <w:r>
        <w:rPr>
          <w:rFonts w:eastAsia="Times New Roman" w:cs="Calibri" w:cstheme="minorHAnsi"/>
          <w:i/>
          <w:iCs/>
          <w:color w:val="000000" w:themeColor="text1"/>
          <w:sz w:val="20"/>
          <w:szCs w:val="20"/>
          <w:lang w:val="lv-LV"/>
        </w:rPr>
        <w:t>Bioinformatics</w:t>
      </w:r>
      <w:r>
        <w:rPr>
          <w:rFonts w:eastAsia="Times New Roman" w:cs="Calibri" w:cstheme="minorHAnsi"/>
          <w:color w:val="000000" w:themeColor="text1"/>
          <w:sz w:val="20"/>
          <w:szCs w:val="20"/>
          <w:lang w:val="lv-LV"/>
        </w:rPr>
        <w:t>. 2010;26(6):841-842. doi:10.1093/BIOINFORMATICS/BTQ033</w:t>
      </w:r>
    </w:p>
    <w:p>
      <w:pPr>
        <w:pStyle w:val="Normal"/>
        <w:spacing w:lineRule="auto" w:line="240" w:before="0" w:after="0"/>
        <w:ind w:left="640" w:hanging="640"/>
        <w:contextualSpacing/>
        <w:rPr>
          <w:sz w:val="20"/>
          <w:szCs w:val="20"/>
        </w:rPr>
      </w:pPr>
      <w:r>
        <w:rPr>
          <w:rFonts w:eastAsia="Times New Roman" w:cs="Calibri" w:cstheme="minorHAnsi"/>
          <w:color w:val="000000" w:themeColor="text1"/>
          <w:sz w:val="20"/>
          <w:szCs w:val="20"/>
          <w:lang w:val="lv-LV"/>
        </w:rPr>
        <w:t xml:space="preserve">7. </w:t>
      </w:r>
      <w:r>
        <w:rPr>
          <w:rFonts w:cs="Calibri" w:cstheme="minorHAnsi"/>
          <w:sz w:val="20"/>
          <w:szCs w:val="20"/>
          <w:lang w:val="lv-LV"/>
        </w:rPr>
        <w:tab/>
      </w:r>
      <w:r>
        <w:rPr>
          <w:rFonts w:eastAsia="Times New Roman" w:cs="Calibri" w:ascii="Calibri" w:hAnsi="Calibri" w:cstheme="minorHAnsi"/>
          <w:color w:val="000000" w:themeColor="text1"/>
          <w:sz w:val="20"/>
          <w:szCs w:val="20"/>
          <w:lang w:val="lv-LV"/>
        </w:rPr>
        <w:t xml:space="preserve">Mose LE, Perou CM, Parker JS. Improved indel detection in DNA and RNA via realignment with ABRA2. </w:t>
      </w:r>
      <w:r>
        <w:rPr>
          <w:rFonts w:eastAsia="Times New Roman" w:cs="Calibri" w:ascii="Calibri" w:hAnsi="Calibri" w:cstheme="minorHAnsi"/>
          <w:i/>
          <w:iCs/>
          <w:color w:val="000000" w:themeColor="text1"/>
          <w:sz w:val="20"/>
          <w:szCs w:val="20"/>
          <w:lang w:val="lv-LV"/>
        </w:rPr>
        <w:t>Bioinformatics.</w:t>
      </w:r>
      <w:r>
        <w:rPr>
          <w:rFonts w:eastAsia="Times New Roman" w:cs="Calibri" w:ascii="Calibri" w:hAnsi="Calibri" w:cstheme="minorHAnsi"/>
          <w:color w:val="000000" w:themeColor="text1"/>
          <w:sz w:val="20"/>
          <w:szCs w:val="20"/>
          <w:lang w:val="lv-LV"/>
        </w:rPr>
        <w:t xml:space="preserve"> 2019;35(17):2966–</w:t>
      </w:r>
      <w:r>
        <w:rPr>
          <w:rFonts w:eastAsia="Times New Roman" w:cs="Calibri" w:ascii="Calibri" w:hAnsi="Calibri" w:cstheme="minorHAnsi"/>
          <w:color w:val="000000" w:themeColor="text1"/>
          <w:sz w:val="20"/>
          <w:szCs w:val="20"/>
          <w:lang w:val="lv-LV"/>
        </w:rPr>
        <w:t>29</w:t>
      </w:r>
      <w:r>
        <w:rPr>
          <w:rFonts w:eastAsia="Times New Roman" w:cs="Calibri" w:ascii="Calibri" w:hAnsi="Calibri" w:cstheme="minorHAnsi"/>
          <w:color w:val="000000" w:themeColor="text1"/>
          <w:sz w:val="20"/>
          <w:szCs w:val="20"/>
          <w:lang w:val="lv-LV"/>
        </w:rPr>
        <w:t xml:space="preserve">73. </w:t>
      </w:r>
      <w:r>
        <w:rPr>
          <w:rFonts w:eastAsia="Times New Roman" w:cs="Calibri" w:ascii="Calibri" w:hAnsi="Calibri" w:cstheme="minorHAnsi"/>
          <w:color w:val="000000" w:themeColor="text1"/>
          <w:kern w:val="0"/>
          <w:sz w:val="20"/>
          <w:szCs w:val="20"/>
          <w:lang w:val="lv-LV" w:eastAsia="en-US" w:bidi="ar-SA"/>
        </w:rPr>
        <w:t>doi:10.1093/bioinformatics/btz033</w:t>
      </w:r>
    </w:p>
    <w:p>
      <w:pPr>
        <w:pStyle w:val="Normal"/>
        <w:spacing w:lineRule="auto" w:line="240" w:before="0" w:after="0"/>
        <w:ind w:left="640" w:hanging="640"/>
        <w:contextualSpacing/>
        <w:rPr>
          <w:rFonts w:ascii="Calibri" w:hAnsi="Calibri" w:eastAsia="Times New Roman" w:cs="Calibri" w:cstheme="minorHAnsi"/>
          <w:bCs/>
          <w:color w:val="000000" w:themeColor="text1"/>
          <w:sz w:val="24"/>
          <w:szCs w:val="24"/>
          <w:lang w:val="lv-LV"/>
        </w:rPr>
      </w:pPr>
      <w:r>
        <w:rPr>
          <w:rFonts w:eastAsia="Times New Roman" w:cs="Calibri" w:cstheme="minorHAnsi"/>
          <w:color w:val="000000" w:themeColor="text1"/>
          <w:sz w:val="20"/>
          <w:szCs w:val="20"/>
          <w:lang w:val="lv-LV"/>
        </w:rPr>
        <w:t xml:space="preserve">8. </w:t>
      </w:r>
      <w:r>
        <w:rPr>
          <w:rFonts w:cs="Calibri" w:cstheme="minorHAnsi"/>
          <w:sz w:val="20"/>
          <w:szCs w:val="20"/>
          <w:lang w:val="lv-LV"/>
        </w:rPr>
        <w:tab/>
      </w:r>
      <w:r>
        <w:rPr>
          <w:rFonts w:eastAsia="Times New Roman" w:cs="Calibri" w:cstheme="minorHAnsi"/>
          <w:color w:val="000000" w:themeColor="text1"/>
          <w:sz w:val="20"/>
          <w:szCs w:val="20"/>
          <w:lang w:val="lv-LV"/>
        </w:rPr>
        <w:t xml:space="preserve">Garrison E, Marth G. Haplotype-based variant detection from short-read sequencing. July 2012. </w:t>
      </w:r>
      <w:hyperlink r:id="rId6">
        <w:r>
          <w:rPr>
            <w:rStyle w:val="InternetLink"/>
            <w:rFonts w:eastAsia="Times New Roman" w:cs="Calibri" w:cstheme="minorHAnsi"/>
            <w:color w:val="000000" w:themeColor="text1"/>
            <w:sz w:val="20"/>
            <w:szCs w:val="20"/>
            <w:lang w:val="lv-LV"/>
          </w:rPr>
          <w:t>https://arxiv.org/abs/1207.3907v2</w:t>
        </w:r>
      </w:hyperlink>
      <w:r>
        <w:rPr>
          <w:rFonts w:eastAsia="Times New Roman" w:cs="Calibri" w:cstheme="minorHAnsi"/>
          <w:color w:val="000000" w:themeColor="text1"/>
          <w:sz w:val="20"/>
          <w:szCs w:val="20"/>
          <w:lang w:val="lv-LV"/>
        </w:rPr>
        <w:t>. Accessed August 21, 2021.</w:t>
      </w:r>
    </w:p>
    <w:p>
      <w:pPr>
        <w:pStyle w:val="Normal"/>
        <w:spacing w:lineRule="auto" w:line="240" w:before="0" w:after="0"/>
        <w:ind w:left="640" w:hanging="640"/>
        <w:contextualSpacing/>
        <w:rPr>
          <w:rFonts w:ascii="Calibri" w:hAnsi="Calibri" w:eastAsia="Times New Roman" w:cs="Calibri" w:cstheme="minorHAnsi"/>
          <w:bCs/>
          <w:color w:val="000000" w:themeColor="text1"/>
          <w:sz w:val="24"/>
          <w:szCs w:val="24"/>
          <w:lang w:val="lv-LV"/>
        </w:rPr>
      </w:pPr>
      <w:r>
        <w:rPr>
          <w:rFonts w:eastAsia="Times New Roman" w:cs="Calibri" w:cstheme="minorHAnsi"/>
          <w:color w:val="000000" w:themeColor="text1"/>
          <w:sz w:val="20"/>
          <w:szCs w:val="20"/>
          <w:lang w:val="lv-LV"/>
        </w:rPr>
        <w:t xml:space="preserve">9. </w:t>
      </w:r>
      <w:r>
        <w:rPr>
          <w:rFonts w:cs="Calibri" w:cstheme="minorHAnsi"/>
          <w:sz w:val="20"/>
          <w:szCs w:val="20"/>
          <w:lang w:val="lv-LV"/>
        </w:rPr>
        <w:tab/>
      </w:r>
      <w:r>
        <w:rPr>
          <w:rFonts w:eastAsia="Times New Roman" w:cs="Calibri" w:cstheme="minorHAnsi"/>
          <w:color w:val="000000" w:themeColor="text1"/>
          <w:sz w:val="20"/>
          <w:szCs w:val="20"/>
          <w:lang w:val="lv-LV"/>
        </w:rPr>
        <w:t xml:space="preserve">Garrison E, Kronenberg ZN, Dawson ET, Pedersen BS, Prins P. Vcflib and tools for processing the VCF variant call format. </w:t>
      </w:r>
      <w:r>
        <w:rPr>
          <w:rFonts w:eastAsia="Times New Roman" w:cs="Calibri" w:cstheme="minorHAnsi"/>
          <w:i/>
          <w:iCs/>
          <w:color w:val="000000" w:themeColor="text1"/>
          <w:sz w:val="20"/>
          <w:szCs w:val="20"/>
          <w:lang w:val="lv-LV"/>
        </w:rPr>
        <w:t>bioRxiv</w:t>
      </w:r>
      <w:r>
        <w:rPr>
          <w:rFonts w:eastAsia="Times New Roman" w:cs="Calibri" w:cstheme="minorHAnsi"/>
          <w:color w:val="000000" w:themeColor="text1"/>
          <w:sz w:val="20"/>
          <w:szCs w:val="20"/>
          <w:lang w:val="lv-LV"/>
        </w:rPr>
        <w:t>. May 2021:2021.05.21.445151. doi:10.1101/2021.05.21.445151</w:t>
      </w:r>
    </w:p>
    <w:p>
      <w:pPr>
        <w:pStyle w:val="Normal"/>
        <w:spacing w:lineRule="auto" w:line="240" w:before="0" w:after="0"/>
        <w:ind w:left="640" w:hanging="640"/>
        <w:contextualSpacing/>
        <w:rPr>
          <w:sz w:val="20"/>
          <w:szCs w:val="20"/>
        </w:rPr>
      </w:pPr>
      <w:r>
        <w:rPr>
          <w:rFonts w:eastAsia="Times New Roman" w:cs="Calibri" w:cstheme="minorHAnsi"/>
          <w:color w:val="000000" w:themeColor="text1"/>
          <w:sz w:val="20"/>
          <w:szCs w:val="20"/>
          <w:lang w:val="lv-LV"/>
        </w:rPr>
        <w:t xml:space="preserve">10. </w:t>
      </w:r>
      <w:r>
        <w:rPr>
          <w:rFonts w:cs="Calibri" w:cstheme="minorHAnsi"/>
          <w:sz w:val="20"/>
          <w:szCs w:val="20"/>
          <w:lang w:val="lv-LV"/>
        </w:rPr>
        <w:tab/>
      </w:r>
      <w:r>
        <w:rPr>
          <w:rFonts w:eastAsia="Times New Roman" w:cs="Calibri" w:cstheme="minorHAnsi"/>
          <w:color w:val="000000" w:themeColor="text1"/>
          <w:sz w:val="20"/>
          <w:szCs w:val="20"/>
          <w:lang w:val="lv-LV"/>
        </w:rPr>
        <w:t xml:space="preserve">Cingolani P, Platts A, Wang LL, et al. A program for annotating and predicting the effects of single nucleotide polymorphisms, SnpEff:  SNPs in the genome of Drosophila melanogaster strain w1118; iso-2; iso-3. </w:t>
      </w:r>
      <w:r>
        <w:rPr>
          <w:rFonts w:eastAsia="Times New Roman" w:cs="Calibri" w:cstheme="minorHAnsi"/>
          <w:i/>
          <w:iCs/>
          <w:color w:val="000000" w:themeColor="text1"/>
          <w:sz w:val="20"/>
          <w:szCs w:val="20"/>
          <w:lang w:val="lv-LV"/>
        </w:rPr>
        <w:t>Fly (Austin)</w:t>
      </w:r>
      <w:r>
        <w:rPr>
          <w:rFonts w:eastAsia="Times New Roman" w:cs="Calibri" w:cstheme="minorHAnsi"/>
          <w:color w:val="000000" w:themeColor="text1"/>
          <w:sz w:val="20"/>
          <w:szCs w:val="20"/>
          <w:lang w:val="lv-LV"/>
        </w:rPr>
        <w:t>. 2012;6(2):80. doi:10.4161/FLY.19695</w:t>
      </w:r>
    </w:p>
    <w:p>
      <w:pPr>
        <w:sectPr>
          <w:headerReference w:type="default" r:id="rId7"/>
          <w:footerReference w:type="default" r:id="rId8"/>
          <w:type w:val="nextPage"/>
          <w:pgSz w:w="11906" w:h="16838"/>
          <w:pgMar w:left="720" w:right="1440" w:header="0" w:top="1440" w:footer="1440" w:bottom="1979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spacing w:lineRule="auto" w:line="240" w:before="0" w:after="160"/>
        <w:ind w:left="640" w:hanging="640"/>
        <w:contextualSpacing/>
        <w:rPr>
          <w:sz w:val="20"/>
          <w:szCs w:val="20"/>
        </w:rPr>
      </w:pPr>
      <w:r>
        <w:rPr>
          <w:rFonts w:eastAsia="Times New Roman" w:cs="Calibri" w:cstheme="minorHAnsi"/>
          <w:color w:val="000000" w:themeColor="text1"/>
          <w:sz w:val="20"/>
          <w:szCs w:val="20"/>
          <w:lang w:val="lv-LV"/>
        </w:rPr>
        <w:t xml:space="preserve">11. </w:t>
      </w:r>
      <w:r>
        <w:rPr>
          <w:rFonts w:eastAsia="Times New Roman" w:cs="Calibri" w:cstheme="minorHAnsi"/>
          <w:color w:val="000000"/>
          <w:sz w:val="20"/>
          <w:szCs w:val="20"/>
          <w:lang w:val="lv-LV"/>
        </w:rPr>
        <w:tab/>
      </w:r>
      <w:r>
        <w:rPr>
          <w:rFonts w:eastAsia="Times New Roman" w:cs="Calibri" w:cstheme="minorHAnsi"/>
          <w:color w:val="000000" w:themeColor="text1"/>
          <w:sz w:val="20"/>
          <w:szCs w:val="20"/>
          <w:lang w:val="lv-LV"/>
        </w:rPr>
        <w:t xml:space="preserve">O’Toole Á, Scher E, Underwood A, et al. Assignment of epidemiological lineages in an emerging pandemic using the pangolin tool. </w:t>
      </w:r>
      <w:r>
        <w:rPr>
          <w:rFonts w:eastAsia="Times New Roman" w:cs="Calibri" w:cstheme="minorHAnsi"/>
          <w:i/>
          <w:iCs/>
          <w:color w:val="000000" w:themeColor="text1"/>
          <w:sz w:val="20"/>
          <w:szCs w:val="20"/>
          <w:lang w:val="lv-LV"/>
        </w:rPr>
        <w:t>Virus Evol</w:t>
      </w:r>
      <w:r>
        <w:rPr>
          <w:rFonts w:eastAsia="Times New Roman" w:cs="Calibri" w:cstheme="minorHAnsi"/>
          <w:color w:val="000000" w:themeColor="text1"/>
          <w:sz w:val="20"/>
          <w:szCs w:val="20"/>
          <w:lang w:val="lv-LV"/>
        </w:rPr>
        <w:t>. July 2021. doi:10.1093/VE/VEAB064</w:t>
      </w:r>
    </w:p>
    <w:p>
      <w:pPr>
        <w:pStyle w:val="Normal"/>
        <w:spacing w:lineRule="auto" w:line="240" w:before="0" w:after="160"/>
        <w:ind w:left="640" w:hanging="640"/>
        <w:contextualSpacing/>
        <w:jc w:val="center"/>
        <w:rPr>
          <w:rFonts w:ascii="Calibri" w:hAnsi="Calibri"/>
        </w:rPr>
      </w:pPr>
      <w:r>
        <w:rPr/>
        <w:t>PIELIKUMS</w:t>
      </w:r>
    </w:p>
    <w:p>
      <w:pPr>
        <w:pStyle w:val="Normal"/>
        <w:rPr>
          <w:rFonts w:ascii="Calibri" w:hAnsi="Calibri"/>
        </w:rPr>
      </w:pPr>
      <w:r>
        <w:rPr>
          <w:rFonts w:eastAsia="Times New Roman" w:cs="Calibri" w:cstheme="minorHAnsi"/>
          <w:b/>
          <w:bCs/>
          <w:color w:val="000000" w:themeColor="text1"/>
          <w:sz w:val="24"/>
          <w:szCs w:val="24"/>
          <w:lang w:val="lv-LV"/>
        </w:rPr>
        <w:t>Paraugu saraksts</w:t>
      </w:r>
    </w:p>
    <w:p>
      <w:pPr>
        <w:pStyle w:val="Normal"/>
        <w:rPr>
          <w:rFonts w:ascii="Calibri" w:hAnsi="Calibri"/>
        </w:rPr>
      </w:pPr>
      <w:r>
        <w:rPr/>
      </w:r>
    </w:p>
    <w:tbl>
      <w:tblPr>
        <w:tblW w:w="14340" w:type="dxa"/>
        <w:jc w:val="left"/>
        <w:tblInd w:w="79" w:type="dxa"/>
        <w:tblCellMar>
          <w:top w:w="0" w:type="dxa"/>
          <w:left w:w="28" w:type="dxa"/>
          <w:bottom w:w="0" w:type="dxa"/>
          <w:right w:w="28" w:type="dxa"/>
        </w:tblCellMar>
        <w:tblLook w:val="04a0" w:noHBand="0" w:noVBand="1" w:firstColumn="1" w:lastRow="0" w:lastColumn="0" w:firstRow="1"/>
      </w:tblPr>
      <w:tblGrid>
        <w:gridCol w:w="2258"/>
        <w:gridCol w:w="1717"/>
        <w:gridCol w:w="1792"/>
        <w:gridCol w:w="2115"/>
        <w:gridCol w:w="1443"/>
        <w:gridCol w:w="2063"/>
        <w:gridCol w:w="2951"/>
      </w:tblGrid>
      <w:tr>
        <w:trPr>
          <w:trHeight w:val="276" w:hRule="atLeast"/>
        </w:trPr>
        <w:tc>
          <w:tcPr>
            <w:tcW w:w="2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spacing w:before="0" w:after="160"/>
              <w:contextualSpacing/>
              <w:jc w:val="center"/>
              <w:rPr>
                <w:rFonts w:ascii="Calibri" w:hAnsi="Calibri" w:eastAsia="Times New Roman" w:cs="Calibri" w:cstheme="minorHAnsi"/>
                <w:bCs/>
                <w:color w:val="000000" w:themeColor="text1"/>
                <w:sz w:val="24"/>
                <w:szCs w:val="24"/>
                <w:lang w:val="lv-LV"/>
              </w:rPr>
            </w:pPr>
            <w:r>
              <w:rPr>
                <w:rFonts w:eastAsia="Times New Roman" w:cs="Calibri" w:cstheme="minorHAnsi"/>
                <w:color w:val="000000" w:themeColor="text1"/>
                <w:sz w:val="24"/>
                <w:szCs w:val="24"/>
                <w:lang w:val="lv-LV"/>
              </w:rPr>
              <w:t>Parauga numurs p.k.</w:t>
            </w:r>
          </w:p>
        </w:tc>
        <w:tc>
          <w:tcPr>
            <w:tcW w:w="1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spacing w:before="0" w:after="160"/>
              <w:contextualSpacing/>
              <w:jc w:val="center"/>
              <w:rPr>
                <w:rFonts w:ascii="Calibri" w:hAnsi="Calibri" w:eastAsia="Times New Roman" w:cs="Calibri" w:cstheme="minorHAnsi"/>
                <w:bCs/>
                <w:color w:val="000000" w:themeColor="text1"/>
                <w:sz w:val="24"/>
                <w:szCs w:val="24"/>
                <w:lang w:val="lv-LV"/>
              </w:rPr>
            </w:pPr>
            <w:r>
              <w:rPr/>
              <w:t>Parauga sekv. ID</w:t>
            </w:r>
          </w:p>
        </w:tc>
        <w:tc>
          <w:tcPr>
            <w:tcW w:w="1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spacing w:before="0" w:after="160"/>
              <w:contextualSpacing/>
              <w:jc w:val="center"/>
              <w:rPr>
                <w:rFonts w:ascii="Calibri" w:hAnsi="Calibri" w:eastAsia="Times New Roman" w:cs="Calibri" w:cstheme="minorHAnsi"/>
                <w:bCs/>
                <w:color w:val="000000" w:themeColor="text1"/>
                <w:sz w:val="24"/>
                <w:szCs w:val="24"/>
                <w:lang w:val="lv-LV"/>
              </w:rPr>
            </w:pPr>
            <w:r>
              <w:rPr/>
              <w:t>Laboratorija</w:t>
            </w:r>
          </w:p>
        </w:tc>
        <w:tc>
          <w:tcPr>
            <w:tcW w:w="2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spacing w:before="0" w:after="160"/>
              <w:contextualSpacing/>
              <w:jc w:val="center"/>
              <w:rPr>
                <w:rFonts w:ascii="Calibri" w:hAnsi="Calibri" w:eastAsia="Times New Roman" w:cs="Calibri" w:cstheme="minorHAnsi"/>
                <w:bCs/>
                <w:color w:val="000000" w:themeColor="text1"/>
                <w:sz w:val="24"/>
                <w:szCs w:val="24"/>
                <w:lang w:val="lv-LV"/>
              </w:rPr>
            </w:pPr>
            <w:r>
              <w:rPr/>
              <w:t>Paņemšanas datums, (gggg-mm-dd)</w:t>
            </w:r>
          </w:p>
        </w:tc>
        <w:tc>
          <w:tcPr>
            <w:tcW w:w="1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spacing w:before="0" w:after="160"/>
              <w:contextualSpacing/>
              <w:jc w:val="center"/>
              <w:rPr>
                <w:rFonts w:ascii="Calibri" w:hAnsi="Calibri" w:eastAsia="Times New Roman" w:cs="Calibri" w:cstheme="minorHAnsi"/>
                <w:bCs/>
                <w:color w:val="000000" w:themeColor="text1"/>
                <w:sz w:val="24"/>
                <w:szCs w:val="24"/>
                <w:lang w:val="lv-LV"/>
              </w:rPr>
            </w:pPr>
            <w:r>
              <w:rPr/>
              <w:t>Paveids/ apakšpaveids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spacing w:before="0" w:after="160"/>
              <w:contextualSpacing/>
              <w:jc w:val="center"/>
              <w:rPr>
                <w:rFonts w:ascii="Calibri" w:hAnsi="Calibri" w:eastAsia="Times New Roman" w:cs="Calibri" w:cstheme="minorHAnsi"/>
                <w:bCs/>
                <w:color w:val="000000" w:themeColor="text1"/>
                <w:sz w:val="24"/>
                <w:szCs w:val="24"/>
                <w:lang w:val="lv-LV"/>
              </w:rPr>
            </w:pPr>
            <w:r>
              <w:rPr/>
              <w:t>Sekvencēšanas laboratorija</w:t>
            </w:r>
          </w:p>
        </w:tc>
        <w:tc>
          <w:tcPr>
            <w:tcW w:w="2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pacing w:before="0" w:after="160"/>
              <w:contextualSpacing/>
              <w:jc w:val="center"/>
              <w:rPr>
                <w:rFonts w:ascii="Calibri" w:hAnsi="Calibri" w:eastAsia="Times New Roman" w:cs="Calibri" w:cstheme="minorHAnsi"/>
                <w:bCs/>
                <w:color w:val="000000" w:themeColor="text1"/>
                <w:sz w:val="24"/>
                <w:szCs w:val="24"/>
                <w:lang w:val="lv-LV"/>
              </w:rPr>
            </w:pPr>
            <w:r>
              <w:rPr/>
              <w:t xml:space="preserve">Parauga paņemšanas </w:t>
              <w:br/>
              <w:t>novads</w:t>
            </w:r>
            <w:bookmarkStart w:id="0" w:name="_GoBack"/>
            <w:bookmarkEnd w:id="0"/>
          </w:p>
        </w:tc>
      </w:tr>
      <w:tr>
        <w:trPr>
          <w:trHeight w:val="276" w:hRule="atLeast"/>
        </w:trPr>
        <w:tc>
          <w:tcPr>
            <w:tcW w:w="14339" w:type="dxa"/>
            <w:gridSpan w:val="7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pacing w:before="0" w:after="160"/>
              <w:contextualSpacing/>
              <w:jc w:val="center"/>
              <w:rPr>
                <w:rFonts w:ascii="Calibri" w:hAnsi="Calibri" w:eastAsia="Times New Roman" w:cs="Calibri" w:cstheme="minorHAnsi"/>
                <w:bCs/>
                <w:color w:val="000000" w:themeColor="text1"/>
                <w:sz w:val="24"/>
                <w:szCs w:val="24"/>
                <w:lang w:val="lv-LV"/>
              </w:rPr>
            </w:pPr>
            <w:r>
              <w:rPr/>
              <w:t>{%tr for item in total_data_table%}</w:t>
            </w:r>
          </w:p>
        </w:tc>
      </w:tr>
      <w:tr>
        <w:trPr>
          <w:trHeight w:val="276" w:hRule="atLeast"/>
        </w:trPr>
        <w:tc>
          <w:tcPr>
            <w:tcW w:w="225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spacing w:before="0" w:after="160"/>
              <w:contextualSpacing/>
              <w:jc w:val="center"/>
              <w:rPr>
                <w:rFonts w:ascii="Calibri" w:hAnsi="Calibri" w:eastAsia="Times New Roman" w:cs="Calibri" w:cstheme="minorHAnsi"/>
                <w:bCs/>
                <w:color w:val="000000" w:themeColor="text1"/>
                <w:sz w:val="24"/>
                <w:szCs w:val="24"/>
                <w:lang w:val="lv-LV"/>
              </w:rPr>
            </w:pPr>
            <w:r>
              <w:rPr/>
              <w:t>{{item.sample_number}}</w:t>
            </w:r>
          </w:p>
        </w:tc>
        <w:tc>
          <w:tcPr>
            <w:tcW w:w="171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spacing w:before="0" w:after="160"/>
              <w:contextualSpacing/>
              <w:jc w:val="center"/>
              <w:rPr>
                <w:rFonts w:ascii="Calibri" w:hAnsi="Calibri" w:eastAsia="Times New Roman" w:cs="Calibri" w:cstheme="minorHAnsi"/>
                <w:bCs/>
                <w:color w:val="000000" w:themeColor="text1"/>
                <w:sz w:val="24"/>
                <w:szCs w:val="24"/>
                <w:lang w:val="lv-LV"/>
              </w:rPr>
            </w:pPr>
            <w:r>
              <w:rPr/>
              <w:t>{{item.sample_id}}</w:t>
            </w:r>
          </w:p>
        </w:tc>
        <w:tc>
          <w:tcPr>
            <w:tcW w:w="179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spacing w:before="0" w:after="160"/>
              <w:contextualSpacing/>
              <w:jc w:val="center"/>
              <w:rPr>
                <w:rFonts w:ascii="Calibri" w:hAnsi="Calibri" w:eastAsia="Times New Roman" w:cs="Calibri" w:cstheme="minorHAnsi"/>
                <w:bCs/>
                <w:color w:val="000000" w:themeColor="text1"/>
                <w:sz w:val="24"/>
                <w:szCs w:val="24"/>
                <w:lang w:val="lv-LV"/>
              </w:rPr>
            </w:pPr>
            <w:r>
              <w:rPr/>
              <w:t>{{item.testing_lab}}</w:t>
            </w:r>
          </w:p>
        </w:tc>
        <w:tc>
          <w:tcPr>
            <w:tcW w:w="211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spacing w:before="0" w:after="160"/>
              <w:contextualSpacing/>
              <w:jc w:val="center"/>
              <w:rPr>
                <w:rFonts w:ascii="Calibri" w:hAnsi="Calibri" w:eastAsia="Times New Roman" w:cs="Calibri" w:cstheme="minorHAnsi"/>
                <w:bCs/>
                <w:color w:val="000000" w:themeColor="text1"/>
                <w:sz w:val="24"/>
                <w:szCs w:val="24"/>
                <w:lang w:val="lv-LV"/>
              </w:rPr>
            </w:pPr>
            <w:r>
              <w:rPr/>
              <w:t>{{item.sampling_date}}</w:t>
            </w:r>
          </w:p>
        </w:tc>
        <w:tc>
          <w:tcPr>
            <w:tcW w:w="144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spacing w:before="0" w:after="160"/>
              <w:contextualSpacing/>
              <w:jc w:val="center"/>
              <w:rPr>
                <w:rFonts w:ascii="Calibri" w:hAnsi="Calibri" w:eastAsia="Times New Roman" w:cs="Calibri" w:cstheme="minorHAnsi"/>
                <w:bCs/>
                <w:color w:val="000000" w:themeColor="text1"/>
                <w:sz w:val="24"/>
                <w:szCs w:val="24"/>
                <w:lang w:val="lv-LV"/>
              </w:rPr>
            </w:pPr>
            <w:r>
              <w:rPr/>
              <w:t>{{item.lineage}}</w:t>
            </w:r>
          </w:p>
        </w:tc>
        <w:tc>
          <w:tcPr>
            <w:tcW w:w="206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spacing w:before="0" w:after="160"/>
              <w:contextualSpacing/>
              <w:jc w:val="center"/>
              <w:rPr>
                <w:rFonts w:ascii="Calibri" w:hAnsi="Calibri" w:eastAsia="Times New Roman" w:cs="Calibri" w:cstheme="minorHAnsi"/>
                <w:bCs/>
                <w:color w:val="000000" w:themeColor="text1"/>
                <w:sz w:val="24"/>
                <w:szCs w:val="24"/>
                <w:lang w:val="lv-LV"/>
              </w:rPr>
            </w:pPr>
            <w:r>
              <w:rPr/>
              <w:t>{{item.sequenced}}</w:t>
            </w:r>
          </w:p>
        </w:tc>
        <w:tc>
          <w:tcPr>
            <w:tcW w:w="29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pacing w:before="0" w:after="160"/>
              <w:contextualSpacing/>
              <w:jc w:val="center"/>
              <w:rPr>
                <w:rFonts w:ascii="Calibri" w:hAnsi="Calibri" w:eastAsia="Times New Roman" w:cs="Calibri" w:cstheme="minorHAnsi"/>
                <w:bCs/>
                <w:color w:val="000000" w:themeColor="text1"/>
                <w:sz w:val="24"/>
                <w:szCs w:val="24"/>
                <w:lang w:val="lv-LV"/>
              </w:rPr>
            </w:pPr>
            <w:r>
              <w:rPr/>
              <w:t>{{item.district}}</w:t>
            </w:r>
          </w:p>
        </w:tc>
      </w:tr>
      <w:tr>
        <w:trPr>
          <w:trHeight w:val="276" w:hRule="atLeast"/>
        </w:trPr>
        <w:tc>
          <w:tcPr>
            <w:tcW w:w="14339" w:type="dxa"/>
            <w:gridSpan w:val="7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pacing w:before="0" w:after="160"/>
              <w:contextualSpacing/>
              <w:jc w:val="center"/>
              <w:rPr>
                <w:rFonts w:ascii="Calibri" w:hAnsi="Calibri" w:eastAsia="Times New Roman" w:cs="Calibri" w:cstheme="minorHAnsi"/>
                <w:bCs/>
                <w:color w:val="000000" w:themeColor="text1"/>
                <w:sz w:val="24"/>
                <w:szCs w:val="24"/>
                <w:lang w:val="lv-LV"/>
              </w:rPr>
            </w:pPr>
            <w:r>
              <w:rPr/>
              <w:t>{%tr endfor %}</w:t>
            </w:r>
          </w:p>
        </w:tc>
      </w:tr>
    </w:tbl>
    <w:p>
      <w:pPr>
        <w:pStyle w:val="Normal"/>
        <w:spacing w:before="0" w:after="160"/>
        <w:contextualSpacing/>
        <w:rPr>
          <w:rFonts w:ascii="Calibri" w:hAnsi="Calibri"/>
        </w:rPr>
      </w:pPr>
      <w:r>
        <w:rPr/>
      </w:r>
    </w:p>
    <w:sectPr>
      <w:headerReference w:type="default" r:id="rId9"/>
      <w:footerReference w:type="default" r:id="rId10"/>
      <w:type w:val="nextPage"/>
      <w:pgSz w:orient="landscape" w:w="16838" w:h="11906"/>
      <w:pgMar w:left="1134" w:right="1134" w:header="0" w:top="1134" w:footer="1134" w:bottom="167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5</w:t>
    </w:r>
    <w:r>
      <w:rPr/>
      <w:fldChar w:fldCharType="end"/>
    </w:r>
    <w:r>
      <w:rPr/>
      <w:t>/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7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6</w:t>
    </w:r>
    <w:r>
      <w:rPr/>
      <w:fldChar w:fldCharType="end"/>
    </w:r>
    <w:r>
      <w:rPr/>
      <w:t>/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7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7</w:t>
    </w:r>
    <w:r>
      <w:rPr/>
      <w:fldChar w:fldCharType="end"/>
    </w:r>
    <w:r>
      <w:rPr/>
      <w:t>/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7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b/>
        <w:b/>
        <w:lang w:val="lv-LV"/>
      </w:rPr>
    </w:pPr>
    <w:r>
      <w:rPr>
        <w:b/>
        <w:lang w:val="lv-LV"/>
      </w:rPr>
    </w:r>
  </w:p>
  <w:p>
    <w:pPr>
      <w:pStyle w:val="Header"/>
      <w:jc w:val="right"/>
      <w:rPr>
        <w:b/>
        <w:b/>
        <w:lang w:val="lv-LV"/>
      </w:rPr>
    </w:pPr>
    <w:r>
      <w:rPr>
        <w:b/>
        <w:lang w:val="lv-LV"/>
      </w:rPr>
    </w:r>
  </w:p>
  <w:p>
    <w:pPr>
      <w:pStyle w:val="Header"/>
      <w:jc w:val="right"/>
      <w:rPr>
        <w:b/>
        <w:b/>
        <w:lang w:val="lv-LV"/>
      </w:rPr>
    </w:pPr>
    <w:r>
      <w:rPr>
        <w:b/>
        <w:lang w:val="lv-LV"/>
      </w:rPr>
      <w:t>Laboratorijas dienests</w:t>
    </w:r>
  </w:p>
  <w:p>
    <w:pPr>
      <w:pStyle w:val="Header"/>
      <w:jc w:val="right"/>
      <w:rPr>
        <w:b/>
        <w:b/>
        <w:lang w:val="lv-LV"/>
      </w:rPr>
    </w:pPr>
    <w:r>
      <w:drawing>
        <wp:anchor behindDoc="1" distT="0" distB="0" distL="0" distR="0" simplePos="0" locked="0" layoutInCell="1" allowOverlap="1" relativeHeight="7">
          <wp:simplePos x="0" y="0"/>
          <wp:positionH relativeFrom="margin">
            <wp:align>left</wp:align>
          </wp:positionH>
          <wp:positionV relativeFrom="paragraph">
            <wp:posOffset>8890</wp:posOffset>
          </wp:positionV>
          <wp:extent cx="1998980" cy="563245"/>
          <wp:effectExtent l="0" t="0" r="0" b="0"/>
          <wp:wrapNone/>
          <wp:docPr id="1" name="Image1" descr="Aslimnica_Veidlapa_C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Aslimnica_Veidlapa_Cc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4022" t="5312" r="54867" b="88525"/>
                  <a:stretch>
                    <a:fillRect/>
                  </a:stretch>
                </pic:blipFill>
                <pic:spPr bwMode="auto">
                  <a:xfrm>
                    <a:off x="0" y="0"/>
                    <a:ext cx="1998980" cy="563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lang w:val="lv-LV"/>
      </w:rPr>
      <w:t>S</w:t>
    </w:r>
    <w:r>
      <w:rPr>
        <w:b/>
        <w:lang w:val="lv-LV"/>
      </w:rPr>
      <w:t>IA Rīgas Austrumu klīniskā universitātes slimnīca</w:t>
    </w:r>
  </w:p>
  <w:p>
    <w:pPr>
      <w:pStyle w:val="Header"/>
      <w:tabs>
        <w:tab w:val="left" w:pos="2280" w:leader="none"/>
        <w:tab w:val="center" w:pos="4513" w:leader="none"/>
        <w:tab w:val="right" w:pos="9026" w:leader="none"/>
        <w:tab w:val="right" w:pos="9746" w:leader="none"/>
      </w:tabs>
      <w:jc w:val="right"/>
      <w:rPr>
        <w:lang w:val="lv-LV"/>
      </w:rPr>
    </w:pPr>
    <w:r>
      <w:rPr>
        <w:lang w:val="lv-LV"/>
      </w:rPr>
      <w:tab/>
      <w:tab/>
      <w:tab/>
      <w:t>Linezera iela 3, k-4, Rīga, LV-1006, Latvija</w:t>
    </w:r>
  </w:p>
  <w:p>
    <w:pPr>
      <w:pStyle w:val="Header"/>
      <w:jc w:val="right"/>
      <w:rPr>
        <w:lang w:val="lv-LV"/>
      </w:rPr>
    </w:pPr>
    <w:r>
      <w:rPr>
        <w:lang w:val="lv-LV"/>
      </w:rPr>
      <w:t>Paraugu pieņemšanas daļa (tālr.: 67014573; 29114493)</w:t>
    </w:r>
  </w:p>
  <w:p>
    <w:pPr>
      <w:pStyle w:val="Header"/>
      <w:jc w:val="right"/>
      <w:rPr>
        <w:lang w:val="lv-LV"/>
      </w:rPr>
    </w:pPr>
    <w:r>
      <w:rPr>
        <w:lang w:val="lv-LV"/>
      </w:rPr>
      <w:t>Sekvencēšanas daļa (tālr.: 67014523)</w:t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b/>
        <w:b/>
        <w:lang w:val="lv-LV"/>
      </w:rPr>
    </w:pPr>
    <w:r>
      <w:rPr>
        <w:b/>
        <w:lang w:val="lv-LV"/>
      </w:rPr>
    </w:r>
  </w:p>
  <w:p>
    <w:pPr>
      <w:pStyle w:val="Header"/>
      <w:jc w:val="right"/>
      <w:rPr>
        <w:b/>
        <w:b/>
        <w:lang w:val="lv-LV"/>
      </w:rPr>
    </w:pPr>
    <w:r>
      <w:rPr>
        <w:b/>
        <w:lang w:val="lv-LV"/>
      </w:rPr>
      <w:t>Laboratorijas dienests</w:t>
    </w:r>
  </w:p>
  <w:p>
    <w:pPr>
      <w:pStyle w:val="Header"/>
      <w:jc w:val="right"/>
      <w:rPr>
        <w:b/>
        <w:b/>
        <w:lang w:val="lv-LV"/>
      </w:rPr>
    </w:pPr>
    <w:r>
      <w:drawing>
        <wp:anchor behindDoc="1" distT="0" distB="0" distL="0" distR="0" simplePos="0" locked="0" layoutInCell="1" allowOverlap="1" relativeHeight="2">
          <wp:simplePos x="0" y="0"/>
          <wp:positionH relativeFrom="margin">
            <wp:align>left</wp:align>
          </wp:positionH>
          <wp:positionV relativeFrom="paragraph">
            <wp:posOffset>8890</wp:posOffset>
          </wp:positionV>
          <wp:extent cx="1998980" cy="563245"/>
          <wp:effectExtent l="0" t="0" r="0" b="0"/>
          <wp:wrapNone/>
          <wp:docPr id="2" name="Image2" descr="Aslimnica_Veidlapa_C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Aslimnica_Veidlapa_Cc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4022" t="5312" r="54867" b="88525"/>
                  <a:stretch>
                    <a:fillRect/>
                  </a:stretch>
                </pic:blipFill>
                <pic:spPr bwMode="auto">
                  <a:xfrm>
                    <a:off x="0" y="0"/>
                    <a:ext cx="1998980" cy="563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lang w:val="lv-LV"/>
      </w:rPr>
      <w:t>S</w:t>
    </w:r>
    <w:r>
      <w:rPr>
        <w:b/>
        <w:lang w:val="lv-LV"/>
      </w:rPr>
      <w:t>IA Rīgas Austrumu klīniskā universitātes slimnīca</w:t>
    </w:r>
  </w:p>
  <w:p>
    <w:pPr>
      <w:pStyle w:val="Header"/>
      <w:tabs>
        <w:tab w:val="left" w:pos="2280" w:leader="none"/>
        <w:tab w:val="center" w:pos="4513" w:leader="none"/>
        <w:tab w:val="right" w:pos="9026" w:leader="none"/>
        <w:tab w:val="right" w:pos="9746" w:leader="none"/>
      </w:tabs>
      <w:jc w:val="right"/>
      <w:rPr>
        <w:lang w:val="lv-LV"/>
      </w:rPr>
    </w:pPr>
    <w:r>
      <w:rPr>
        <w:lang w:val="lv-LV"/>
      </w:rPr>
      <w:tab/>
      <w:tab/>
      <w:tab/>
      <w:t>Linezera iela 3, k-4, Rīga, LV-1006, Latvija</w:t>
    </w:r>
  </w:p>
  <w:p>
    <w:pPr>
      <w:pStyle w:val="Header"/>
      <w:jc w:val="right"/>
      <w:rPr>
        <w:lang w:val="lv-LV"/>
      </w:rPr>
    </w:pPr>
    <w:r>
      <w:rPr>
        <w:lang w:val="lv-LV"/>
      </w:rPr>
      <w:t>Paraugu pieņemšanas daļa (tālr.: 67014573; 29114493)</w:t>
    </w:r>
  </w:p>
  <w:p>
    <w:pPr>
      <w:pStyle w:val="Header"/>
      <w:jc w:val="right"/>
      <w:rPr>
        <w:lang w:val="lv-LV"/>
      </w:rPr>
    </w:pPr>
    <w:r>
      <w:rPr>
        <w:lang w:val="lv-LV"/>
      </w:rPr>
      <w:t>Sekvencēšanas daļa (tālr.: 67014523)</w:t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suppressAutoHyphens w:val="true"/>
      <w:bidi w:val="0"/>
      <w:spacing w:lineRule="auto" w:line="259" w:before="0" w:after="16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NumberingSymbols" w:customStyle="1">
    <w:name w:val="Numbering Symbols"/>
    <w:qFormat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c0481"/>
    <w:rPr>
      <w:color w:val="605E5C"/>
      <w:shd w:fill="E1DFDD" w:val="clear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c37507"/>
    <w:rPr>
      <w:sz w:val="22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c37507"/>
    <w:rPr>
      <w:sz w:val="22"/>
    </w:rPr>
  </w:style>
  <w:style w:type="character" w:styleId="VisitedInternetLink">
    <w:name w:val="FollowedHyperlink"/>
    <w:rPr>
      <w:color w:val="800000"/>
      <w:u w:val="singl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8130d7"/>
    <w:pPr>
      <w:spacing w:before="0" w:after="160"/>
      <w:ind w:left="720" w:hanging="0"/>
      <w:contextualSpacing/>
    </w:pPr>
    <w:rPr/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37507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c37507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e4ae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yperlink" Target="https://github.com/NMRL/SARS-CoV2_assembly" TargetMode="External"/><Relationship Id="rId5" Type="http://schemas.openxmlformats.org/officeDocument/2006/relationships/hyperlink" Target="https://arxiv.org/abs/1303.3997v2" TargetMode="External"/><Relationship Id="rId6" Type="http://schemas.openxmlformats.org/officeDocument/2006/relationships/hyperlink" Target="https://arxiv.org/abs/1207.3907v2" TargetMode="Externa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Application>LibreOffice/6.4.7.2$Linux_X86_64 LibreOffice_project/40$Build-2</Application>
  <Pages>7</Pages>
  <Words>514</Words>
  <Characters>3884</Characters>
  <CharactersWithSpaces>4353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2021-09-17T08:26:00Z</dcterms:created>
  <dc:creator>Jevgenijs Bodrenko</dc:creator>
  <dc:description/>
  <dc:language>en-US</dc:language>
  <cp:lastModifiedBy/>
  <cp:lastPrinted>2021-09-13T15:45:00Z</cp:lastPrinted>
  <dcterms:modified xsi:type="dcterms:W3CDTF">2022-10-05T12:15:43Z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Mendeley Citation Style_1">
    <vt:lpwstr>http://www.zotero.org/styles/apa</vt:lpwstr>
  </property>
  <property fmtid="{D5CDD505-2E9C-101B-9397-08002B2CF9AE}" pid="7" name="Mendeley Document_1">
    <vt:lpwstr>True</vt:lpwstr>
  </property>
  <property fmtid="{D5CDD505-2E9C-101B-9397-08002B2CF9AE}" pid="8" name="Mendeley Unique User Id_1">
    <vt:lpwstr>f907563e-ce0d-3d2d-beac-f9e032a599ba</vt:lpwstr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