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folder contains SAXS data on POPC multilamellar vesicles (MLVs) at various cholesterol concentrations. Data have been obtained at the EMBL BioSAXS beamline (Hamburg) using 20 keV photons, T = 27°C. Data were analyzed in terms of the SDP-GAP model described in Heftberger et al., J. Appl. Cryst. 2013 and Heftberger et al. Biophys. J. 2015. Data from MLVs are a convolute of structure factor (the crystalline lattice) and form factor. By fitting the scattered intensity data we obtain both contributions. Here we posted only form factors (ASCII format). For information on the quality of the fit we also give plots of the fitted intensity data. The electron density profile has been modelled in terms of the SDP model (see papers by Kucerka and coworkers), that is volume distribution functions are modelled by individual Gaussians or error functions. Cholesterol is also accounted for by two Gaussians. This model has been proposed by Jianjun Pan (USF, Tampa, FL), but is to the best of our knowledge not published (see also PhD Thesis by Peter Heftberger). Additional figures show the volume distribution functions and the resulting electron density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Authors to consult and potentially include in publications using this data:</w:t>
      </w:r>
      <w:r w:rsidDel="00000000" w:rsidR="00000000" w:rsidRPr="00000000">
        <w:rPr>
          <w:rtl w:val="0"/>
        </w:rPr>
        <w:t xml:space="preserve"> Peter Heftberger (peter.heftberger@gmx.at), Georg Pabst (georg.pabst@uni-graz.at)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