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Nhóm 23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và tên: Trần Minh Mẫn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MSSV: 20110301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6: 23/04/2023: Xây dựng thông tin các rủi ro về nguồn lực tài chính cho phần rủi ro về nguồn lực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line="276" w:lineRule="auto"/>
        <w:ind w:left="1092" w:hanging="372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Nguồn lực tài chính</w:t>
      </w:r>
    </w:p>
    <w:tbl>
      <w:tblPr>
        <w:tblStyle w:val="Table1"/>
        <w:tblW w:w="10245.0" w:type="dxa"/>
        <w:jc w:val="left"/>
        <w:tblInd w:w="-28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790"/>
        <w:gridCol w:w="1035"/>
        <w:gridCol w:w="1170"/>
        <w:gridCol w:w="1080"/>
        <w:gridCol w:w="4170"/>
        <w:tblGridChange w:id="0">
          <w:tblGrid>
            <w:gridCol w:w="2790"/>
            <w:gridCol w:w="1035"/>
            <w:gridCol w:w="1170"/>
            <w:gridCol w:w="1080"/>
            <w:gridCol w:w="4170"/>
          </w:tblGrid>
        </w:tblGridChange>
      </w:tblGrid>
      <w:tr>
        <w:trPr>
          <w:cantSplit w:val="0"/>
          <w:trHeight w:val="378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Rủi ro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Khả năng xảy ra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Mức độ ảnh hưởng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Mức độ rủi ro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right="-114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Kế hoạch hạn chế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Thiếu kinh phí mua bản quyền phần mềm, công cụ, dịch vụ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Dự toán kinh phí, tìm nguồn tài trợ, sử dụng công nghệ mã nguồn mở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Khó đảm bảo tài trợ bền vững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Tìm các nguồn tài trợ đa dạng, kết hợp các hình thức tài trợ, tối ưu chi phí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276" w:lineRule="auto"/>
        <w:ind w:left="1092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92" w:hanging="372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