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page" w:tblpX="6407" w:tblpY="-89"/>
        <w:tblW w:w="0" w:type="auto"/>
        <w:tblLayout w:type="fixed"/>
        <w:tblCellMar>
          <w:left w:w="0" w:type="dxa"/>
          <w:right w:w="0" w:type="dxa"/>
        </w:tblCellMar>
        <w:tblLook w:val="01E0" w:firstRow="1" w:lastRow="1" w:firstColumn="1" w:lastColumn="1" w:noHBand="0" w:noVBand="0"/>
      </w:tblPr>
      <w:tblGrid>
        <w:gridCol w:w="2268"/>
        <w:gridCol w:w="1843"/>
      </w:tblGrid>
      <w:tr w:rsidR="00AD687E" w:rsidRPr="00B9076D" w14:paraId="17222F8A" w14:textId="77777777" w:rsidTr="00705ADB">
        <w:trPr>
          <w:trHeight w:val="232"/>
        </w:trPr>
        <w:tc>
          <w:tcPr>
            <w:tcW w:w="2268" w:type="dxa"/>
          </w:tcPr>
          <w:p w14:paraId="1FCE9C26" w14:textId="3179B5E3" w:rsidR="00AD687E" w:rsidRPr="00B9076D" w:rsidRDefault="00AD687E" w:rsidP="00581196">
            <w:pPr>
              <w:pStyle w:val="TableParagraph"/>
              <w:spacing w:line="183" w:lineRule="exact"/>
              <w:ind w:left="50"/>
              <w:jc w:val="both"/>
              <w:rPr>
                <w:b/>
                <w:bCs/>
                <w:sz w:val="20"/>
                <w:szCs w:val="20"/>
              </w:rPr>
            </w:pPr>
            <w:r w:rsidRPr="00B9076D">
              <w:rPr>
                <w:b/>
                <w:bCs/>
                <w:spacing w:val="-2"/>
                <w:sz w:val="20"/>
                <w:szCs w:val="20"/>
              </w:rPr>
              <w:t>Rating:</w:t>
            </w:r>
          </w:p>
        </w:tc>
        <w:tc>
          <w:tcPr>
            <w:tcW w:w="1843" w:type="dxa"/>
          </w:tcPr>
          <w:p w14:paraId="54493279" w14:textId="153B729C" w:rsidR="00AD687E" w:rsidRPr="00B9076D" w:rsidRDefault="00D360CA" w:rsidP="00581196">
            <w:pPr>
              <w:pStyle w:val="TableParagraph"/>
              <w:spacing w:line="183" w:lineRule="exact"/>
              <w:ind w:left="0" w:right="47"/>
              <w:jc w:val="both"/>
              <w:rPr>
                <w:bCs/>
                <w:sz w:val="20"/>
                <w:szCs w:val="20"/>
              </w:rPr>
            </w:pPr>
            <w:r w:rsidRPr="00CD0B81">
              <w:rPr>
                <w:bCs/>
                <w:spacing w:val="-2"/>
                <w:sz w:val="20"/>
                <w:szCs w:val="20"/>
                <w:highlight w:val="yellow"/>
              </w:rPr>
              <w:t>BUY</w:t>
            </w:r>
          </w:p>
        </w:tc>
      </w:tr>
      <w:tr w:rsidR="00AD687E" w:rsidRPr="00B9076D" w14:paraId="5B4412F1" w14:textId="77777777" w:rsidTr="00705ADB">
        <w:trPr>
          <w:trHeight w:val="273"/>
        </w:trPr>
        <w:tc>
          <w:tcPr>
            <w:tcW w:w="2268" w:type="dxa"/>
          </w:tcPr>
          <w:p w14:paraId="158683F9" w14:textId="0898565E" w:rsidR="00AD687E" w:rsidRPr="00B9076D" w:rsidRDefault="00AD687E" w:rsidP="00581196">
            <w:pPr>
              <w:pStyle w:val="TableParagraph"/>
              <w:spacing w:before="16" w:line="240" w:lineRule="auto"/>
              <w:ind w:left="50"/>
              <w:jc w:val="both"/>
              <w:rPr>
                <w:b/>
                <w:bCs/>
                <w:sz w:val="20"/>
                <w:szCs w:val="20"/>
              </w:rPr>
            </w:pPr>
            <w:r w:rsidRPr="00B9076D">
              <w:rPr>
                <w:b/>
                <w:bCs/>
                <w:sz w:val="20"/>
                <w:szCs w:val="20"/>
              </w:rPr>
              <w:t>Price</w:t>
            </w:r>
            <w:r w:rsidRPr="00B9076D">
              <w:rPr>
                <w:b/>
                <w:bCs/>
                <w:spacing w:val="-6"/>
                <w:sz w:val="20"/>
                <w:szCs w:val="20"/>
              </w:rPr>
              <w:t xml:space="preserve"> </w:t>
            </w:r>
            <w:r w:rsidRPr="00B9076D">
              <w:rPr>
                <w:b/>
                <w:bCs/>
                <w:sz w:val="20"/>
                <w:szCs w:val="20"/>
              </w:rPr>
              <w:t>(</w:t>
            </w:r>
            <w:r w:rsidR="007A4AF2">
              <w:rPr>
                <w:b/>
                <w:bCs/>
                <w:sz w:val="20"/>
                <w:szCs w:val="20"/>
              </w:rPr>
              <w:t>2025/09/12</w:t>
            </w:r>
            <w:r w:rsidRPr="00B9076D">
              <w:rPr>
                <w:b/>
                <w:bCs/>
                <w:sz w:val="20"/>
                <w:szCs w:val="20"/>
              </w:rPr>
              <w:t>,</w:t>
            </w:r>
            <w:r w:rsidRPr="00B9076D">
              <w:rPr>
                <w:b/>
                <w:bCs/>
                <w:spacing w:val="-4"/>
                <w:sz w:val="20"/>
                <w:szCs w:val="20"/>
              </w:rPr>
              <w:t xml:space="preserve"> </w:t>
            </w:r>
            <w:r w:rsidR="00D360CA" w:rsidRPr="00B9076D">
              <w:rPr>
                <w:b/>
                <w:bCs/>
                <w:spacing w:val="-2"/>
                <w:sz w:val="20"/>
                <w:szCs w:val="20"/>
              </w:rPr>
              <w:t>$</w:t>
            </w:r>
            <w:r w:rsidRPr="00B9076D">
              <w:rPr>
                <w:b/>
                <w:bCs/>
                <w:spacing w:val="-2"/>
                <w:sz w:val="20"/>
                <w:szCs w:val="20"/>
              </w:rPr>
              <w:t>):</w:t>
            </w:r>
          </w:p>
        </w:tc>
        <w:tc>
          <w:tcPr>
            <w:tcW w:w="1843" w:type="dxa"/>
          </w:tcPr>
          <w:p w14:paraId="64819BD4" w14:textId="729FC30B" w:rsidR="00AD687E" w:rsidRPr="00B9076D" w:rsidRDefault="00D360CA" w:rsidP="00581196">
            <w:pPr>
              <w:pStyle w:val="TableParagraph"/>
              <w:spacing w:before="16" w:line="240" w:lineRule="auto"/>
              <w:ind w:left="0" w:right="79"/>
              <w:jc w:val="both"/>
              <w:rPr>
                <w:sz w:val="20"/>
                <w:szCs w:val="20"/>
              </w:rPr>
            </w:pPr>
            <w:r w:rsidRPr="00B9076D">
              <w:rPr>
                <w:spacing w:val="-4"/>
                <w:sz w:val="20"/>
                <w:szCs w:val="20"/>
              </w:rPr>
              <w:t>$</w:t>
            </w:r>
            <w:r w:rsidR="002B2561">
              <w:rPr>
                <w:spacing w:val="-4"/>
                <w:sz w:val="20"/>
                <w:szCs w:val="20"/>
              </w:rPr>
              <w:t>18,32</w:t>
            </w:r>
          </w:p>
        </w:tc>
      </w:tr>
      <w:tr w:rsidR="00AD687E" w:rsidRPr="00B9076D" w14:paraId="60640D3F" w14:textId="77777777" w:rsidTr="00705ADB">
        <w:trPr>
          <w:trHeight w:val="270"/>
        </w:trPr>
        <w:tc>
          <w:tcPr>
            <w:tcW w:w="2268" w:type="dxa"/>
          </w:tcPr>
          <w:p w14:paraId="5D979C36" w14:textId="03070A5F" w:rsidR="00AD687E" w:rsidRPr="00B9076D" w:rsidRDefault="00AD687E" w:rsidP="00581196">
            <w:pPr>
              <w:pStyle w:val="TableParagraph"/>
              <w:spacing w:before="4" w:line="240" w:lineRule="auto"/>
              <w:ind w:left="50"/>
              <w:jc w:val="both"/>
              <w:rPr>
                <w:b/>
                <w:bCs/>
                <w:sz w:val="20"/>
                <w:szCs w:val="20"/>
              </w:rPr>
            </w:pPr>
            <w:r w:rsidRPr="00B9076D">
              <w:rPr>
                <w:b/>
                <w:bCs/>
                <w:spacing w:val="-2"/>
                <w:sz w:val="20"/>
                <w:szCs w:val="20"/>
              </w:rPr>
              <w:t>Target</w:t>
            </w:r>
            <w:r w:rsidRPr="00B9076D">
              <w:rPr>
                <w:b/>
                <w:bCs/>
                <w:spacing w:val="-3"/>
                <w:sz w:val="20"/>
                <w:szCs w:val="20"/>
              </w:rPr>
              <w:t xml:space="preserve"> </w:t>
            </w:r>
            <w:r w:rsidRPr="00B9076D">
              <w:rPr>
                <w:b/>
                <w:bCs/>
                <w:spacing w:val="-2"/>
                <w:sz w:val="20"/>
                <w:szCs w:val="20"/>
              </w:rPr>
              <w:t>Price</w:t>
            </w:r>
            <w:r w:rsidRPr="00B9076D">
              <w:rPr>
                <w:b/>
                <w:bCs/>
                <w:spacing w:val="-1"/>
                <w:sz w:val="20"/>
                <w:szCs w:val="20"/>
              </w:rPr>
              <w:t xml:space="preserve"> </w:t>
            </w:r>
            <w:r w:rsidRPr="00B9076D">
              <w:rPr>
                <w:b/>
                <w:bCs/>
                <w:spacing w:val="-2"/>
                <w:sz w:val="20"/>
                <w:szCs w:val="20"/>
              </w:rPr>
              <w:t>(</w:t>
            </w:r>
            <w:r w:rsidR="00D360CA" w:rsidRPr="00B9076D">
              <w:rPr>
                <w:b/>
                <w:bCs/>
                <w:spacing w:val="-2"/>
                <w:sz w:val="20"/>
                <w:szCs w:val="20"/>
              </w:rPr>
              <w:t>$</w:t>
            </w:r>
            <w:r w:rsidRPr="00B9076D">
              <w:rPr>
                <w:b/>
                <w:bCs/>
                <w:spacing w:val="-2"/>
                <w:sz w:val="20"/>
                <w:szCs w:val="20"/>
              </w:rPr>
              <w:t>):</w:t>
            </w:r>
          </w:p>
        </w:tc>
        <w:tc>
          <w:tcPr>
            <w:tcW w:w="1843" w:type="dxa"/>
          </w:tcPr>
          <w:p w14:paraId="1C50BCB4" w14:textId="0CCE5133" w:rsidR="00AD687E" w:rsidRPr="00DC57AE" w:rsidRDefault="00D360CA" w:rsidP="00581196">
            <w:pPr>
              <w:pStyle w:val="TableParagraph"/>
              <w:spacing w:before="4" w:line="240" w:lineRule="auto"/>
              <w:ind w:left="0" w:right="79"/>
              <w:jc w:val="both"/>
              <w:rPr>
                <w:sz w:val="20"/>
                <w:szCs w:val="20"/>
                <w:highlight w:val="yellow"/>
              </w:rPr>
            </w:pPr>
            <w:r w:rsidRPr="00DC57AE">
              <w:rPr>
                <w:spacing w:val="-4"/>
                <w:sz w:val="20"/>
                <w:szCs w:val="20"/>
                <w:highlight w:val="yellow"/>
              </w:rPr>
              <w:t>$</w:t>
            </w:r>
            <w:r w:rsidR="000B1E89" w:rsidRPr="00DC57AE">
              <w:rPr>
                <w:spacing w:val="-4"/>
                <w:sz w:val="20"/>
                <w:szCs w:val="20"/>
                <w:highlight w:val="yellow"/>
              </w:rPr>
              <w:t>145</w:t>
            </w:r>
            <w:r w:rsidR="00136AF5" w:rsidRPr="00DC57AE">
              <w:rPr>
                <w:spacing w:val="-4"/>
                <w:sz w:val="20"/>
                <w:szCs w:val="20"/>
                <w:highlight w:val="yellow"/>
              </w:rPr>
              <w:t>,46</w:t>
            </w:r>
          </w:p>
        </w:tc>
      </w:tr>
      <w:tr w:rsidR="00AD687E" w:rsidRPr="00B9076D" w14:paraId="5A9DBF2A" w14:textId="77777777" w:rsidTr="00705ADB">
        <w:trPr>
          <w:trHeight w:val="274"/>
        </w:trPr>
        <w:tc>
          <w:tcPr>
            <w:tcW w:w="2268" w:type="dxa"/>
          </w:tcPr>
          <w:p w14:paraId="795D0B24" w14:textId="77777777" w:rsidR="00AD687E" w:rsidRPr="00B9076D" w:rsidRDefault="00AD687E" w:rsidP="00581196">
            <w:pPr>
              <w:pStyle w:val="TableParagraph"/>
              <w:spacing w:before="13" w:line="240" w:lineRule="auto"/>
              <w:ind w:left="50"/>
              <w:jc w:val="both"/>
              <w:rPr>
                <w:b/>
                <w:bCs/>
                <w:sz w:val="20"/>
                <w:szCs w:val="20"/>
              </w:rPr>
            </w:pPr>
            <w:r w:rsidRPr="00B9076D">
              <w:rPr>
                <w:b/>
                <w:bCs/>
                <w:spacing w:val="-2"/>
                <w:sz w:val="20"/>
                <w:szCs w:val="20"/>
              </w:rPr>
              <w:t>52-Week Price Range:</w:t>
            </w:r>
          </w:p>
        </w:tc>
        <w:tc>
          <w:tcPr>
            <w:tcW w:w="1843" w:type="dxa"/>
          </w:tcPr>
          <w:p w14:paraId="01815B71" w14:textId="13235A32" w:rsidR="00AD687E" w:rsidRPr="00DC57AE" w:rsidRDefault="00705ADB" w:rsidP="00581196">
            <w:pPr>
              <w:pStyle w:val="TableParagraph"/>
              <w:spacing w:before="13" w:line="240" w:lineRule="auto"/>
              <w:ind w:left="0" w:right="68"/>
              <w:jc w:val="both"/>
              <w:rPr>
                <w:sz w:val="20"/>
                <w:szCs w:val="20"/>
                <w:highlight w:val="yellow"/>
              </w:rPr>
            </w:pPr>
            <w:r w:rsidRPr="00DC57AE">
              <w:rPr>
                <w:sz w:val="20"/>
                <w:szCs w:val="20"/>
                <w:highlight w:val="yellow"/>
              </w:rPr>
              <w:t>$</w:t>
            </w:r>
            <w:r w:rsidR="002F3350" w:rsidRPr="00DC57AE">
              <w:rPr>
                <w:sz w:val="20"/>
                <w:szCs w:val="20"/>
                <w:highlight w:val="yellow"/>
              </w:rPr>
              <w:t>12,90</w:t>
            </w:r>
            <w:r w:rsidRPr="00DC57AE">
              <w:rPr>
                <w:sz w:val="20"/>
                <w:szCs w:val="20"/>
                <w:highlight w:val="yellow"/>
              </w:rPr>
              <w:t xml:space="preserve"> - </w:t>
            </w:r>
            <w:r w:rsidRPr="00DC57AE">
              <w:rPr>
                <w:spacing w:val="-4"/>
                <w:sz w:val="20"/>
                <w:szCs w:val="20"/>
                <w:highlight w:val="yellow"/>
              </w:rPr>
              <w:t>$</w:t>
            </w:r>
            <w:r w:rsidR="002F3350" w:rsidRPr="00DC57AE">
              <w:rPr>
                <w:spacing w:val="-4"/>
                <w:sz w:val="20"/>
                <w:szCs w:val="20"/>
                <w:highlight w:val="yellow"/>
              </w:rPr>
              <w:t>15,81</w:t>
            </w:r>
          </w:p>
        </w:tc>
      </w:tr>
      <w:tr w:rsidR="00AD687E" w:rsidRPr="00B9076D" w14:paraId="4E30FC5A" w14:textId="77777777" w:rsidTr="00705ADB">
        <w:trPr>
          <w:trHeight w:val="225"/>
        </w:trPr>
        <w:tc>
          <w:tcPr>
            <w:tcW w:w="2268" w:type="dxa"/>
          </w:tcPr>
          <w:p w14:paraId="60C0427C" w14:textId="062C625B" w:rsidR="00AD687E" w:rsidRPr="00B9076D" w:rsidRDefault="00AD687E" w:rsidP="00581196">
            <w:pPr>
              <w:pStyle w:val="TableParagraph"/>
              <w:spacing w:before="8" w:line="196" w:lineRule="exact"/>
              <w:ind w:left="50"/>
              <w:jc w:val="both"/>
              <w:rPr>
                <w:b/>
                <w:bCs/>
                <w:sz w:val="20"/>
                <w:szCs w:val="20"/>
              </w:rPr>
            </w:pPr>
            <w:r w:rsidRPr="00B9076D">
              <w:rPr>
                <w:b/>
                <w:bCs/>
                <w:sz w:val="20"/>
                <w:szCs w:val="20"/>
              </w:rPr>
              <w:t>Market</w:t>
            </w:r>
            <w:r w:rsidRPr="00B9076D">
              <w:rPr>
                <w:b/>
                <w:bCs/>
                <w:spacing w:val="-8"/>
                <w:sz w:val="20"/>
                <w:szCs w:val="20"/>
              </w:rPr>
              <w:t xml:space="preserve"> </w:t>
            </w:r>
            <w:r w:rsidRPr="00B9076D">
              <w:rPr>
                <w:b/>
                <w:bCs/>
                <w:sz w:val="20"/>
                <w:szCs w:val="20"/>
              </w:rPr>
              <w:t>Cap.</w:t>
            </w:r>
            <w:r w:rsidRPr="00B9076D">
              <w:rPr>
                <w:b/>
                <w:bCs/>
                <w:spacing w:val="-5"/>
                <w:sz w:val="20"/>
                <w:szCs w:val="20"/>
              </w:rPr>
              <w:t xml:space="preserve"> </w:t>
            </w:r>
            <w:r w:rsidRPr="00B9076D">
              <w:rPr>
                <w:b/>
                <w:bCs/>
                <w:sz w:val="20"/>
                <w:szCs w:val="20"/>
              </w:rPr>
              <w:t>(</w:t>
            </w:r>
            <w:r w:rsidR="00705ADB" w:rsidRPr="00B9076D">
              <w:rPr>
                <w:b/>
                <w:bCs/>
                <w:sz w:val="20"/>
                <w:szCs w:val="20"/>
              </w:rPr>
              <w:t>$</w:t>
            </w:r>
            <w:r w:rsidR="00705ADB" w:rsidRPr="00B9076D">
              <w:rPr>
                <w:b/>
                <w:bCs/>
                <w:spacing w:val="-5"/>
                <w:sz w:val="20"/>
                <w:szCs w:val="20"/>
              </w:rPr>
              <w:t>m</w:t>
            </w:r>
            <w:r w:rsidRPr="00B9076D">
              <w:rPr>
                <w:b/>
                <w:bCs/>
                <w:spacing w:val="-5"/>
                <w:sz w:val="20"/>
                <w:szCs w:val="20"/>
              </w:rPr>
              <w:t>):</w:t>
            </w:r>
          </w:p>
          <w:p w14:paraId="70BB822D" w14:textId="77777777" w:rsidR="00AD687E" w:rsidRPr="00B9076D" w:rsidRDefault="00AD687E" w:rsidP="00581196">
            <w:pPr>
              <w:pStyle w:val="TableParagraph"/>
              <w:spacing w:before="8" w:line="196" w:lineRule="exact"/>
              <w:ind w:left="50"/>
              <w:jc w:val="both"/>
              <w:rPr>
                <w:b/>
                <w:bCs/>
                <w:sz w:val="20"/>
                <w:szCs w:val="20"/>
              </w:rPr>
            </w:pPr>
          </w:p>
        </w:tc>
        <w:tc>
          <w:tcPr>
            <w:tcW w:w="1843" w:type="dxa"/>
          </w:tcPr>
          <w:p w14:paraId="0C5BBA73" w14:textId="4A10B5E3" w:rsidR="00AD687E" w:rsidRPr="00DC57AE" w:rsidRDefault="000B1E89" w:rsidP="00581196">
            <w:pPr>
              <w:pStyle w:val="TableParagraph"/>
              <w:spacing w:before="8" w:line="196" w:lineRule="exact"/>
              <w:ind w:left="0" w:right="77"/>
              <w:jc w:val="both"/>
              <w:rPr>
                <w:spacing w:val="-2"/>
                <w:sz w:val="20"/>
                <w:szCs w:val="20"/>
                <w:highlight w:val="yellow"/>
              </w:rPr>
            </w:pPr>
            <w:r w:rsidRPr="00DC57AE">
              <w:rPr>
                <w:spacing w:val="-2"/>
                <w:sz w:val="20"/>
                <w:szCs w:val="20"/>
                <w:highlight w:val="yellow"/>
              </w:rPr>
              <w:t>$</w:t>
            </w:r>
            <w:r w:rsidR="002F3350" w:rsidRPr="00DC57AE">
              <w:rPr>
                <w:spacing w:val="-2"/>
                <w:sz w:val="20"/>
                <w:szCs w:val="20"/>
                <w:highlight w:val="yellow"/>
              </w:rPr>
              <w:t>6 425,8</w:t>
            </w:r>
          </w:p>
          <w:p w14:paraId="647DEE6F" w14:textId="743AF7A1" w:rsidR="00AD687E" w:rsidRPr="00DC57AE" w:rsidRDefault="00AD687E" w:rsidP="00581196">
            <w:pPr>
              <w:pStyle w:val="TableParagraph"/>
              <w:spacing w:before="8" w:line="196" w:lineRule="exact"/>
              <w:ind w:left="0" w:right="77"/>
              <w:jc w:val="both"/>
              <w:rPr>
                <w:spacing w:val="-2"/>
                <w:sz w:val="20"/>
                <w:szCs w:val="20"/>
                <w:highlight w:val="yellow"/>
              </w:rPr>
            </w:pPr>
          </w:p>
        </w:tc>
      </w:tr>
      <w:tr w:rsidR="00AD687E" w:rsidRPr="00B9076D" w14:paraId="1E6B5E83" w14:textId="77777777" w:rsidTr="00705ADB">
        <w:trPr>
          <w:trHeight w:val="225"/>
        </w:trPr>
        <w:tc>
          <w:tcPr>
            <w:tcW w:w="2268" w:type="dxa"/>
          </w:tcPr>
          <w:p w14:paraId="256D3F23" w14:textId="77777777" w:rsidR="006F2927" w:rsidRPr="00B9076D" w:rsidRDefault="00AD687E" w:rsidP="00581196">
            <w:pPr>
              <w:pStyle w:val="TableParagraph"/>
              <w:spacing w:before="8" w:line="196" w:lineRule="exact"/>
              <w:ind w:left="50"/>
              <w:jc w:val="both"/>
              <w:rPr>
                <w:b/>
                <w:bCs/>
                <w:sz w:val="20"/>
                <w:szCs w:val="20"/>
              </w:rPr>
            </w:pPr>
            <w:r w:rsidRPr="00B9076D">
              <w:rPr>
                <w:b/>
                <w:bCs/>
                <w:sz w:val="20"/>
                <w:szCs w:val="20"/>
                <w:u w:val="single"/>
              </w:rPr>
              <w:t>Research Analyst:</w:t>
            </w:r>
          </w:p>
          <w:p w14:paraId="2AB6D0A0" w14:textId="41F314AE" w:rsidR="00AD687E" w:rsidRPr="00B9076D" w:rsidRDefault="00AD687E" w:rsidP="00581196">
            <w:pPr>
              <w:pStyle w:val="TableParagraph"/>
              <w:spacing w:before="8" w:line="196" w:lineRule="exact"/>
              <w:ind w:left="50"/>
              <w:jc w:val="both"/>
              <w:rPr>
                <w:sz w:val="20"/>
                <w:szCs w:val="20"/>
              </w:rPr>
            </w:pPr>
            <w:r w:rsidRPr="00B9076D">
              <w:rPr>
                <w:sz w:val="20"/>
                <w:szCs w:val="20"/>
              </w:rPr>
              <w:t xml:space="preserve">Nkgopoleng Sebake  </w:t>
            </w:r>
          </w:p>
        </w:tc>
        <w:tc>
          <w:tcPr>
            <w:tcW w:w="1843" w:type="dxa"/>
          </w:tcPr>
          <w:p w14:paraId="426E5979" w14:textId="77777777" w:rsidR="00AD687E" w:rsidRPr="00B9076D" w:rsidRDefault="00AD687E" w:rsidP="00581196">
            <w:pPr>
              <w:pStyle w:val="TableParagraph"/>
              <w:spacing w:before="8" w:line="196" w:lineRule="exact"/>
              <w:ind w:left="0" w:right="77"/>
              <w:jc w:val="both"/>
              <w:rPr>
                <w:spacing w:val="-2"/>
                <w:sz w:val="20"/>
                <w:szCs w:val="20"/>
              </w:rPr>
            </w:pPr>
          </w:p>
        </w:tc>
      </w:tr>
    </w:tbl>
    <w:p w14:paraId="07DDA29F" w14:textId="2CEA9C3F" w:rsidR="00AD687E" w:rsidRDefault="00AD687E" w:rsidP="00581196">
      <w:pPr>
        <w:ind w:left="-851" w:right="-897"/>
        <w:jc w:val="both"/>
        <w:rPr>
          <w:color w:val="003868"/>
          <w:spacing w:val="-4"/>
          <w:sz w:val="19"/>
        </w:rPr>
      </w:pPr>
      <w:r w:rsidRPr="00B9076D">
        <w:rPr>
          <w:noProof/>
          <w:sz w:val="4"/>
        </w:rPr>
        <mc:AlternateContent>
          <mc:Choice Requires="wpg">
            <w:drawing>
              <wp:anchor distT="0" distB="0" distL="0" distR="0" simplePos="0" relativeHeight="251659264" behindDoc="1" locked="0" layoutInCell="1" allowOverlap="1" wp14:anchorId="4DAE08E7" wp14:editId="7963F768">
                <wp:simplePos x="0" y="0"/>
                <wp:positionH relativeFrom="page">
                  <wp:posOffset>271563</wp:posOffset>
                </wp:positionH>
                <wp:positionV relativeFrom="paragraph">
                  <wp:posOffset>342900</wp:posOffset>
                </wp:positionV>
                <wp:extent cx="3867150" cy="23501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67150" cy="235010"/>
                          <a:chOff x="-141646" y="-229178"/>
                          <a:chExt cx="4423704" cy="249254"/>
                        </a:xfrm>
                      </wpg:grpSpPr>
                      <wps:wsp>
                        <wps:cNvPr id="5" name="Graphic 5"/>
                        <wps:cNvSpPr/>
                        <wps:spPr>
                          <a:xfrm>
                            <a:off x="253" y="0"/>
                            <a:ext cx="4281805" cy="3175"/>
                          </a:xfrm>
                          <a:custGeom>
                            <a:avLst/>
                            <a:gdLst/>
                            <a:ahLst/>
                            <a:cxnLst/>
                            <a:rect l="l" t="t" r="r" b="b"/>
                            <a:pathLst>
                              <a:path w="4281805" h="3175">
                                <a:moveTo>
                                  <a:pt x="0" y="3048"/>
                                </a:moveTo>
                                <a:lnTo>
                                  <a:pt x="4281423" y="3048"/>
                                </a:lnTo>
                                <a:lnTo>
                                  <a:pt x="4281423" y="0"/>
                                </a:lnTo>
                                <a:lnTo>
                                  <a:pt x="0" y="0"/>
                                </a:lnTo>
                                <a:lnTo>
                                  <a:pt x="0" y="3048"/>
                                </a:lnTo>
                                <a:close/>
                              </a:path>
                            </a:pathLst>
                          </a:custGeom>
                          <a:solidFill>
                            <a:srgbClr val="FFFF00"/>
                          </a:solidFill>
                        </wps:spPr>
                        <wps:bodyPr wrap="square" lIns="0" tIns="0" rIns="0" bIns="0" rtlCol="0">
                          <a:prstTxWarp prst="textNoShape">
                            <a:avLst/>
                          </a:prstTxWarp>
                          <a:noAutofit/>
                        </wps:bodyPr>
                      </wps:wsp>
                      <wps:wsp>
                        <wps:cNvPr id="6" name="Graphic 6"/>
                        <wps:cNvSpPr/>
                        <wps:spPr>
                          <a:xfrm>
                            <a:off x="-141646" y="-198999"/>
                            <a:ext cx="4276725" cy="219075"/>
                          </a:xfrm>
                          <a:custGeom>
                            <a:avLst/>
                            <a:gdLst/>
                            <a:ahLst/>
                            <a:cxnLst/>
                            <a:rect l="l" t="t" r="r" b="b"/>
                            <a:pathLst>
                              <a:path w="4276725" h="219075">
                                <a:moveTo>
                                  <a:pt x="4276344" y="0"/>
                                </a:moveTo>
                                <a:lnTo>
                                  <a:pt x="0" y="0"/>
                                </a:lnTo>
                                <a:lnTo>
                                  <a:pt x="0" y="218694"/>
                                </a:lnTo>
                                <a:lnTo>
                                  <a:pt x="4276344" y="218694"/>
                                </a:lnTo>
                                <a:lnTo>
                                  <a:pt x="4276344" y="0"/>
                                </a:lnTo>
                                <a:close/>
                              </a:path>
                            </a:pathLst>
                          </a:custGeom>
                          <a:solidFill>
                            <a:srgbClr val="91857C"/>
                          </a:solidFill>
                        </wps:spPr>
                        <wps:bodyPr wrap="square" lIns="0" tIns="0" rIns="0" bIns="0" rtlCol="0">
                          <a:prstTxWarp prst="textNoShape">
                            <a:avLst/>
                          </a:prstTxWarp>
                          <a:noAutofit/>
                        </wps:bodyPr>
                      </wps:wsp>
                      <wps:wsp>
                        <wps:cNvPr id="7" name="Textbox 7"/>
                        <wps:cNvSpPr txBox="1"/>
                        <wps:spPr>
                          <a:xfrm>
                            <a:off x="-16459" y="-229178"/>
                            <a:ext cx="4276725" cy="219075"/>
                          </a:xfrm>
                          <a:prstGeom prst="rect">
                            <a:avLst/>
                          </a:prstGeom>
                        </wps:spPr>
                        <wps:txbx>
                          <w:txbxContent>
                            <w:p w14:paraId="54D8A664" w14:textId="15F2623B" w:rsidR="00AD687E" w:rsidRDefault="001220AD" w:rsidP="00AD687E">
                              <w:pPr>
                                <w:spacing w:before="92"/>
                                <w:ind w:left="136"/>
                                <w:rPr>
                                  <w:b/>
                                  <w:sz w:val="16"/>
                                </w:rPr>
                              </w:pPr>
                              <w:r>
                                <w:rPr>
                                  <w:b/>
                                  <w:color w:val="FFFFFF"/>
                                  <w:spacing w:val="-2"/>
                                  <w:sz w:val="16"/>
                                </w:rPr>
                                <w:t>BUY</w:t>
                              </w:r>
                              <w:r w:rsidR="00AD687E" w:rsidRPr="001220AD">
                                <w:rPr>
                                  <w:b/>
                                  <w:color w:val="FFFFFF"/>
                                  <w:spacing w:val="-3"/>
                                  <w:sz w:val="16"/>
                                </w:rPr>
                                <w:t xml:space="preserve"> </w:t>
                              </w:r>
                              <w:r w:rsidR="00AD687E" w:rsidRPr="001220AD">
                                <w:rPr>
                                  <w:b/>
                                  <w:color w:val="FFFFFF"/>
                                  <w:spacing w:val="-2"/>
                                  <w:sz w:val="16"/>
                                </w:rPr>
                                <w:t>RECOMMENDATION</w:t>
                              </w:r>
                              <w:r w:rsidR="00AD687E" w:rsidRPr="001220AD">
                                <w:rPr>
                                  <w:b/>
                                  <w:color w:val="FFFFFF"/>
                                  <w:spacing w:val="-1"/>
                                  <w:sz w:val="16"/>
                                </w:rPr>
                                <w:t xml:space="preserve"> </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DAE08E7" id="Group 4" o:spid="_x0000_s1026" style="position:absolute;left:0;text-align:left;margin-left:21.4pt;margin-top:27pt;width:304.5pt;height:18.5pt;z-index:-251657216;mso-wrap-distance-left:0;mso-wrap-distance-right:0;mso-position-horizontal-relative:page;mso-width-relative:margin;mso-height-relative:margin" coordorigin="-1416,-2291" coordsize="44237,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">
                <v:shape id="Graphic 5" o:spid="_x0000_s1027" style="position:absolute;left:2;width:42818;height:31;visibility:visible;mso-wrap-style:square;v-text-anchor:top" coordsize="428180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" path="m,3048r4281423,l4281423,,,,,3048xe" fillcolor="yellow" stroked="f">
                  <v:path arrowok="t"/>
                </v:shape>
                <v:shape id="Graphic 6" o:spid="_x0000_s1028" style="position:absolute;left:-1416;top:-1989;width:42766;height:2189;visibility:visible;mso-wrap-style:square;v-text-anchor:top" coordsize="427672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" path="m4276344,l,,,218694r4276344,l4276344,xe" fillcolor="#91857c" stroked="f">
                  <v:path arrowok="t"/>
                </v:shape>
                <v:shapetype id="_x0000_t202" coordsize="21600,21600" o:spt="202" path="m,l,21600r21600,l21600,xe">
                  <v:stroke joinstyle="miter"/>
                  <v:path gradientshapeok="t" o:connecttype="rect"/>
                </v:shapetype>
                <v:shape id="Textbox 7" o:spid="_x0000_s1029" type="#_x0000_t202" style="position:absolute;left:-164;top:-2291;width:42766;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D8A664" w14:textId="15F2623B" w:rsidR="00AD687E" w:rsidRDefault="001220AD" w:rsidP="00AD687E">
                        <w:pPr>
                          <w:spacing w:before="92"/>
                          <w:ind w:left="136"/>
                          <w:rPr>
                            <w:b/>
                            <w:sz w:val="16"/>
                          </w:rPr>
                        </w:pPr>
                        <w:r>
                          <w:rPr>
                            <w:b/>
                            <w:color w:val="FFFFFF"/>
                            <w:spacing w:val="-2"/>
                            <w:sz w:val="16"/>
                          </w:rPr>
                          <w:t>BUY</w:t>
                        </w:r>
                        <w:r w:rsidR="00AD687E" w:rsidRPr="001220AD">
                          <w:rPr>
                            <w:b/>
                            <w:color w:val="FFFFFF"/>
                            <w:spacing w:val="-3"/>
                            <w:sz w:val="16"/>
                          </w:rPr>
                          <w:t xml:space="preserve"> </w:t>
                        </w:r>
                        <w:r w:rsidR="00AD687E" w:rsidRPr="001220AD">
                          <w:rPr>
                            <w:b/>
                            <w:color w:val="FFFFFF"/>
                            <w:spacing w:val="-2"/>
                            <w:sz w:val="16"/>
                          </w:rPr>
                          <w:t>RECOMMENDATION</w:t>
                        </w:r>
                        <w:r w:rsidR="00AD687E" w:rsidRPr="001220AD">
                          <w:rPr>
                            <w:b/>
                            <w:color w:val="FFFFFF"/>
                            <w:spacing w:val="-1"/>
                            <w:sz w:val="16"/>
                          </w:rPr>
                          <w:t xml:space="preserve"> </w:t>
                        </w:r>
                      </w:p>
                    </w:txbxContent>
                  </v:textbox>
                </v:shape>
                <w10:wrap type="topAndBottom" anchorx="page"/>
              </v:group>
            </w:pict>
          </mc:Fallback>
        </mc:AlternateContent>
      </w:r>
      <w:r w:rsidR="00CD0B81">
        <w:rPr>
          <w:b/>
          <w:color w:val="003868"/>
          <w:sz w:val="44"/>
        </w:rPr>
        <w:t>Lyft</w:t>
      </w:r>
      <w:r w:rsidR="00922101" w:rsidRPr="00B9076D">
        <w:rPr>
          <w:b/>
          <w:color w:val="003868"/>
          <w:sz w:val="44"/>
        </w:rPr>
        <w:t>, I</w:t>
      </w:r>
      <w:r w:rsidR="00CD0B81">
        <w:rPr>
          <w:b/>
          <w:color w:val="003868"/>
          <w:sz w:val="44"/>
        </w:rPr>
        <w:t>nc</w:t>
      </w:r>
      <w:r w:rsidRPr="00B9076D">
        <w:rPr>
          <w:b/>
          <w:color w:val="003868"/>
          <w:spacing w:val="-5"/>
          <w:sz w:val="44"/>
        </w:rPr>
        <w:t xml:space="preserve"> </w:t>
      </w:r>
      <w:r w:rsidRPr="00B9076D">
        <w:rPr>
          <w:color w:val="003868"/>
          <w:sz w:val="19"/>
        </w:rPr>
        <w:t>(N</w:t>
      </w:r>
      <w:r w:rsidR="00922101" w:rsidRPr="00B9076D">
        <w:rPr>
          <w:color w:val="003868"/>
          <w:sz w:val="19"/>
        </w:rPr>
        <w:t>ASDAQ</w:t>
      </w:r>
      <w:r w:rsidRPr="00B9076D">
        <w:rPr>
          <w:color w:val="003868"/>
          <w:sz w:val="19"/>
        </w:rPr>
        <w:t xml:space="preserve">: </w:t>
      </w:r>
      <w:r w:rsidR="00CD0B81">
        <w:rPr>
          <w:color w:val="003868"/>
          <w:sz w:val="19"/>
        </w:rPr>
        <w:t>LYFT</w:t>
      </w:r>
      <w:r w:rsidRPr="00B9076D">
        <w:rPr>
          <w:color w:val="003868"/>
          <w:spacing w:val="-4"/>
          <w:sz w:val="19"/>
        </w:rPr>
        <w:t>)</w:t>
      </w:r>
      <w:r>
        <w:rPr>
          <w:color w:val="003868"/>
          <w:spacing w:val="-4"/>
          <w:sz w:val="19"/>
        </w:rPr>
        <w:t xml:space="preserve">                                         </w:t>
      </w:r>
    </w:p>
    <w:p w14:paraId="68045A7E" w14:textId="354358F3" w:rsidR="00AD687E" w:rsidRDefault="007E7641" w:rsidP="00B9076D">
      <w:pPr>
        <w:ind w:left="-993" w:right="-22"/>
        <w:jc w:val="both"/>
        <w:rPr>
          <w:b/>
          <w:spacing w:val="-2"/>
          <w:sz w:val="20"/>
          <w:szCs w:val="20"/>
        </w:rPr>
      </w:pPr>
      <w:r w:rsidRPr="007E7641">
        <w:t>Solid past performance positions Nasdaq for steady</w:t>
      </w:r>
      <w:r w:rsidR="00B9076D">
        <w:t xml:space="preserve"> </w:t>
      </w:r>
      <w:r w:rsidRPr="007E7641">
        <w:t>future gains.</w:t>
      </w:r>
    </w:p>
    <w:p w14:paraId="58BB042F" w14:textId="77777777" w:rsidR="00024707" w:rsidRDefault="00024707" w:rsidP="00581196">
      <w:pPr>
        <w:ind w:left="-993" w:right="-897"/>
        <w:jc w:val="both"/>
        <w:rPr>
          <w:b/>
          <w:spacing w:val="-2"/>
          <w:sz w:val="20"/>
          <w:szCs w:val="20"/>
        </w:rPr>
      </w:pPr>
    </w:p>
    <w:p w14:paraId="49523A1E" w14:textId="77777777" w:rsidR="00024707" w:rsidRPr="00AD687E" w:rsidRDefault="00024707" w:rsidP="00581196">
      <w:pPr>
        <w:ind w:left="-993" w:right="-897"/>
        <w:jc w:val="both"/>
        <w:rPr>
          <w:color w:val="003868"/>
          <w:spacing w:val="-4"/>
          <w:sz w:val="19"/>
        </w:rPr>
      </w:pPr>
    </w:p>
    <w:p w14:paraId="35A110B2" w14:textId="140402D6" w:rsidR="00F75530" w:rsidRDefault="00005883" w:rsidP="00F75530">
      <w:pPr>
        <w:spacing w:line="357" w:lineRule="auto"/>
        <w:ind w:left="-567" w:right="-48" w:hanging="142"/>
        <w:jc w:val="both"/>
        <w:rPr>
          <w:b/>
          <w:sz w:val="20"/>
          <w:szCs w:val="20"/>
        </w:rPr>
      </w:pPr>
      <w:r>
        <w:rPr>
          <w:noProof/>
        </w:rPr>
        <w:drawing>
          <wp:inline distT="0" distB="0" distL="0" distR="0" wp14:anchorId="78ED9073" wp14:editId="2B4FA4A4">
            <wp:extent cx="6657975" cy="2743200"/>
            <wp:effectExtent l="0" t="0" r="9525" b="0"/>
            <wp:docPr id="476073956" name="Chart 1">
              <a:extLst xmlns:a="http://schemas.openxmlformats.org/drawingml/2006/main">
                <a:ext uri="{FF2B5EF4-FFF2-40B4-BE49-F238E27FC236}">
                  <a16:creationId xmlns:a16="http://schemas.microsoft.com/office/drawing/2014/main" id="{D55DC726-4757-3AC8-C35C-3C02AE2074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AD687E">
        <w:rPr>
          <w:b/>
          <w:spacing w:val="-2"/>
          <w:sz w:val="20"/>
          <w:szCs w:val="20"/>
        </w:rPr>
        <w:t xml:space="preserve">                                                                                                                                                                 </w:t>
      </w:r>
    </w:p>
    <w:p w14:paraId="66EE5792" w14:textId="19824516" w:rsidR="00F75530" w:rsidRPr="00F75530" w:rsidRDefault="00F75530" w:rsidP="00F75530">
      <w:pPr>
        <w:spacing w:line="357" w:lineRule="auto"/>
        <w:ind w:left="-567" w:right="-48" w:hanging="142"/>
        <w:jc w:val="both"/>
        <w:rPr>
          <w:b/>
          <w:sz w:val="20"/>
          <w:szCs w:val="20"/>
        </w:rPr>
      </w:pPr>
      <w:r w:rsidRPr="00F75530">
        <w:rPr>
          <w:rFonts w:ascii="Arial" w:hAnsi="Arial" w:cs="Arial"/>
          <w:b/>
          <w:bCs/>
          <w:sz w:val="20"/>
          <w:szCs w:val="20"/>
          <w:u w:val="single"/>
        </w:rPr>
        <w:t>Industry Research – Ridesharing and Mobility</w:t>
      </w:r>
    </w:p>
    <w:p w14:paraId="60A2678F" w14:textId="77777777" w:rsidR="00F75530" w:rsidRPr="00F75530" w:rsidRDefault="00F75530" w:rsidP="00F75530">
      <w:pPr>
        <w:pStyle w:val="ListParagraph"/>
        <w:spacing w:line="276" w:lineRule="auto"/>
        <w:ind w:left="-567" w:right="-22"/>
        <w:jc w:val="both"/>
        <w:rPr>
          <w:rFonts w:ascii="Arial" w:hAnsi="Arial" w:cs="Arial"/>
          <w:sz w:val="20"/>
          <w:szCs w:val="20"/>
        </w:rPr>
      </w:pPr>
      <w:r w:rsidRPr="00F75530">
        <w:rPr>
          <w:rFonts w:ascii="Arial" w:hAnsi="Arial" w:cs="Arial"/>
          <w:sz w:val="20"/>
          <w:szCs w:val="20"/>
        </w:rPr>
        <w:t>The global ridesharing industry is experiencing robust growth, driven by increasing urbanization, rising smartphone adoption, and growing preference for on-demand mobility solutions over car ownership. The market is highly competitive, with major players including Uber, Lyft, Didi, and regional providers, creating pressure on pricing and service differentiation.</w:t>
      </w:r>
    </w:p>
    <w:p w14:paraId="516BCBE3" w14:textId="77777777" w:rsidR="00F75530" w:rsidRPr="00F75530" w:rsidRDefault="00F75530" w:rsidP="00F75530">
      <w:pPr>
        <w:pStyle w:val="ListParagraph"/>
        <w:spacing w:line="276" w:lineRule="auto"/>
        <w:ind w:left="-567" w:right="-22"/>
        <w:jc w:val="both"/>
        <w:rPr>
          <w:rFonts w:ascii="Arial" w:hAnsi="Arial" w:cs="Arial"/>
          <w:b/>
          <w:bCs/>
          <w:sz w:val="20"/>
          <w:szCs w:val="20"/>
          <w:u w:val="single"/>
        </w:rPr>
      </w:pPr>
    </w:p>
    <w:p w14:paraId="2F79B5BB" w14:textId="77777777" w:rsidR="00F75530" w:rsidRPr="00F75530" w:rsidRDefault="00F75530" w:rsidP="00F75530">
      <w:pPr>
        <w:pStyle w:val="ListParagraph"/>
        <w:spacing w:line="276" w:lineRule="auto"/>
        <w:ind w:left="-567" w:right="-22"/>
        <w:jc w:val="both"/>
        <w:rPr>
          <w:rFonts w:ascii="Arial" w:hAnsi="Arial" w:cs="Arial"/>
          <w:b/>
          <w:bCs/>
          <w:sz w:val="20"/>
          <w:szCs w:val="20"/>
          <w:u w:val="single"/>
        </w:rPr>
      </w:pPr>
      <w:r w:rsidRPr="00F75530">
        <w:rPr>
          <w:rFonts w:ascii="Arial" w:hAnsi="Arial" w:cs="Arial"/>
          <w:b/>
          <w:bCs/>
          <w:sz w:val="20"/>
          <w:szCs w:val="20"/>
          <w:u w:val="single"/>
        </w:rPr>
        <w:t>Porter’s Five Forces:</w:t>
      </w:r>
    </w:p>
    <w:p w14:paraId="6B3DA0D8" w14:textId="77777777" w:rsidR="00F75530" w:rsidRPr="00F75530" w:rsidRDefault="00F75530" w:rsidP="00F75530">
      <w:pPr>
        <w:pStyle w:val="ListParagraph"/>
        <w:spacing w:line="276" w:lineRule="auto"/>
        <w:ind w:left="-567" w:right="-22"/>
        <w:jc w:val="both"/>
        <w:rPr>
          <w:rFonts w:ascii="Arial" w:hAnsi="Arial" w:cs="Arial"/>
          <w:b/>
          <w:bCs/>
          <w:sz w:val="20"/>
          <w:szCs w:val="20"/>
          <w:u w:val="single"/>
        </w:rPr>
      </w:pPr>
    </w:p>
    <w:p w14:paraId="08D0A77A"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Threat of new entrants: Moderate</w:t>
      </w:r>
      <w:r w:rsidRPr="00F75530">
        <w:rPr>
          <w:rFonts w:ascii="Arial" w:hAnsi="Arial" w:cs="Arial"/>
          <w:sz w:val="20"/>
          <w:szCs w:val="20"/>
        </w:rPr>
        <w:t xml:space="preserve"> – regulatory hurdles and network effects protect incumbents, but technology-enabled startups can still enter niche markets.</w:t>
      </w:r>
    </w:p>
    <w:p w14:paraId="68A565AB"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Bargaining power of suppliers: Low</w:t>
      </w:r>
      <w:r w:rsidRPr="00F75530">
        <w:rPr>
          <w:rFonts w:ascii="Arial" w:hAnsi="Arial" w:cs="Arial"/>
          <w:sz w:val="20"/>
          <w:szCs w:val="20"/>
        </w:rPr>
        <w:t xml:space="preserve"> – drivers are independent contractors, but driver retention and incentives are critical.</w:t>
      </w:r>
    </w:p>
    <w:p w14:paraId="696822E5"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Bargaining power of buyers: High</w:t>
      </w:r>
      <w:r w:rsidRPr="00F75530">
        <w:rPr>
          <w:rFonts w:ascii="Arial" w:hAnsi="Arial" w:cs="Arial"/>
          <w:sz w:val="20"/>
          <w:szCs w:val="20"/>
        </w:rPr>
        <w:t xml:space="preserve"> – riders can easily switch between apps, making loyalty and experience key differentiators.</w:t>
      </w:r>
    </w:p>
    <w:p w14:paraId="310E9C51"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Threat of substitutes: Moderate</w:t>
      </w:r>
      <w:r w:rsidRPr="00F75530">
        <w:rPr>
          <w:rFonts w:ascii="Arial" w:hAnsi="Arial" w:cs="Arial"/>
          <w:sz w:val="20"/>
          <w:szCs w:val="20"/>
        </w:rPr>
        <w:t xml:space="preserve"> – public transit, personal vehicles, and micromobility options (scooters, bikes) provide alternatives.</w:t>
      </w:r>
    </w:p>
    <w:p w14:paraId="2498DEC2" w14:textId="32DF06A4" w:rsidR="00F75530" w:rsidRP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Industry rivalry:</w:t>
      </w:r>
      <w:r w:rsidRPr="00F75530">
        <w:rPr>
          <w:rFonts w:ascii="Arial" w:hAnsi="Arial" w:cs="Arial"/>
          <w:sz w:val="20"/>
          <w:szCs w:val="20"/>
        </w:rPr>
        <w:t xml:space="preserve"> High – competition focuses on pricing, geographic expansion, service quality, and partnerships.</w:t>
      </w:r>
    </w:p>
    <w:p w14:paraId="17A66CDB" w14:textId="77777777" w:rsidR="00F75530" w:rsidRDefault="00F75530" w:rsidP="00F75530">
      <w:pPr>
        <w:pStyle w:val="ListParagraph"/>
        <w:spacing w:line="276" w:lineRule="auto"/>
        <w:ind w:left="-567" w:right="-22"/>
        <w:jc w:val="both"/>
        <w:rPr>
          <w:rFonts w:ascii="Arial" w:hAnsi="Arial" w:cs="Arial"/>
          <w:b/>
          <w:bCs/>
          <w:sz w:val="20"/>
          <w:szCs w:val="20"/>
          <w:u w:val="single"/>
        </w:rPr>
      </w:pPr>
    </w:p>
    <w:p w14:paraId="56BF84FD" w14:textId="77777777" w:rsidR="003A79F4" w:rsidRDefault="003A79F4" w:rsidP="00F75530">
      <w:pPr>
        <w:pStyle w:val="ListParagraph"/>
        <w:spacing w:line="276" w:lineRule="auto"/>
        <w:ind w:left="-567" w:right="-22"/>
        <w:jc w:val="both"/>
        <w:rPr>
          <w:rFonts w:ascii="Arial" w:hAnsi="Arial" w:cs="Arial"/>
          <w:b/>
          <w:bCs/>
          <w:sz w:val="20"/>
          <w:szCs w:val="20"/>
          <w:u w:val="single"/>
        </w:rPr>
      </w:pPr>
    </w:p>
    <w:p w14:paraId="048419B9" w14:textId="77777777" w:rsidR="003A79F4" w:rsidRDefault="003A79F4" w:rsidP="00F75530">
      <w:pPr>
        <w:pStyle w:val="ListParagraph"/>
        <w:spacing w:line="276" w:lineRule="auto"/>
        <w:ind w:left="-567" w:right="-22"/>
        <w:jc w:val="both"/>
        <w:rPr>
          <w:rFonts w:ascii="Arial" w:hAnsi="Arial" w:cs="Arial"/>
          <w:b/>
          <w:bCs/>
          <w:sz w:val="20"/>
          <w:szCs w:val="20"/>
          <w:u w:val="single"/>
        </w:rPr>
      </w:pPr>
    </w:p>
    <w:p w14:paraId="34BFA914" w14:textId="77777777" w:rsidR="003A79F4" w:rsidRDefault="003A79F4" w:rsidP="00F75530">
      <w:pPr>
        <w:pStyle w:val="ListParagraph"/>
        <w:spacing w:line="276" w:lineRule="auto"/>
        <w:ind w:left="-567" w:right="-22"/>
        <w:jc w:val="both"/>
        <w:rPr>
          <w:rFonts w:ascii="Arial" w:hAnsi="Arial" w:cs="Arial"/>
          <w:b/>
          <w:bCs/>
          <w:sz w:val="20"/>
          <w:szCs w:val="20"/>
          <w:u w:val="single"/>
        </w:rPr>
      </w:pPr>
    </w:p>
    <w:p w14:paraId="4BDBFCE2" w14:textId="77777777" w:rsidR="003A79F4" w:rsidRDefault="003A79F4" w:rsidP="00F75530">
      <w:pPr>
        <w:pStyle w:val="ListParagraph"/>
        <w:spacing w:line="276" w:lineRule="auto"/>
        <w:ind w:left="-567" w:right="-22"/>
        <w:jc w:val="both"/>
        <w:rPr>
          <w:rFonts w:ascii="Arial" w:hAnsi="Arial" w:cs="Arial"/>
          <w:b/>
          <w:bCs/>
          <w:sz w:val="20"/>
          <w:szCs w:val="20"/>
          <w:u w:val="single"/>
        </w:rPr>
      </w:pPr>
    </w:p>
    <w:p w14:paraId="6A068477" w14:textId="77777777" w:rsidR="003A79F4" w:rsidRDefault="003A79F4" w:rsidP="00F75530">
      <w:pPr>
        <w:pStyle w:val="ListParagraph"/>
        <w:spacing w:line="276" w:lineRule="auto"/>
        <w:ind w:left="-567" w:right="-22"/>
        <w:jc w:val="both"/>
        <w:rPr>
          <w:rFonts w:ascii="Arial" w:hAnsi="Arial" w:cs="Arial"/>
          <w:b/>
          <w:bCs/>
          <w:sz w:val="20"/>
          <w:szCs w:val="20"/>
          <w:u w:val="single"/>
        </w:rPr>
      </w:pPr>
    </w:p>
    <w:p w14:paraId="13389C3B" w14:textId="77777777" w:rsidR="003A79F4" w:rsidRPr="00F75530" w:rsidRDefault="003A79F4" w:rsidP="00F75530">
      <w:pPr>
        <w:pStyle w:val="ListParagraph"/>
        <w:spacing w:line="276" w:lineRule="auto"/>
        <w:ind w:left="-567" w:right="-22"/>
        <w:jc w:val="both"/>
        <w:rPr>
          <w:rFonts w:ascii="Arial" w:hAnsi="Arial" w:cs="Arial"/>
          <w:b/>
          <w:bCs/>
          <w:sz w:val="20"/>
          <w:szCs w:val="20"/>
          <w:u w:val="single"/>
        </w:rPr>
      </w:pPr>
    </w:p>
    <w:p w14:paraId="26057CE7" w14:textId="77777777" w:rsidR="003A79F4" w:rsidRDefault="00F75530" w:rsidP="003A79F4">
      <w:pPr>
        <w:pStyle w:val="ListParagraph"/>
        <w:spacing w:line="276" w:lineRule="auto"/>
        <w:ind w:left="-567" w:right="-22"/>
        <w:jc w:val="both"/>
        <w:rPr>
          <w:rFonts w:ascii="Arial" w:hAnsi="Arial" w:cs="Arial"/>
          <w:b/>
          <w:bCs/>
          <w:sz w:val="20"/>
          <w:szCs w:val="20"/>
          <w:u w:val="single"/>
        </w:rPr>
      </w:pPr>
      <w:r w:rsidRPr="00F75530">
        <w:rPr>
          <w:rFonts w:ascii="Arial" w:hAnsi="Arial" w:cs="Arial"/>
          <w:b/>
          <w:bCs/>
          <w:sz w:val="20"/>
          <w:szCs w:val="20"/>
          <w:u w:val="single"/>
        </w:rPr>
        <w:t>PEST Analysis:</w:t>
      </w:r>
    </w:p>
    <w:p w14:paraId="71798052" w14:textId="77777777" w:rsidR="003A79F4" w:rsidRDefault="003A79F4" w:rsidP="003A79F4">
      <w:pPr>
        <w:pStyle w:val="ListParagraph"/>
        <w:spacing w:line="276" w:lineRule="auto"/>
        <w:ind w:left="-567" w:right="-22"/>
        <w:jc w:val="both"/>
        <w:rPr>
          <w:rFonts w:ascii="Arial" w:hAnsi="Arial" w:cs="Arial"/>
          <w:b/>
          <w:bCs/>
          <w:sz w:val="20"/>
          <w:szCs w:val="20"/>
          <w:u w:val="single"/>
        </w:rPr>
      </w:pPr>
    </w:p>
    <w:p w14:paraId="6D3FEC78"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Political/Regulatory: Labor classification rules, safety regulations, and insurance requirements affect cost structure and operations.</w:t>
      </w:r>
    </w:p>
    <w:p w14:paraId="59E5DBFE"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Economic: Macroeconomic factors such as GDP growth, disposable income, and fuel prices influence demand for ridesharing services.</w:t>
      </w:r>
    </w:p>
    <w:p w14:paraId="49C9007D"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Social: Increasing preference for sustainable transport, urban mobility solutions, and convenience drives adoption.</w:t>
      </w:r>
    </w:p>
    <w:p w14:paraId="27438086" w14:textId="15F09677" w:rsidR="00F75530"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Technological: Advances in app platforms, AI routing, and autonomous vehicles enhance operational efficiency and user experience.</w:t>
      </w:r>
    </w:p>
    <w:p w14:paraId="63A65A23" w14:textId="77777777" w:rsidR="00F75530" w:rsidRPr="0043105A" w:rsidRDefault="00F75530" w:rsidP="00F75530">
      <w:pPr>
        <w:pStyle w:val="ListParagraph"/>
        <w:spacing w:line="276" w:lineRule="auto"/>
        <w:ind w:left="-567" w:right="-22"/>
        <w:jc w:val="both"/>
        <w:rPr>
          <w:rFonts w:ascii="Arial" w:hAnsi="Arial" w:cs="Arial"/>
          <w:sz w:val="20"/>
          <w:szCs w:val="20"/>
        </w:rPr>
      </w:pPr>
    </w:p>
    <w:p w14:paraId="78E3AAF7" w14:textId="71EB725E" w:rsidR="00F75530" w:rsidRPr="003A79F4" w:rsidRDefault="00F75530" w:rsidP="003A79F4">
      <w:pPr>
        <w:pStyle w:val="ListParagraph"/>
        <w:spacing w:line="276" w:lineRule="auto"/>
        <w:ind w:left="-567" w:right="-22"/>
        <w:jc w:val="both"/>
        <w:rPr>
          <w:rFonts w:ascii="Arial" w:hAnsi="Arial" w:cs="Arial"/>
          <w:sz w:val="20"/>
          <w:szCs w:val="20"/>
        </w:rPr>
      </w:pPr>
      <w:r w:rsidRPr="0043105A">
        <w:rPr>
          <w:rFonts w:ascii="Arial" w:hAnsi="Arial" w:cs="Arial"/>
          <w:sz w:val="20"/>
          <w:szCs w:val="20"/>
        </w:rPr>
        <w:t>Overall, the ridesharing industry is poised for continued growth, with incumbents leveraging technology, partnerships, and brand recognition to maintain competitive advantage while navigating regulatory and economic challenges.</w:t>
      </w:r>
    </w:p>
    <w:p w14:paraId="3BCE6DA4" w14:textId="77777777" w:rsidR="00F75530" w:rsidRDefault="00F75530" w:rsidP="001139AE">
      <w:pPr>
        <w:pStyle w:val="ListParagraph"/>
        <w:spacing w:line="276" w:lineRule="auto"/>
        <w:ind w:left="-567" w:right="-22"/>
        <w:jc w:val="both"/>
        <w:rPr>
          <w:rFonts w:ascii="Arial" w:hAnsi="Arial" w:cs="Arial"/>
          <w:sz w:val="20"/>
          <w:szCs w:val="20"/>
        </w:rPr>
      </w:pPr>
    </w:p>
    <w:p w14:paraId="4CD70775" w14:textId="77777777" w:rsidR="003A79F4" w:rsidRPr="00803590" w:rsidRDefault="003A79F4" w:rsidP="001139AE">
      <w:pPr>
        <w:pStyle w:val="ListParagraph"/>
        <w:spacing w:line="276" w:lineRule="auto"/>
        <w:ind w:left="-567" w:right="-22"/>
        <w:jc w:val="both"/>
        <w:rPr>
          <w:rFonts w:ascii="Arial" w:hAnsi="Arial" w:cs="Arial"/>
          <w:sz w:val="20"/>
          <w:szCs w:val="20"/>
        </w:rPr>
      </w:pPr>
    </w:p>
    <w:p w14:paraId="7F80CC41" w14:textId="77777777" w:rsidR="00AD687E" w:rsidRDefault="00AD687E" w:rsidP="003A79F4">
      <w:pPr>
        <w:pStyle w:val="ListParagraph"/>
        <w:spacing w:line="276" w:lineRule="auto"/>
        <w:ind w:left="-851" w:right="-22"/>
        <w:jc w:val="both"/>
        <w:rPr>
          <w:rFonts w:ascii="Arial" w:hAnsi="Arial" w:cs="Arial"/>
          <w:b/>
          <w:bCs/>
          <w:sz w:val="20"/>
          <w:szCs w:val="20"/>
          <w:u w:val="single"/>
        </w:rPr>
      </w:pPr>
      <w:r w:rsidRPr="00A12D41">
        <w:rPr>
          <w:rFonts w:ascii="Arial" w:hAnsi="Arial" w:cs="Arial"/>
          <w:b/>
          <w:bCs/>
          <w:sz w:val="20"/>
          <w:szCs w:val="20"/>
          <w:u w:val="single"/>
        </w:rPr>
        <w:t>Financial Guidance:</w:t>
      </w:r>
    </w:p>
    <w:p w14:paraId="30171123" w14:textId="77777777" w:rsidR="003A79F4" w:rsidRPr="00A12D41" w:rsidRDefault="003A79F4" w:rsidP="003A79F4">
      <w:pPr>
        <w:pStyle w:val="ListParagraph"/>
        <w:spacing w:line="276" w:lineRule="auto"/>
        <w:ind w:left="-851" w:right="-22"/>
        <w:jc w:val="both"/>
        <w:rPr>
          <w:rFonts w:ascii="Arial" w:hAnsi="Arial" w:cs="Arial"/>
          <w:sz w:val="20"/>
          <w:szCs w:val="20"/>
        </w:rPr>
      </w:pPr>
    </w:p>
    <w:p w14:paraId="20150966" w14:textId="3875230B" w:rsidR="003A79F4" w:rsidRPr="00DC57AE" w:rsidRDefault="003A79F4" w:rsidP="003A79F4">
      <w:pPr>
        <w:pStyle w:val="ListParagraph"/>
        <w:spacing w:line="276" w:lineRule="auto"/>
        <w:ind w:left="-567" w:right="-22"/>
        <w:jc w:val="both"/>
        <w:rPr>
          <w:rFonts w:ascii="Arial" w:hAnsi="Arial" w:cs="Arial"/>
          <w:sz w:val="20"/>
          <w:szCs w:val="20"/>
          <w:highlight w:val="yellow"/>
        </w:rPr>
      </w:pPr>
      <w:r w:rsidRPr="00DC57AE">
        <w:rPr>
          <w:rFonts w:ascii="Arial" w:hAnsi="Arial" w:cs="Arial"/>
          <w:sz w:val="20"/>
          <w:szCs w:val="20"/>
          <w:highlight w:val="yellow"/>
        </w:rPr>
        <w:t>Lyft delivered a strong Q2 2025, reporting record Gross Bookings of $4.49 billion, up 12% year over year, and revenue of $1.59 billion, an 11% increase from Q2 2024. Net income reached $40.3 million, compared to $5.0 million in the prior year, representing 0.9% of Gross Bookings. Adjusted EBITDA grew 26% to $129.4 million, with a margin of 2.9%, while net cash provided by operating activities totalled $343.7 million and free cash flow reached $329.4 million. During the quarter, Lyft repurchased 12.8 million shares for $200 million.</w:t>
      </w:r>
    </w:p>
    <w:p w14:paraId="62165B01" w14:textId="77777777" w:rsidR="003A79F4" w:rsidRPr="00DC57AE" w:rsidRDefault="003A79F4" w:rsidP="003A79F4">
      <w:pPr>
        <w:pStyle w:val="ListParagraph"/>
        <w:spacing w:line="276" w:lineRule="auto"/>
        <w:ind w:left="-567" w:right="-22"/>
        <w:jc w:val="both"/>
        <w:rPr>
          <w:rFonts w:ascii="Arial" w:hAnsi="Arial" w:cs="Arial"/>
          <w:sz w:val="20"/>
          <w:szCs w:val="20"/>
          <w:highlight w:val="yellow"/>
        </w:rPr>
      </w:pPr>
    </w:p>
    <w:p w14:paraId="0EAE241C" w14:textId="77777777" w:rsidR="003A79F4" w:rsidRPr="00DC57AE" w:rsidRDefault="003A79F4" w:rsidP="003A79F4">
      <w:pPr>
        <w:pStyle w:val="ListParagraph"/>
        <w:spacing w:line="276" w:lineRule="auto"/>
        <w:ind w:left="-567" w:right="-22"/>
        <w:jc w:val="both"/>
        <w:rPr>
          <w:rFonts w:ascii="Arial" w:hAnsi="Arial" w:cs="Arial"/>
          <w:sz w:val="20"/>
          <w:szCs w:val="20"/>
          <w:highlight w:val="yellow"/>
        </w:rPr>
      </w:pPr>
      <w:r w:rsidRPr="00DC57AE">
        <w:rPr>
          <w:rFonts w:ascii="Arial" w:hAnsi="Arial" w:cs="Arial"/>
          <w:sz w:val="20"/>
          <w:szCs w:val="20"/>
          <w:highlight w:val="yellow"/>
        </w:rPr>
        <w:t>Operationally, Lyft saw 234.8 million rides, a 14% year-over-year increase, and active riders reached a record 26.1 million, up 10% from Q2 2024. The company strengthened strategic partnerships with Baidu, United Airlines, and others, while Lyft Silver adoption and dual-app driver preference continued to grow, supporting engagement and retention.</w:t>
      </w:r>
    </w:p>
    <w:p w14:paraId="49AC0B7B" w14:textId="77777777" w:rsidR="003A79F4" w:rsidRPr="00DC57AE" w:rsidRDefault="003A79F4" w:rsidP="003A79F4">
      <w:pPr>
        <w:pStyle w:val="ListParagraph"/>
        <w:spacing w:line="276" w:lineRule="auto"/>
        <w:ind w:left="-567" w:right="-22"/>
        <w:jc w:val="both"/>
        <w:rPr>
          <w:rFonts w:ascii="Arial" w:hAnsi="Arial" w:cs="Arial"/>
          <w:sz w:val="20"/>
          <w:szCs w:val="20"/>
          <w:highlight w:val="yellow"/>
        </w:rPr>
      </w:pPr>
    </w:p>
    <w:p w14:paraId="17C23599" w14:textId="3B70977B" w:rsidR="00421B3F" w:rsidRDefault="003A79F4" w:rsidP="00992CE1">
      <w:pPr>
        <w:pStyle w:val="ListParagraph"/>
        <w:spacing w:line="276" w:lineRule="auto"/>
        <w:ind w:left="-567" w:right="-22"/>
        <w:jc w:val="both"/>
        <w:rPr>
          <w:rFonts w:ascii="Arial" w:hAnsi="Arial" w:cs="Arial"/>
          <w:sz w:val="20"/>
          <w:szCs w:val="20"/>
        </w:rPr>
      </w:pPr>
      <w:r w:rsidRPr="00DC57AE">
        <w:rPr>
          <w:rFonts w:ascii="Arial" w:hAnsi="Arial" w:cs="Arial"/>
          <w:sz w:val="20"/>
          <w:szCs w:val="20"/>
          <w:highlight w:val="yellow"/>
        </w:rPr>
        <w:t>Looking ahead to Q3 2025, which includes two months post-</w:t>
      </w:r>
      <w:proofErr w:type="spellStart"/>
      <w:r w:rsidRPr="00DC57AE">
        <w:rPr>
          <w:rFonts w:ascii="Arial" w:hAnsi="Arial" w:cs="Arial"/>
          <w:sz w:val="20"/>
          <w:szCs w:val="20"/>
          <w:highlight w:val="yellow"/>
        </w:rPr>
        <w:t>Freenow</w:t>
      </w:r>
      <w:proofErr w:type="spellEnd"/>
      <w:r w:rsidRPr="00DC57AE">
        <w:rPr>
          <w:rFonts w:ascii="Arial" w:hAnsi="Arial" w:cs="Arial"/>
          <w:sz w:val="20"/>
          <w:szCs w:val="20"/>
          <w:highlight w:val="yellow"/>
        </w:rPr>
        <w:t xml:space="preserve"> acquisition, Lyft expects rides to grow in the mid-teens percentage range year over year. Gross Bookings are projected between $4.65 billion and $4.80 billion, up 13–17% year over year, with Adjusted EBITDA expected to range from $125 million to $145 million, representing approximately 2.7–3.0% of Gross Bookings. Lyft continues to focus on operational excellence, market expansion, and leveraging strategic partnerships to drive long-term growth.</w:t>
      </w:r>
    </w:p>
    <w:p w14:paraId="7392DE56" w14:textId="77777777" w:rsidR="00B073D0" w:rsidRDefault="00B073D0" w:rsidP="00992CE1">
      <w:pPr>
        <w:pStyle w:val="ListParagraph"/>
        <w:spacing w:line="276" w:lineRule="auto"/>
        <w:ind w:left="-567" w:right="-22"/>
        <w:jc w:val="both"/>
        <w:rPr>
          <w:rFonts w:ascii="Arial" w:hAnsi="Arial" w:cs="Arial"/>
          <w:sz w:val="20"/>
          <w:szCs w:val="20"/>
        </w:rPr>
      </w:pPr>
    </w:p>
    <w:p w14:paraId="49F0E982" w14:textId="77777777" w:rsidR="00D41995" w:rsidRDefault="00D41995" w:rsidP="00992CE1">
      <w:pPr>
        <w:pStyle w:val="ListParagraph"/>
        <w:spacing w:line="276" w:lineRule="auto"/>
        <w:ind w:left="-567" w:right="-22"/>
        <w:jc w:val="both"/>
        <w:rPr>
          <w:rFonts w:ascii="Arial" w:hAnsi="Arial" w:cs="Arial"/>
          <w:sz w:val="20"/>
          <w:szCs w:val="20"/>
        </w:rPr>
      </w:pPr>
    </w:p>
    <w:p w14:paraId="022E0026" w14:textId="77777777" w:rsidR="00D41995" w:rsidRDefault="00D41995" w:rsidP="00992CE1">
      <w:pPr>
        <w:pStyle w:val="ListParagraph"/>
        <w:spacing w:line="276" w:lineRule="auto"/>
        <w:ind w:left="-567" w:right="-22"/>
        <w:jc w:val="both"/>
        <w:rPr>
          <w:rFonts w:ascii="Arial" w:hAnsi="Arial" w:cs="Arial"/>
          <w:sz w:val="20"/>
          <w:szCs w:val="20"/>
        </w:rPr>
      </w:pPr>
    </w:p>
    <w:p w14:paraId="5524EC63" w14:textId="77777777" w:rsidR="00D41995" w:rsidRDefault="00D41995" w:rsidP="00992CE1">
      <w:pPr>
        <w:pStyle w:val="ListParagraph"/>
        <w:spacing w:line="276" w:lineRule="auto"/>
        <w:ind w:left="-567" w:right="-22"/>
        <w:jc w:val="both"/>
        <w:rPr>
          <w:rFonts w:ascii="Arial" w:hAnsi="Arial" w:cs="Arial"/>
          <w:sz w:val="20"/>
          <w:szCs w:val="20"/>
        </w:rPr>
      </w:pPr>
    </w:p>
    <w:p w14:paraId="3F457CD4" w14:textId="77777777" w:rsidR="00D41995" w:rsidRDefault="00D41995" w:rsidP="00992CE1">
      <w:pPr>
        <w:pStyle w:val="ListParagraph"/>
        <w:spacing w:line="276" w:lineRule="auto"/>
        <w:ind w:left="-567" w:right="-22"/>
        <w:jc w:val="both"/>
        <w:rPr>
          <w:rFonts w:ascii="Arial" w:hAnsi="Arial" w:cs="Arial"/>
          <w:sz w:val="20"/>
          <w:szCs w:val="20"/>
        </w:rPr>
      </w:pPr>
    </w:p>
    <w:p w14:paraId="183F01BE" w14:textId="77777777" w:rsidR="00D41995" w:rsidRDefault="00D41995" w:rsidP="00992CE1">
      <w:pPr>
        <w:pStyle w:val="ListParagraph"/>
        <w:spacing w:line="276" w:lineRule="auto"/>
        <w:ind w:left="-567" w:right="-22"/>
        <w:jc w:val="both"/>
        <w:rPr>
          <w:rFonts w:ascii="Arial" w:hAnsi="Arial" w:cs="Arial"/>
          <w:sz w:val="20"/>
          <w:szCs w:val="20"/>
        </w:rPr>
      </w:pPr>
    </w:p>
    <w:p w14:paraId="62531F5A" w14:textId="77777777" w:rsidR="00D41995" w:rsidRDefault="00D41995" w:rsidP="00992CE1">
      <w:pPr>
        <w:pStyle w:val="ListParagraph"/>
        <w:spacing w:line="276" w:lineRule="auto"/>
        <w:ind w:left="-567" w:right="-22"/>
        <w:jc w:val="both"/>
        <w:rPr>
          <w:rFonts w:ascii="Arial" w:hAnsi="Arial" w:cs="Arial"/>
          <w:sz w:val="20"/>
          <w:szCs w:val="20"/>
        </w:rPr>
      </w:pPr>
    </w:p>
    <w:p w14:paraId="0F80043A" w14:textId="77777777" w:rsidR="00D41995" w:rsidRDefault="00D41995" w:rsidP="00992CE1">
      <w:pPr>
        <w:pStyle w:val="ListParagraph"/>
        <w:spacing w:line="276" w:lineRule="auto"/>
        <w:ind w:left="-567" w:right="-22"/>
        <w:jc w:val="both"/>
        <w:rPr>
          <w:rFonts w:ascii="Arial" w:hAnsi="Arial" w:cs="Arial"/>
          <w:sz w:val="20"/>
          <w:szCs w:val="20"/>
        </w:rPr>
      </w:pPr>
    </w:p>
    <w:p w14:paraId="4C19034B" w14:textId="77777777" w:rsidR="00D41995" w:rsidRDefault="00D41995" w:rsidP="00992CE1">
      <w:pPr>
        <w:pStyle w:val="ListParagraph"/>
        <w:spacing w:line="276" w:lineRule="auto"/>
        <w:ind w:left="-567" w:right="-22"/>
        <w:jc w:val="both"/>
        <w:rPr>
          <w:rFonts w:ascii="Arial" w:hAnsi="Arial" w:cs="Arial"/>
          <w:sz w:val="20"/>
          <w:szCs w:val="20"/>
        </w:rPr>
      </w:pPr>
    </w:p>
    <w:p w14:paraId="7C455A71" w14:textId="77777777" w:rsidR="00D41995" w:rsidRDefault="00D41995" w:rsidP="00992CE1">
      <w:pPr>
        <w:pStyle w:val="ListParagraph"/>
        <w:spacing w:line="276" w:lineRule="auto"/>
        <w:ind w:left="-567" w:right="-22"/>
        <w:jc w:val="both"/>
        <w:rPr>
          <w:rFonts w:ascii="Arial" w:hAnsi="Arial" w:cs="Arial"/>
          <w:sz w:val="20"/>
          <w:szCs w:val="20"/>
        </w:rPr>
      </w:pPr>
    </w:p>
    <w:p w14:paraId="52954984" w14:textId="77777777" w:rsidR="00D41995" w:rsidRDefault="00D41995" w:rsidP="00992CE1">
      <w:pPr>
        <w:pStyle w:val="ListParagraph"/>
        <w:spacing w:line="276" w:lineRule="auto"/>
        <w:ind w:left="-567" w:right="-22"/>
        <w:jc w:val="both"/>
        <w:rPr>
          <w:rFonts w:ascii="Arial" w:hAnsi="Arial" w:cs="Arial"/>
          <w:sz w:val="20"/>
          <w:szCs w:val="20"/>
        </w:rPr>
      </w:pPr>
    </w:p>
    <w:p w14:paraId="51EA7838" w14:textId="77777777" w:rsidR="00D41995" w:rsidRDefault="00D41995" w:rsidP="00992CE1">
      <w:pPr>
        <w:pStyle w:val="ListParagraph"/>
        <w:spacing w:line="276" w:lineRule="auto"/>
        <w:ind w:left="-567" w:right="-22"/>
        <w:jc w:val="both"/>
        <w:rPr>
          <w:rFonts w:ascii="Arial" w:hAnsi="Arial" w:cs="Arial"/>
          <w:sz w:val="20"/>
          <w:szCs w:val="20"/>
        </w:rPr>
      </w:pPr>
    </w:p>
    <w:p w14:paraId="1044917F" w14:textId="77777777" w:rsidR="00D41995" w:rsidRDefault="00D41995" w:rsidP="00992CE1">
      <w:pPr>
        <w:pStyle w:val="ListParagraph"/>
        <w:spacing w:line="276" w:lineRule="auto"/>
        <w:ind w:left="-567" w:right="-22"/>
        <w:jc w:val="both"/>
        <w:rPr>
          <w:rFonts w:ascii="Arial" w:hAnsi="Arial" w:cs="Arial"/>
          <w:sz w:val="20"/>
          <w:szCs w:val="20"/>
        </w:rPr>
      </w:pPr>
    </w:p>
    <w:p w14:paraId="3DB51333" w14:textId="77777777" w:rsidR="00D41995" w:rsidRDefault="00D41995" w:rsidP="00992CE1">
      <w:pPr>
        <w:pStyle w:val="ListParagraph"/>
        <w:spacing w:line="276" w:lineRule="auto"/>
        <w:ind w:left="-567" w:right="-22"/>
        <w:jc w:val="both"/>
        <w:rPr>
          <w:rFonts w:ascii="Arial" w:hAnsi="Arial" w:cs="Arial"/>
          <w:sz w:val="20"/>
          <w:szCs w:val="20"/>
        </w:rPr>
      </w:pPr>
    </w:p>
    <w:p w14:paraId="4D7621AC" w14:textId="77777777" w:rsidR="00D41995" w:rsidRDefault="00D41995" w:rsidP="00992CE1">
      <w:pPr>
        <w:pStyle w:val="ListParagraph"/>
        <w:spacing w:line="276" w:lineRule="auto"/>
        <w:ind w:left="-567" w:right="-22"/>
        <w:jc w:val="both"/>
        <w:rPr>
          <w:rFonts w:ascii="Arial" w:hAnsi="Arial" w:cs="Arial"/>
          <w:sz w:val="20"/>
          <w:szCs w:val="20"/>
        </w:rPr>
      </w:pPr>
    </w:p>
    <w:p w14:paraId="599CBABB" w14:textId="77777777" w:rsidR="00D41995" w:rsidRDefault="00D41995" w:rsidP="00992CE1">
      <w:pPr>
        <w:pStyle w:val="ListParagraph"/>
        <w:spacing w:line="276" w:lineRule="auto"/>
        <w:ind w:left="-567" w:right="-22"/>
        <w:jc w:val="both"/>
        <w:rPr>
          <w:rFonts w:ascii="Arial" w:hAnsi="Arial" w:cs="Arial"/>
          <w:sz w:val="20"/>
          <w:szCs w:val="20"/>
        </w:rPr>
      </w:pPr>
    </w:p>
    <w:p w14:paraId="62A59D47" w14:textId="77777777" w:rsidR="00D41995" w:rsidRPr="00992CE1" w:rsidRDefault="00D41995" w:rsidP="00992CE1">
      <w:pPr>
        <w:pStyle w:val="ListParagraph"/>
        <w:spacing w:line="276" w:lineRule="auto"/>
        <w:ind w:left="-567" w:right="-22"/>
        <w:jc w:val="both"/>
        <w:rPr>
          <w:rFonts w:ascii="Arial" w:hAnsi="Arial" w:cs="Arial"/>
          <w:sz w:val="20"/>
          <w:szCs w:val="20"/>
        </w:rPr>
      </w:pPr>
    </w:p>
    <w:p w14:paraId="157188F8" w14:textId="3FA0542E" w:rsidR="00665C10" w:rsidRPr="00A12D41" w:rsidRDefault="00421B3F" w:rsidP="00581196">
      <w:pPr>
        <w:pStyle w:val="Title"/>
        <w:ind w:left="-851"/>
        <w:jc w:val="both"/>
        <w:rPr>
          <w:rFonts w:eastAsia="Calibri"/>
          <w:b/>
          <w:bCs/>
          <w:sz w:val="50"/>
          <w:szCs w:val="50"/>
          <w:u w:val="single"/>
          <w:lang w:val="en-US"/>
        </w:rPr>
      </w:pPr>
      <w:r w:rsidRPr="00A12D41">
        <w:rPr>
          <w:rFonts w:eastAsia="Calibri"/>
          <w:b/>
          <w:bCs/>
          <w:sz w:val="50"/>
          <w:szCs w:val="50"/>
          <w:u w:val="single"/>
          <w:lang w:val="en-US"/>
        </w:rPr>
        <w:lastRenderedPageBreak/>
        <w:t>Fundamentals</w:t>
      </w:r>
    </w:p>
    <w:tbl>
      <w:tblPr>
        <w:tblW w:w="11460" w:type="dxa"/>
        <w:tblInd w:w="-1276" w:type="dxa"/>
        <w:tblLook w:val="04A0" w:firstRow="1" w:lastRow="0" w:firstColumn="1" w:lastColumn="0" w:noHBand="0" w:noVBand="1"/>
      </w:tblPr>
      <w:tblGrid>
        <w:gridCol w:w="2367"/>
        <w:gridCol w:w="1299"/>
        <w:gridCol w:w="1299"/>
        <w:gridCol w:w="1299"/>
        <w:gridCol w:w="1299"/>
        <w:gridCol w:w="1299"/>
        <w:gridCol w:w="1299"/>
        <w:gridCol w:w="1299"/>
      </w:tblGrid>
      <w:tr w:rsidR="00FA393D" w:rsidRPr="00FA393D" w14:paraId="21FA6056" w14:textId="77777777" w:rsidTr="00FA393D">
        <w:trPr>
          <w:trHeight w:val="332"/>
        </w:trPr>
        <w:tc>
          <w:tcPr>
            <w:tcW w:w="2367" w:type="dxa"/>
            <w:tcBorders>
              <w:top w:val="nil"/>
              <w:left w:val="nil"/>
              <w:bottom w:val="nil"/>
              <w:right w:val="nil"/>
            </w:tcBorders>
            <w:shd w:val="clear" w:color="000000" w:fill="132E57"/>
            <w:noWrap/>
            <w:vAlign w:val="center"/>
            <w:hideMark/>
          </w:tcPr>
          <w:p w14:paraId="4DC41BAB" w14:textId="77777777" w:rsidR="00FA393D" w:rsidRPr="00FA393D" w:rsidRDefault="00FA393D" w:rsidP="00FA393D">
            <w:pPr>
              <w:spacing w:after="0" w:line="240" w:lineRule="auto"/>
              <w:rPr>
                <w:rFonts w:ascii="Arial Narrow" w:eastAsia="Times New Roman" w:hAnsi="Arial Narrow" w:cs="Calibri"/>
                <w:b/>
                <w:bCs/>
                <w:color w:val="FFFFFF"/>
                <w:kern w:val="0"/>
                <w:sz w:val="22"/>
                <w:szCs w:val="22"/>
                <w:lang w:eastAsia="en-ZA"/>
                <w14:ligatures w14:val="none"/>
              </w:rPr>
            </w:pPr>
            <w:r w:rsidRPr="00FA393D">
              <w:rPr>
                <w:rFonts w:ascii="Arial Narrow" w:eastAsia="Times New Roman" w:hAnsi="Arial Narrow" w:cs="Calibri"/>
                <w:b/>
                <w:bCs/>
                <w:color w:val="FFFFFF"/>
                <w:kern w:val="0"/>
                <w:sz w:val="22"/>
                <w:szCs w:val="22"/>
                <w:lang w:eastAsia="en-ZA"/>
                <w14:ligatures w14:val="none"/>
              </w:rPr>
              <w:t>Financial (Thousands)</w:t>
            </w:r>
          </w:p>
        </w:tc>
        <w:tc>
          <w:tcPr>
            <w:tcW w:w="1299" w:type="dxa"/>
            <w:tcBorders>
              <w:top w:val="nil"/>
              <w:left w:val="nil"/>
              <w:bottom w:val="nil"/>
              <w:right w:val="nil"/>
            </w:tcBorders>
            <w:shd w:val="clear" w:color="000000" w:fill="002060"/>
            <w:noWrap/>
            <w:vAlign w:val="center"/>
            <w:hideMark/>
          </w:tcPr>
          <w:p w14:paraId="77664AFC"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2024A</w:t>
            </w:r>
          </w:p>
        </w:tc>
        <w:tc>
          <w:tcPr>
            <w:tcW w:w="1299" w:type="dxa"/>
            <w:tcBorders>
              <w:top w:val="nil"/>
              <w:left w:val="nil"/>
              <w:bottom w:val="nil"/>
              <w:right w:val="nil"/>
            </w:tcBorders>
            <w:shd w:val="clear" w:color="000000" w:fill="2F75B5"/>
            <w:noWrap/>
            <w:vAlign w:val="center"/>
            <w:hideMark/>
          </w:tcPr>
          <w:p w14:paraId="2A578A8D"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2025E</w:t>
            </w:r>
          </w:p>
        </w:tc>
        <w:tc>
          <w:tcPr>
            <w:tcW w:w="1299" w:type="dxa"/>
            <w:tcBorders>
              <w:top w:val="nil"/>
              <w:left w:val="nil"/>
              <w:bottom w:val="nil"/>
              <w:right w:val="nil"/>
            </w:tcBorders>
            <w:shd w:val="clear" w:color="000000" w:fill="2F75B5"/>
            <w:noWrap/>
            <w:vAlign w:val="center"/>
            <w:hideMark/>
          </w:tcPr>
          <w:p w14:paraId="7B6B175D"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2026E</w:t>
            </w:r>
          </w:p>
        </w:tc>
        <w:tc>
          <w:tcPr>
            <w:tcW w:w="1299" w:type="dxa"/>
            <w:tcBorders>
              <w:top w:val="nil"/>
              <w:left w:val="nil"/>
              <w:bottom w:val="nil"/>
              <w:right w:val="nil"/>
            </w:tcBorders>
            <w:shd w:val="clear" w:color="000000" w:fill="2F75B5"/>
            <w:noWrap/>
            <w:vAlign w:val="center"/>
            <w:hideMark/>
          </w:tcPr>
          <w:p w14:paraId="566C4A50"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2027E</w:t>
            </w:r>
          </w:p>
        </w:tc>
        <w:tc>
          <w:tcPr>
            <w:tcW w:w="1299" w:type="dxa"/>
            <w:tcBorders>
              <w:top w:val="nil"/>
              <w:left w:val="nil"/>
              <w:bottom w:val="nil"/>
              <w:right w:val="nil"/>
            </w:tcBorders>
            <w:shd w:val="clear" w:color="000000" w:fill="2F75B5"/>
            <w:noWrap/>
            <w:vAlign w:val="center"/>
            <w:hideMark/>
          </w:tcPr>
          <w:p w14:paraId="136BBEE6"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2028E</w:t>
            </w:r>
          </w:p>
        </w:tc>
        <w:tc>
          <w:tcPr>
            <w:tcW w:w="1299" w:type="dxa"/>
            <w:tcBorders>
              <w:top w:val="nil"/>
              <w:left w:val="nil"/>
              <w:bottom w:val="nil"/>
              <w:right w:val="nil"/>
            </w:tcBorders>
            <w:shd w:val="clear" w:color="000000" w:fill="2F75B5"/>
            <w:noWrap/>
            <w:vAlign w:val="center"/>
            <w:hideMark/>
          </w:tcPr>
          <w:p w14:paraId="27873D3F"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2029E</w:t>
            </w:r>
          </w:p>
        </w:tc>
        <w:tc>
          <w:tcPr>
            <w:tcW w:w="1299" w:type="dxa"/>
            <w:tcBorders>
              <w:top w:val="nil"/>
              <w:left w:val="nil"/>
              <w:bottom w:val="nil"/>
              <w:right w:val="nil"/>
            </w:tcBorders>
            <w:shd w:val="clear" w:color="000000" w:fill="2F75B5"/>
            <w:noWrap/>
            <w:vAlign w:val="center"/>
            <w:hideMark/>
          </w:tcPr>
          <w:p w14:paraId="0A455C80"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2030E</w:t>
            </w:r>
          </w:p>
        </w:tc>
      </w:tr>
      <w:tr w:rsidR="00FA393D" w:rsidRPr="00FA393D" w14:paraId="343B8839" w14:textId="77777777" w:rsidTr="00FA393D">
        <w:trPr>
          <w:trHeight w:val="302"/>
        </w:trPr>
        <w:tc>
          <w:tcPr>
            <w:tcW w:w="2367" w:type="dxa"/>
            <w:tcBorders>
              <w:top w:val="nil"/>
              <w:left w:val="nil"/>
              <w:bottom w:val="nil"/>
              <w:right w:val="nil"/>
            </w:tcBorders>
            <w:noWrap/>
            <w:vAlign w:val="center"/>
            <w:hideMark/>
          </w:tcPr>
          <w:p w14:paraId="1D4E81CF"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Revenue</w:t>
            </w:r>
          </w:p>
        </w:tc>
        <w:tc>
          <w:tcPr>
            <w:tcW w:w="1299" w:type="dxa"/>
            <w:tcBorders>
              <w:top w:val="nil"/>
              <w:left w:val="nil"/>
              <w:bottom w:val="nil"/>
              <w:right w:val="nil"/>
            </w:tcBorders>
            <w:noWrap/>
            <w:vAlign w:val="center"/>
            <w:hideMark/>
          </w:tcPr>
          <w:p w14:paraId="67D6AF6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5 786 016,0</w:t>
            </w:r>
          </w:p>
        </w:tc>
        <w:tc>
          <w:tcPr>
            <w:tcW w:w="1299" w:type="dxa"/>
            <w:tcBorders>
              <w:top w:val="nil"/>
              <w:left w:val="nil"/>
              <w:bottom w:val="nil"/>
              <w:right w:val="nil"/>
            </w:tcBorders>
            <w:noWrap/>
            <w:vAlign w:val="center"/>
            <w:hideMark/>
          </w:tcPr>
          <w:p w14:paraId="3212D329"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5 988 679,4</w:t>
            </w:r>
          </w:p>
        </w:tc>
        <w:tc>
          <w:tcPr>
            <w:tcW w:w="1299" w:type="dxa"/>
            <w:tcBorders>
              <w:top w:val="nil"/>
              <w:left w:val="nil"/>
              <w:bottom w:val="nil"/>
              <w:right w:val="nil"/>
            </w:tcBorders>
            <w:noWrap/>
            <w:vAlign w:val="center"/>
            <w:hideMark/>
          </w:tcPr>
          <w:p w14:paraId="173BAB35"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6 148 195,3</w:t>
            </w:r>
          </w:p>
        </w:tc>
        <w:tc>
          <w:tcPr>
            <w:tcW w:w="1299" w:type="dxa"/>
            <w:tcBorders>
              <w:top w:val="nil"/>
              <w:left w:val="nil"/>
              <w:bottom w:val="nil"/>
              <w:right w:val="nil"/>
            </w:tcBorders>
            <w:noWrap/>
            <w:vAlign w:val="center"/>
            <w:hideMark/>
          </w:tcPr>
          <w:p w14:paraId="6723C587"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6 468 328,0</w:t>
            </w:r>
          </w:p>
        </w:tc>
        <w:tc>
          <w:tcPr>
            <w:tcW w:w="1299" w:type="dxa"/>
            <w:tcBorders>
              <w:top w:val="nil"/>
              <w:left w:val="nil"/>
              <w:bottom w:val="nil"/>
              <w:right w:val="nil"/>
            </w:tcBorders>
            <w:noWrap/>
            <w:vAlign w:val="center"/>
            <w:hideMark/>
          </w:tcPr>
          <w:p w14:paraId="625DAB8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6 798 064,7</w:t>
            </w:r>
          </w:p>
        </w:tc>
        <w:tc>
          <w:tcPr>
            <w:tcW w:w="1299" w:type="dxa"/>
            <w:tcBorders>
              <w:top w:val="nil"/>
              <w:left w:val="nil"/>
              <w:bottom w:val="nil"/>
              <w:right w:val="nil"/>
            </w:tcBorders>
            <w:noWrap/>
            <w:vAlign w:val="center"/>
            <w:hideMark/>
          </w:tcPr>
          <w:p w14:paraId="3E893713"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7 137 693,5</w:t>
            </w:r>
          </w:p>
        </w:tc>
        <w:tc>
          <w:tcPr>
            <w:tcW w:w="1299" w:type="dxa"/>
            <w:tcBorders>
              <w:top w:val="nil"/>
              <w:left w:val="nil"/>
              <w:bottom w:val="nil"/>
              <w:right w:val="nil"/>
            </w:tcBorders>
            <w:noWrap/>
            <w:vAlign w:val="center"/>
            <w:hideMark/>
          </w:tcPr>
          <w:p w14:paraId="3112AB1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7 487 511,2</w:t>
            </w:r>
          </w:p>
        </w:tc>
      </w:tr>
      <w:tr w:rsidR="00FA393D" w:rsidRPr="00FA393D" w14:paraId="5563CCE8" w14:textId="77777777" w:rsidTr="00FA393D">
        <w:trPr>
          <w:trHeight w:val="302"/>
        </w:trPr>
        <w:tc>
          <w:tcPr>
            <w:tcW w:w="2367" w:type="dxa"/>
            <w:tcBorders>
              <w:top w:val="nil"/>
              <w:left w:val="nil"/>
              <w:bottom w:val="nil"/>
              <w:right w:val="nil"/>
            </w:tcBorders>
            <w:noWrap/>
            <w:vAlign w:val="center"/>
            <w:hideMark/>
          </w:tcPr>
          <w:p w14:paraId="6AE5C2E1"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Net Income</w:t>
            </w:r>
          </w:p>
        </w:tc>
        <w:tc>
          <w:tcPr>
            <w:tcW w:w="1299" w:type="dxa"/>
            <w:tcBorders>
              <w:top w:val="nil"/>
              <w:left w:val="nil"/>
              <w:bottom w:val="nil"/>
              <w:right w:val="nil"/>
            </w:tcBorders>
            <w:noWrap/>
            <w:vAlign w:val="center"/>
            <w:hideMark/>
          </w:tcPr>
          <w:p w14:paraId="0B72193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22 784,0</w:t>
            </w:r>
          </w:p>
        </w:tc>
        <w:tc>
          <w:tcPr>
            <w:tcW w:w="1299" w:type="dxa"/>
            <w:tcBorders>
              <w:top w:val="nil"/>
              <w:left w:val="nil"/>
              <w:bottom w:val="nil"/>
              <w:right w:val="nil"/>
            </w:tcBorders>
            <w:noWrap/>
            <w:vAlign w:val="center"/>
            <w:hideMark/>
          </w:tcPr>
          <w:p w14:paraId="333E26F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35 400,0</w:t>
            </w:r>
          </w:p>
        </w:tc>
        <w:tc>
          <w:tcPr>
            <w:tcW w:w="1299" w:type="dxa"/>
            <w:tcBorders>
              <w:top w:val="nil"/>
              <w:left w:val="nil"/>
              <w:bottom w:val="nil"/>
              <w:right w:val="nil"/>
            </w:tcBorders>
            <w:noWrap/>
            <w:vAlign w:val="center"/>
            <w:hideMark/>
          </w:tcPr>
          <w:p w14:paraId="726A100C"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52 244,7</w:t>
            </w:r>
          </w:p>
        </w:tc>
        <w:tc>
          <w:tcPr>
            <w:tcW w:w="1299" w:type="dxa"/>
            <w:tcBorders>
              <w:top w:val="nil"/>
              <w:left w:val="nil"/>
              <w:bottom w:val="nil"/>
              <w:right w:val="nil"/>
            </w:tcBorders>
            <w:noWrap/>
            <w:vAlign w:val="center"/>
            <w:hideMark/>
          </w:tcPr>
          <w:p w14:paraId="69F6844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122 885,5</w:t>
            </w:r>
          </w:p>
        </w:tc>
        <w:tc>
          <w:tcPr>
            <w:tcW w:w="1299" w:type="dxa"/>
            <w:tcBorders>
              <w:top w:val="nil"/>
              <w:left w:val="nil"/>
              <w:bottom w:val="nil"/>
              <w:right w:val="nil"/>
            </w:tcBorders>
            <w:noWrap/>
            <w:vAlign w:val="center"/>
            <w:hideMark/>
          </w:tcPr>
          <w:p w14:paraId="313DBBF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191 149,2</w:t>
            </w:r>
          </w:p>
        </w:tc>
        <w:tc>
          <w:tcPr>
            <w:tcW w:w="1299" w:type="dxa"/>
            <w:tcBorders>
              <w:top w:val="nil"/>
              <w:left w:val="nil"/>
              <w:bottom w:val="nil"/>
              <w:right w:val="nil"/>
            </w:tcBorders>
            <w:noWrap/>
            <w:vAlign w:val="center"/>
            <w:hideMark/>
          </w:tcPr>
          <w:p w14:paraId="2860A53C"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246 148,6</w:t>
            </w:r>
          </w:p>
        </w:tc>
        <w:tc>
          <w:tcPr>
            <w:tcW w:w="1299" w:type="dxa"/>
            <w:tcBorders>
              <w:top w:val="nil"/>
              <w:left w:val="nil"/>
              <w:bottom w:val="nil"/>
              <w:right w:val="nil"/>
            </w:tcBorders>
            <w:noWrap/>
            <w:vAlign w:val="center"/>
            <w:hideMark/>
          </w:tcPr>
          <w:p w14:paraId="1EAFB29C"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251 153,4</w:t>
            </w:r>
          </w:p>
        </w:tc>
      </w:tr>
      <w:tr w:rsidR="00FA393D" w:rsidRPr="00FA393D" w14:paraId="377C01AD" w14:textId="77777777" w:rsidTr="00FA393D">
        <w:trPr>
          <w:trHeight w:val="302"/>
        </w:trPr>
        <w:tc>
          <w:tcPr>
            <w:tcW w:w="2367" w:type="dxa"/>
            <w:tcBorders>
              <w:top w:val="nil"/>
              <w:left w:val="nil"/>
              <w:bottom w:val="nil"/>
              <w:right w:val="nil"/>
            </w:tcBorders>
            <w:noWrap/>
            <w:vAlign w:val="center"/>
            <w:hideMark/>
          </w:tcPr>
          <w:p w14:paraId="70B8CFFF" w14:textId="2C71B273" w:rsidR="00FA393D" w:rsidRPr="00FA393D" w:rsidRDefault="00A4361A" w:rsidP="00FA393D">
            <w:pPr>
              <w:spacing w:after="0" w:line="240" w:lineRule="auto"/>
              <w:rPr>
                <w:rFonts w:ascii="Calibri" w:eastAsia="Times New Roman" w:hAnsi="Calibri" w:cs="Calibri"/>
                <w:color w:val="000000"/>
                <w:kern w:val="0"/>
                <w:sz w:val="22"/>
                <w:szCs w:val="22"/>
                <w:lang w:eastAsia="en-ZA"/>
                <w14:ligatures w14:val="none"/>
              </w:rPr>
            </w:pPr>
            <w:r>
              <w:rPr>
                <w:rFonts w:ascii="Calibri" w:eastAsia="Times New Roman" w:hAnsi="Calibri" w:cs="Calibri"/>
                <w:color w:val="000000"/>
                <w:kern w:val="0"/>
                <w:sz w:val="22"/>
                <w:szCs w:val="22"/>
                <w:lang w:eastAsia="en-ZA"/>
                <w14:ligatures w14:val="none"/>
              </w:rPr>
              <w:t xml:space="preserve">Adjusted </w:t>
            </w:r>
            <w:r w:rsidR="00FA393D" w:rsidRPr="00FA393D">
              <w:rPr>
                <w:rFonts w:ascii="Calibri" w:eastAsia="Times New Roman" w:hAnsi="Calibri" w:cs="Calibri"/>
                <w:color w:val="000000"/>
                <w:kern w:val="0"/>
                <w:sz w:val="22"/>
                <w:szCs w:val="22"/>
                <w:lang w:eastAsia="en-ZA"/>
                <w14:ligatures w14:val="none"/>
              </w:rPr>
              <w:t>EBITDA</w:t>
            </w:r>
          </w:p>
        </w:tc>
        <w:tc>
          <w:tcPr>
            <w:tcW w:w="1299" w:type="dxa"/>
            <w:tcBorders>
              <w:top w:val="nil"/>
              <w:left w:val="nil"/>
              <w:bottom w:val="nil"/>
              <w:right w:val="nil"/>
            </w:tcBorders>
            <w:noWrap/>
            <w:vAlign w:val="center"/>
            <w:hideMark/>
          </w:tcPr>
          <w:p w14:paraId="7D10632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382 284,0</w:t>
            </w:r>
          </w:p>
        </w:tc>
        <w:tc>
          <w:tcPr>
            <w:tcW w:w="1299" w:type="dxa"/>
            <w:tcBorders>
              <w:top w:val="nil"/>
              <w:left w:val="nil"/>
              <w:bottom w:val="nil"/>
              <w:right w:val="nil"/>
            </w:tcBorders>
            <w:noWrap/>
            <w:vAlign w:val="center"/>
            <w:hideMark/>
          </w:tcPr>
          <w:p w14:paraId="78B95A6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226 204,0</w:t>
            </w:r>
          </w:p>
        </w:tc>
        <w:tc>
          <w:tcPr>
            <w:tcW w:w="1299" w:type="dxa"/>
            <w:tcBorders>
              <w:top w:val="nil"/>
              <w:left w:val="nil"/>
              <w:bottom w:val="nil"/>
              <w:right w:val="nil"/>
            </w:tcBorders>
            <w:noWrap/>
            <w:vAlign w:val="center"/>
            <w:hideMark/>
          </w:tcPr>
          <w:p w14:paraId="79CF513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333 343,4</w:t>
            </w:r>
          </w:p>
        </w:tc>
        <w:tc>
          <w:tcPr>
            <w:tcW w:w="1299" w:type="dxa"/>
            <w:tcBorders>
              <w:top w:val="nil"/>
              <w:left w:val="nil"/>
              <w:bottom w:val="nil"/>
              <w:right w:val="nil"/>
            </w:tcBorders>
            <w:noWrap/>
            <w:vAlign w:val="center"/>
            <w:hideMark/>
          </w:tcPr>
          <w:p w14:paraId="216C167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446 249,3</w:t>
            </w:r>
          </w:p>
        </w:tc>
        <w:tc>
          <w:tcPr>
            <w:tcW w:w="1299" w:type="dxa"/>
            <w:tcBorders>
              <w:top w:val="nil"/>
              <w:left w:val="nil"/>
              <w:bottom w:val="nil"/>
              <w:right w:val="nil"/>
            </w:tcBorders>
            <w:noWrap/>
            <w:vAlign w:val="center"/>
            <w:hideMark/>
          </w:tcPr>
          <w:p w14:paraId="4AA742A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556 536,0</w:t>
            </w:r>
          </w:p>
        </w:tc>
        <w:tc>
          <w:tcPr>
            <w:tcW w:w="1299" w:type="dxa"/>
            <w:tcBorders>
              <w:top w:val="nil"/>
              <w:left w:val="nil"/>
              <w:bottom w:val="nil"/>
              <w:right w:val="nil"/>
            </w:tcBorders>
            <w:noWrap/>
            <w:vAlign w:val="center"/>
            <w:hideMark/>
          </w:tcPr>
          <w:p w14:paraId="0DB3DB14"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650 669,7</w:t>
            </w:r>
          </w:p>
        </w:tc>
        <w:tc>
          <w:tcPr>
            <w:tcW w:w="1299" w:type="dxa"/>
            <w:tcBorders>
              <w:top w:val="nil"/>
              <w:left w:val="nil"/>
              <w:bottom w:val="nil"/>
              <w:right w:val="nil"/>
            </w:tcBorders>
            <w:noWrap/>
            <w:vAlign w:val="center"/>
            <w:hideMark/>
          </w:tcPr>
          <w:p w14:paraId="47E857C5"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743 667,5</w:t>
            </w:r>
          </w:p>
        </w:tc>
      </w:tr>
      <w:tr w:rsidR="00FA393D" w:rsidRPr="00FA393D" w14:paraId="3118B385" w14:textId="77777777" w:rsidTr="00FA393D">
        <w:trPr>
          <w:trHeight w:val="302"/>
        </w:trPr>
        <w:tc>
          <w:tcPr>
            <w:tcW w:w="2367" w:type="dxa"/>
            <w:tcBorders>
              <w:top w:val="nil"/>
              <w:left w:val="nil"/>
              <w:bottom w:val="nil"/>
              <w:right w:val="nil"/>
            </w:tcBorders>
            <w:noWrap/>
            <w:vAlign w:val="center"/>
            <w:hideMark/>
          </w:tcPr>
          <w:p w14:paraId="2B590CE9"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Free Cash Flow</w:t>
            </w:r>
          </w:p>
        </w:tc>
        <w:tc>
          <w:tcPr>
            <w:tcW w:w="1299" w:type="dxa"/>
            <w:tcBorders>
              <w:top w:val="nil"/>
              <w:left w:val="nil"/>
              <w:bottom w:val="nil"/>
              <w:right w:val="nil"/>
            </w:tcBorders>
            <w:noWrap/>
            <w:vAlign w:val="center"/>
            <w:hideMark/>
          </w:tcPr>
          <w:p w14:paraId="12510FE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766 300,0</w:t>
            </w:r>
          </w:p>
        </w:tc>
        <w:tc>
          <w:tcPr>
            <w:tcW w:w="1299" w:type="dxa"/>
            <w:tcBorders>
              <w:top w:val="nil"/>
              <w:left w:val="nil"/>
              <w:bottom w:val="nil"/>
              <w:right w:val="nil"/>
            </w:tcBorders>
            <w:noWrap/>
            <w:vAlign w:val="center"/>
            <w:hideMark/>
          </w:tcPr>
          <w:p w14:paraId="4ADCC34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670 337,0</w:t>
            </w:r>
          </w:p>
        </w:tc>
        <w:tc>
          <w:tcPr>
            <w:tcW w:w="1299" w:type="dxa"/>
            <w:tcBorders>
              <w:top w:val="nil"/>
              <w:left w:val="nil"/>
              <w:bottom w:val="nil"/>
              <w:right w:val="nil"/>
            </w:tcBorders>
            <w:noWrap/>
            <w:vAlign w:val="center"/>
            <w:hideMark/>
          </w:tcPr>
          <w:p w14:paraId="123D306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873 007,0</w:t>
            </w:r>
          </w:p>
        </w:tc>
        <w:tc>
          <w:tcPr>
            <w:tcW w:w="1299" w:type="dxa"/>
            <w:tcBorders>
              <w:top w:val="nil"/>
              <w:left w:val="nil"/>
              <w:bottom w:val="nil"/>
              <w:right w:val="nil"/>
            </w:tcBorders>
            <w:noWrap/>
            <w:vAlign w:val="center"/>
            <w:hideMark/>
          </w:tcPr>
          <w:p w14:paraId="5076813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1 056 051,9</w:t>
            </w:r>
          </w:p>
        </w:tc>
        <w:tc>
          <w:tcPr>
            <w:tcW w:w="1299" w:type="dxa"/>
            <w:tcBorders>
              <w:top w:val="nil"/>
              <w:left w:val="nil"/>
              <w:bottom w:val="nil"/>
              <w:right w:val="nil"/>
            </w:tcBorders>
            <w:noWrap/>
            <w:vAlign w:val="center"/>
            <w:hideMark/>
          </w:tcPr>
          <w:p w14:paraId="6D47CB6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1 226 736,6</w:t>
            </w:r>
          </w:p>
        </w:tc>
        <w:tc>
          <w:tcPr>
            <w:tcW w:w="1299" w:type="dxa"/>
            <w:tcBorders>
              <w:top w:val="nil"/>
              <w:left w:val="nil"/>
              <w:bottom w:val="nil"/>
              <w:right w:val="nil"/>
            </w:tcBorders>
            <w:noWrap/>
            <w:vAlign w:val="center"/>
            <w:hideMark/>
          </w:tcPr>
          <w:p w14:paraId="7652557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1 431 023,5</w:t>
            </w:r>
          </w:p>
        </w:tc>
        <w:tc>
          <w:tcPr>
            <w:tcW w:w="1299" w:type="dxa"/>
            <w:tcBorders>
              <w:top w:val="nil"/>
              <w:left w:val="nil"/>
              <w:bottom w:val="nil"/>
              <w:right w:val="nil"/>
            </w:tcBorders>
            <w:noWrap/>
            <w:vAlign w:val="center"/>
            <w:hideMark/>
          </w:tcPr>
          <w:p w14:paraId="4FA6124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1 635 752,7</w:t>
            </w:r>
          </w:p>
        </w:tc>
      </w:tr>
      <w:tr w:rsidR="00FA393D" w:rsidRPr="00FA393D" w14:paraId="52F9977D" w14:textId="77777777" w:rsidTr="00FA393D">
        <w:trPr>
          <w:trHeight w:val="302"/>
        </w:trPr>
        <w:tc>
          <w:tcPr>
            <w:tcW w:w="2367" w:type="dxa"/>
            <w:tcBorders>
              <w:top w:val="nil"/>
              <w:left w:val="nil"/>
              <w:bottom w:val="nil"/>
              <w:right w:val="nil"/>
            </w:tcBorders>
            <w:noWrap/>
            <w:vAlign w:val="center"/>
            <w:hideMark/>
          </w:tcPr>
          <w:p w14:paraId="1BABBADA"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ROE</w:t>
            </w:r>
          </w:p>
        </w:tc>
        <w:tc>
          <w:tcPr>
            <w:tcW w:w="1299" w:type="dxa"/>
            <w:tcBorders>
              <w:top w:val="nil"/>
              <w:left w:val="nil"/>
              <w:bottom w:val="nil"/>
              <w:right w:val="nil"/>
            </w:tcBorders>
            <w:noWrap/>
            <w:vAlign w:val="center"/>
            <w:hideMark/>
          </w:tcPr>
          <w:p w14:paraId="262C0641"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3,48%</w:t>
            </w:r>
          </w:p>
        </w:tc>
        <w:tc>
          <w:tcPr>
            <w:tcW w:w="1299" w:type="dxa"/>
            <w:tcBorders>
              <w:top w:val="nil"/>
              <w:left w:val="nil"/>
              <w:bottom w:val="nil"/>
              <w:right w:val="nil"/>
            </w:tcBorders>
            <w:noWrap/>
            <w:vAlign w:val="center"/>
            <w:hideMark/>
          </w:tcPr>
          <w:p w14:paraId="01F8A2E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4,97%</w:t>
            </w:r>
          </w:p>
        </w:tc>
        <w:tc>
          <w:tcPr>
            <w:tcW w:w="1299" w:type="dxa"/>
            <w:tcBorders>
              <w:top w:val="nil"/>
              <w:left w:val="nil"/>
              <w:bottom w:val="nil"/>
              <w:right w:val="nil"/>
            </w:tcBorders>
            <w:noWrap/>
            <w:vAlign w:val="center"/>
            <w:hideMark/>
          </w:tcPr>
          <w:p w14:paraId="3A8EA06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12,17%</w:t>
            </w:r>
          </w:p>
        </w:tc>
        <w:tc>
          <w:tcPr>
            <w:tcW w:w="1299" w:type="dxa"/>
            <w:tcBorders>
              <w:top w:val="nil"/>
              <w:left w:val="nil"/>
              <w:bottom w:val="nil"/>
              <w:right w:val="nil"/>
            </w:tcBorders>
            <w:noWrap/>
            <w:vAlign w:val="center"/>
            <w:hideMark/>
          </w:tcPr>
          <w:p w14:paraId="0CAD895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17,45%</w:t>
            </w:r>
          </w:p>
        </w:tc>
        <w:tc>
          <w:tcPr>
            <w:tcW w:w="1299" w:type="dxa"/>
            <w:tcBorders>
              <w:top w:val="nil"/>
              <w:left w:val="nil"/>
              <w:bottom w:val="nil"/>
              <w:right w:val="nil"/>
            </w:tcBorders>
            <w:noWrap/>
            <w:vAlign w:val="center"/>
            <w:hideMark/>
          </w:tcPr>
          <w:p w14:paraId="787B6064"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19,16%</w:t>
            </w:r>
          </w:p>
        </w:tc>
        <w:tc>
          <w:tcPr>
            <w:tcW w:w="1299" w:type="dxa"/>
            <w:tcBorders>
              <w:top w:val="nil"/>
              <w:left w:val="nil"/>
              <w:bottom w:val="nil"/>
              <w:right w:val="nil"/>
            </w:tcBorders>
            <w:noWrap/>
            <w:vAlign w:val="center"/>
            <w:hideMark/>
          </w:tcPr>
          <w:p w14:paraId="302DD19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23,65%</w:t>
            </w:r>
          </w:p>
        </w:tc>
        <w:tc>
          <w:tcPr>
            <w:tcW w:w="1299" w:type="dxa"/>
            <w:tcBorders>
              <w:top w:val="nil"/>
              <w:left w:val="nil"/>
              <w:bottom w:val="nil"/>
              <w:right w:val="nil"/>
            </w:tcBorders>
            <w:noWrap/>
            <w:vAlign w:val="center"/>
            <w:hideMark/>
          </w:tcPr>
          <w:p w14:paraId="68CE720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24,45%</w:t>
            </w:r>
          </w:p>
        </w:tc>
      </w:tr>
      <w:tr w:rsidR="00FA393D" w:rsidRPr="00FA393D" w14:paraId="371AA390" w14:textId="77777777" w:rsidTr="00FA393D">
        <w:trPr>
          <w:trHeight w:val="302"/>
        </w:trPr>
        <w:tc>
          <w:tcPr>
            <w:tcW w:w="2367" w:type="dxa"/>
            <w:tcBorders>
              <w:top w:val="nil"/>
              <w:left w:val="nil"/>
              <w:bottom w:val="nil"/>
              <w:right w:val="nil"/>
            </w:tcBorders>
            <w:noWrap/>
            <w:vAlign w:val="center"/>
            <w:hideMark/>
          </w:tcPr>
          <w:p w14:paraId="4C35768B"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ROA</w:t>
            </w:r>
          </w:p>
        </w:tc>
        <w:tc>
          <w:tcPr>
            <w:tcW w:w="1299" w:type="dxa"/>
            <w:tcBorders>
              <w:top w:val="nil"/>
              <w:left w:val="nil"/>
              <w:bottom w:val="nil"/>
              <w:right w:val="nil"/>
            </w:tcBorders>
            <w:noWrap/>
            <w:vAlign w:val="center"/>
            <w:hideMark/>
          </w:tcPr>
          <w:p w14:paraId="3A118E0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0,46%</w:t>
            </w:r>
          </w:p>
        </w:tc>
        <w:tc>
          <w:tcPr>
            <w:tcW w:w="1299" w:type="dxa"/>
            <w:tcBorders>
              <w:top w:val="nil"/>
              <w:left w:val="nil"/>
              <w:bottom w:val="nil"/>
              <w:right w:val="nil"/>
            </w:tcBorders>
            <w:noWrap/>
            <w:vAlign w:val="center"/>
            <w:hideMark/>
          </w:tcPr>
          <w:p w14:paraId="4E83ADF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0,90%</w:t>
            </w:r>
          </w:p>
        </w:tc>
        <w:tc>
          <w:tcPr>
            <w:tcW w:w="1299" w:type="dxa"/>
            <w:tcBorders>
              <w:top w:val="nil"/>
              <w:left w:val="nil"/>
              <w:bottom w:val="nil"/>
              <w:right w:val="nil"/>
            </w:tcBorders>
            <w:noWrap/>
            <w:vAlign w:val="center"/>
            <w:hideMark/>
          </w:tcPr>
          <w:p w14:paraId="2CB4BDE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2,71%</w:t>
            </w:r>
          </w:p>
        </w:tc>
        <w:tc>
          <w:tcPr>
            <w:tcW w:w="1299" w:type="dxa"/>
            <w:tcBorders>
              <w:top w:val="nil"/>
              <w:left w:val="nil"/>
              <w:bottom w:val="nil"/>
              <w:right w:val="nil"/>
            </w:tcBorders>
            <w:noWrap/>
            <w:vAlign w:val="center"/>
            <w:hideMark/>
          </w:tcPr>
          <w:p w14:paraId="2CE55DF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4,13%</w:t>
            </w:r>
          </w:p>
        </w:tc>
        <w:tc>
          <w:tcPr>
            <w:tcW w:w="1299" w:type="dxa"/>
            <w:tcBorders>
              <w:top w:val="nil"/>
              <w:left w:val="nil"/>
              <w:bottom w:val="nil"/>
              <w:right w:val="nil"/>
            </w:tcBorders>
            <w:noWrap/>
            <w:vAlign w:val="center"/>
            <w:hideMark/>
          </w:tcPr>
          <w:p w14:paraId="7651D465"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4,83%</w:t>
            </w:r>
          </w:p>
        </w:tc>
        <w:tc>
          <w:tcPr>
            <w:tcW w:w="1299" w:type="dxa"/>
            <w:tcBorders>
              <w:top w:val="nil"/>
              <w:left w:val="nil"/>
              <w:bottom w:val="nil"/>
              <w:right w:val="nil"/>
            </w:tcBorders>
            <w:noWrap/>
            <w:vAlign w:val="center"/>
            <w:hideMark/>
          </w:tcPr>
          <w:p w14:paraId="3C4E0B7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5,49%</w:t>
            </w:r>
          </w:p>
        </w:tc>
        <w:tc>
          <w:tcPr>
            <w:tcW w:w="1299" w:type="dxa"/>
            <w:tcBorders>
              <w:top w:val="nil"/>
              <w:left w:val="nil"/>
              <w:bottom w:val="nil"/>
              <w:right w:val="nil"/>
            </w:tcBorders>
            <w:noWrap/>
            <w:vAlign w:val="center"/>
            <w:hideMark/>
          </w:tcPr>
          <w:p w14:paraId="191AE04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5,84%</w:t>
            </w:r>
          </w:p>
        </w:tc>
      </w:tr>
      <w:tr w:rsidR="00FA393D" w:rsidRPr="00FA393D" w14:paraId="4CE2CF56" w14:textId="77777777" w:rsidTr="00FA393D">
        <w:trPr>
          <w:trHeight w:val="302"/>
        </w:trPr>
        <w:tc>
          <w:tcPr>
            <w:tcW w:w="2367" w:type="dxa"/>
            <w:tcBorders>
              <w:top w:val="nil"/>
              <w:left w:val="nil"/>
              <w:bottom w:val="nil"/>
              <w:right w:val="nil"/>
            </w:tcBorders>
            <w:noWrap/>
            <w:vAlign w:val="center"/>
            <w:hideMark/>
          </w:tcPr>
          <w:p w14:paraId="1401A5C1"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Debt/Equity</w:t>
            </w:r>
          </w:p>
        </w:tc>
        <w:tc>
          <w:tcPr>
            <w:tcW w:w="1299" w:type="dxa"/>
            <w:tcBorders>
              <w:top w:val="nil"/>
              <w:left w:val="nil"/>
              <w:bottom w:val="nil"/>
              <w:right w:val="nil"/>
            </w:tcBorders>
            <w:noWrap/>
            <w:vAlign w:val="center"/>
            <w:hideMark/>
          </w:tcPr>
          <w:p w14:paraId="1E4099C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0,7x</w:t>
            </w:r>
          </w:p>
        </w:tc>
        <w:tc>
          <w:tcPr>
            <w:tcW w:w="1299" w:type="dxa"/>
            <w:tcBorders>
              <w:top w:val="nil"/>
              <w:left w:val="nil"/>
              <w:bottom w:val="nil"/>
              <w:right w:val="nil"/>
            </w:tcBorders>
            <w:noWrap/>
            <w:vAlign w:val="center"/>
            <w:hideMark/>
          </w:tcPr>
          <w:p w14:paraId="2F59529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0,5x</w:t>
            </w:r>
          </w:p>
        </w:tc>
        <w:tc>
          <w:tcPr>
            <w:tcW w:w="1299" w:type="dxa"/>
            <w:tcBorders>
              <w:top w:val="nil"/>
              <w:left w:val="nil"/>
              <w:bottom w:val="nil"/>
              <w:right w:val="nil"/>
            </w:tcBorders>
            <w:noWrap/>
            <w:vAlign w:val="center"/>
            <w:hideMark/>
          </w:tcPr>
          <w:p w14:paraId="10C36EF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0,4x</w:t>
            </w:r>
          </w:p>
        </w:tc>
        <w:tc>
          <w:tcPr>
            <w:tcW w:w="1299" w:type="dxa"/>
            <w:tcBorders>
              <w:top w:val="nil"/>
              <w:left w:val="nil"/>
              <w:bottom w:val="nil"/>
              <w:right w:val="nil"/>
            </w:tcBorders>
            <w:noWrap/>
            <w:vAlign w:val="center"/>
            <w:hideMark/>
          </w:tcPr>
          <w:p w14:paraId="34858F7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0,3x</w:t>
            </w:r>
          </w:p>
        </w:tc>
        <w:tc>
          <w:tcPr>
            <w:tcW w:w="1299" w:type="dxa"/>
            <w:tcBorders>
              <w:top w:val="nil"/>
              <w:left w:val="nil"/>
              <w:bottom w:val="nil"/>
              <w:right w:val="nil"/>
            </w:tcBorders>
            <w:noWrap/>
            <w:vAlign w:val="center"/>
            <w:hideMark/>
          </w:tcPr>
          <w:p w14:paraId="02DE955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0,3x</w:t>
            </w:r>
          </w:p>
        </w:tc>
        <w:tc>
          <w:tcPr>
            <w:tcW w:w="1299" w:type="dxa"/>
            <w:tcBorders>
              <w:top w:val="nil"/>
              <w:left w:val="nil"/>
              <w:bottom w:val="nil"/>
              <w:right w:val="nil"/>
            </w:tcBorders>
            <w:noWrap/>
            <w:vAlign w:val="center"/>
            <w:hideMark/>
          </w:tcPr>
          <w:p w14:paraId="3014DA4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0,1x</w:t>
            </w:r>
          </w:p>
        </w:tc>
        <w:tc>
          <w:tcPr>
            <w:tcW w:w="1299" w:type="dxa"/>
            <w:tcBorders>
              <w:top w:val="nil"/>
              <w:left w:val="nil"/>
              <w:bottom w:val="nil"/>
              <w:right w:val="nil"/>
            </w:tcBorders>
            <w:noWrap/>
            <w:vAlign w:val="center"/>
            <w:hideMark/>
          </w:tcPr>
          <w:p w14:paraId="2B0729F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0,1x</w:t>
            </w:r>
          </w:p>
        </w:tc>
      </w:tr>
      <w:tr w:rsidR="00FA393D" w:rsidRPr="00FA393D" w14:paraId="00691344" w14:textId="77777777" w:rsidTr="00FA393D">
        <w:trPr>
          <w:trHeight w:val="302"/>
        </w:trPr>
        <w:tc>
          <w:tcPr>
            <w:tcW w:w="2367" w:type="dxa"/>
            <w:tcBorders>
              <w:top w:val="nil"/>
              <w:left w:val="nil"/>
              <w:bottom w:val="nil"/>
              <w:right w:val="nil"/>
            </w:tcBorders>
            <w:noWrap/>
            <w:vAlign w:val="center"/>
            <w:hideMark/>
          </w:tcPr>
          <w:p w14:paraId="3438FCD2"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Debt/EBITDA</w:t>
            </w:r>
          </w:p>
        </w:tc>
        <w:tc>
          <w:tcPr>
            <w:tcW w:w="1299" w:type="dxa"/>
            <w:tcBorders>
              <w:top w:val="nil"/>
              <w:left w:val="nil"/>
              <w:bottom w:val="nil"/>
              <w:right w:val="nil"/>
            </w:tcBorders>
            <w:noWrap/>
            <w:vAlign w:val="center"/>
            <w:hideMark/>
          </w:tcPr>
          <w:p w14:paraId="0947D15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1,5x</w:t>
            </w:r>
          </w:p>
        </w:tc>
        <w:tc>
          <w:tcPr>
            <w:tcW w:w="1299" w:type="dxa"/>
            <w:tcBorders>
              <w:top w:val="nil"/>
              <w:left w:val="nil"/>
              <w:bottom w:val="nil"/>
              <w:right w:val="nil"/>
            </w:tcBorders>
            <w:noWrap/>
            <w:vAlign w:val="center"/>
            <w:hideMark/>
          </w:tcPr>
          <w:p w14:paraId="2335DFC7"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2,8x</w:t>
            </w:r>
          </w:p>
        </w:tc>
        <w:tc>
          <w:tcPr>
            <w:tcW w:w="1299" w:type="dxa"/>
            <w:tcBorders>
              <w:top w:val="nil"/>
              <w:left w:val="nil"/>
              <w:bottom w:val="nil"/>
              <w:right w:val="nil"/>
            </w:tcBorders>
            <w:noWrap/>
            <w:vAlign w:val="center"/>
            <w:hideMark/>
          </w:tcPr>
          <w:p w14:paraId="64D6967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1,9x</w:t>
            </w:r>
          </w:p>
        </w:tc>
        <w:tc>
          <w:tcPr>
            <w:tcW w:w="1299" w:type="dxa"/>
            <w:tcBorders>
              <w:top w:val="nil"/>
              <w:left w:val="nil"/>
              <w:bottom w:val="nil"/>
              <w:right w:val="nil"/>
            </w:tcBorders>
            <w:noWrap/>
            <w:vAlign w:val="center"/>
            <w:hideMark/>
          </w:tcPr>
          <w:p w14:paraId="1757C793"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1,5x</w:t>
            </w:r>
          </w:p>
        </w:tc>
        <w:tc>
          <w:tcPr>
            <w:tcW w:w="1299" w:type="dxa"/>
            <w:tcBorders>
              <w:top w:val="nil"/>
              <w:left w:val="nil"/>
              <w:bottom w:val="nil"/>
              <w:right w:val="nil"/>
            </w:tcBorders>
            <w:noWrap/>
            <w:vAlign w:val="center"/>
            <w:hideMark/>
          </w:tcPr>
          <w:p w14:paraId="1D90128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1,2x</w:t>
            </w:r>
          </w:p>
        </w:tc>
        <w:tc>
          <w:tcPr>
            <w:tcW w:w="1299" w:type="dxa"/>
            <w:tcBorders>
              <w:top w:val="nil"/>
              <w:left w:val="nil"/>
              <w:bottom w:val="nil"/>
              <w:right w:val="nil"/>
            </w:tcBorders>
            <w:noWrap/>
            <w:vAlign w:val="center"/>
            <w:hideMark/>
          </w:tcPr>
          <w:p w14:paraId="3B24248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0,4x</w:t>
            </w:r>
          </w:p>
        </w:tc>
        <w:tc>
          <w:tcPr>
            <w:tcW w:w="1299" w:type="dxa"/>
            <w:tcBorders>
              <w:top w:val="nil"/>
              <w:left w:val="nil"/>
              <w:bottom w:val="nil"/>
              <w:right w:val="nil"/>
            </w:tcBorders>
            <w:noWrap/>
            <w:vAlign w:val="center"/>
            <w:hideMark/>
          </w:tcPr>
          <w:p w14:paraId="749B2F0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0,4x</w:t>
            </w:r>
          </w:p>
        </w:tc>
      </w:tr>
    </w:tbl>
    <w:p w14:paraId="174EBFF6" w14:textId="0A6454DC" w:rsidR="00024707" w:rsidRDefault="00024707" w:rsidP="00581196">
      <w:pPr>
        <w:ind w:left="-851"/>
        <w:jc w:val="both"/>
        <w:rPr>
          <w:lang w:val="en-US"/>
        </w:rPr>
      </w:pPr>
    </w:p>
    <w:p w14:paraId="7B777792" w14:textId="399F7624" w:rsidR="00D41995" w:rsidRPr="0036520A" w:rsidRDefault="00D41995" w:rsidP="00D41995">
      <w:pPr>
        <w:pStyle w:val="ListParagraph"/>
        <w:ind w:left="-709"/>
        <w:jc w:val="both"/>
        <w:rPr>
          <w:rFonts w:ascii="Arial" w:hAnsi="Arial" w:cs="Arial"/>
          <w:sz w:val="20"/>
          <w:szCs w:val="20"/>
          <w:lang w:val="en-US"/>
        </w:rPr>
      </w:pPr>
      <w:r w:rsidRPr="0036520A">
        <w:rPr>
          <w:rFonts w:ascii="Arial" w:hAnsi="Arial" w:cs="Arial"/>
          <w:sz w:val="20"/>
          <w:szCs w:val="20"/>
          <w:lang w:val="en-US"/>
        </w:rPr>
        <w:t>We expect the company to deliver steady top-line growth, with revenue forecast to increase from $5</w:t>
      </w:r>
      <w:r w:rsidR="006641E0">
        <w:rPr>
          <w:rFonts w:ascii="Arial" w:hAnsi="Arial" w:cs="Arial"/>
          <w:sz w:val="20"/>
          <w:szCs w:val="20"/>
          <w:lang w:val="en-US"/>
        </w:rPr>
        <w:t>,</w:t>
      </w:r>
      <w:r w:rsidRPr="0036520A">
        <w:rPr>
          <w:rFonts w:ascii="Arial" w:hAnsi="Arial" w:cs="Arial"/>
          <w:sz w:val="20"/>
          <w:szCs w:val="20"/>
          <w:lang w:val="en-US"/>
        </w:rPr>
        <w:t>8 billion in 2024 to $7</w:t>
      </w:r>
      <w:r w:rsidR="006641E0">
        <w:rPr>
          <w:rFonts w:ascii="Arial" w:hAnsi="Arial" w:cs="Arial"/>
          <w:sz w:val="20"/>
          <w:szCs w:val="20"/>
          <w:lang w:val="en-US"/>
        </w:rPr>
        <w:t>,</w:t>
      </w:r>
      <w:r w:rsidRPr="0036520A">
        <w:rPr>
          <w:rFonts w:ascii="Arial" w:hAnsi="Arial" w:cs="Arial"/>
          <w:sz w:val="20"/>
          <w:szCs w:val="20"/>
          <w:lang w:val="en-US"/>
        </w:rPr>
        <w:t>5 billion by 2030, supported by structural industry tailwinds and continued market share gains. Net income is projected to expand more rapidly than revenues, rising from $22</w:t>
      </w:r>
      <w:r w:rsidR="006641E0">
        <w:rPr>
          <w:rFonts w:ascii="Arial" w:hAnsi="Arial" w:cs="Arial"/>
          <w:sz w:val="20"/>
          <w:szCs w:val="20"/>
          <w:lang w:val="en-US"/>
        </w:rPr>
        <w:t>,</w:t>
      </w:r>
      <w:r w:rsidRPr="0036520A">
        <w:rPr>
          <w:rFonts w:ascii="Arial" w:hAnsi="Arial" w:cs="Arial"/>
          <w:sz w:val="20"/>
          <w:szCs w:val="20"/>
          <w:lang w:val="en-US"/>
        </w:rPr>
        <w:t>8 million in 2024 to over $251 million by 2030, driven by operating leverage and disciplined cost management. Adjusted EBITDA is anticipated to grow strongly, reaching</w:t>
      </w:r>
      <w:r w:rsidR="00714DBD" w:rsidRPr="0036520A">
        <w:rPr>
          <w:rFonts w:ascii="Arial" w:hAnsi="Arial" w:cs="Arial"/>
          <w:sz w:val="20"/>
          <w:szCs w:val="20"/>
          <w:lang w:val="en-US"/>
        </w:rPr>
        <w:t xml:space="preserve"> </w:t>
      </w:r>
      <w:r w:rsidRPr="0036520A">
        <w:rPr>
          <w:rFonts w:ascii="Arial" w:hAnsi="Arial" w:cs="Arial"/>
          <w:sz w:val="20"/>
          <w:szCs w:val="20"/>
          <w:lang w:val="en-US"/>
        </w:rPr>
        <w:t>$310 million in 2030, which may reflect conservative assumptions or cyclical headwinds.</w:t>
      </w:r>
    </w:p>
    <w:p w14:paraId="31330610" w14:textId="77777777" w:rsidR="00D41995" w:rsidRPr="00EB7722" w:rsidRDefault="00D41995" w:rsidP="00D41995">
      <w:pPr>
        <w:pStyle w:val="ListParagraph"/>
        <w:ind w:left="-709"/>
        <w:jc w:val="both"/>
        <w:rPr>
          <w:rFonts w:ascii="Arial" w:hAnsi="Arial" w:cs="Arial"/>
          <w:sz w:val="20"/>
          <w:szCs w:val="20"/>
          <w:highlight w:val="yellow"/>
          <w:lang w:val="en-US"/>
        </w:rPr>
      </w:pPr>
    </w:p>
    <w:p w14:paraId="0D7C6E8E" w14:textId="3F5FEE41" w:rsidR="00D41995" w:rsidRPr="0065343F" w:rsidRDefault="00D41995" w:rsidP="00D41995">
      <w:pPr>
        <w:pStyle w:val="ListParagraph"/>
        <w:ind w:left="-709"/>
        <w:jc w:val="both"/>
        <w:rPr>
          <w:rFonts w:ascii="Arial" w:hAnsi="Arial" w:cs="Arial"/>
          <w:sz w:val="20"/>
          <w:szCs w:val="20"/>
          <w:lang w:val="en-US"/>
        </w:rPr>
      </w:pPr>
      <w:r w:rsidRPr="0065343F">
        <w:rPr>
          <w:rFonts w:ascii="Arial" w:hAnsi="Arial" w:cs="Arial"/>
          <w:sz w:val="20"/>
          <w:szCs w:val="20"/>
          <w:lang w:val="en-US"/>
        </w:rPr>
        <w:t>Free cash flow generation is expected to remain robust throughout the forecast horizon, increasing from $7</w:t>
      </w:r>
      <w:r w:rsidR="00835C75" w:rsidRPr="0065343F">
        <w:rPr>
          <w:rFonts w:ascii="Arial" w:hAnsi="Arial" w:cs="Arial"/>
          <w:sz w:val="20"/>
          <w:szCs w:val="20"/>
          <w:lang w:val="en-US"/>
        </w:rPr>
        <w:t>66</w:t>
      </w:r>
      <w:r w:rsidRPr="0065343F">
        <w:rPr>
          <w:rFonts w:ascii="Arial" w:hAnsi="Arial" w:cs="Arial"/>
          <w:sz w:val="20"/>
          <w:szCs w:val="20"/>
          <w:lang w:val="en-US"/>
        </w:rPr>
        <w:t xml:space="preserve"> million in 2024 to over $1.</w:t>
      </w:r>
      <w:r w:rsidR="00835C75" w:rsidRPr="0065343F">
        <w:rPr>
          <w:rFonts w:ascii="Arial" w:hAnsi="Arial" w:cs="Arial"/>
          <w:sz w:val="20"/>
          <w:szCs w:val="20"/>
          <w:lang w:val="en-US"/>
        </w:rPr>
        <w:t>6</w:t>
      </w:r>
      <w:r w:rsidRPr="0065343F">
        <w:rPr>
          <w:rFonts w:ascii="Arial" w:hAnsi="Arial" w:cs="Arial"/>
          <w:sz w:val="20"/>
          <w:szCs w:val="20"/>
          <w:lang w:val="en-US"/>
        </w:rPr>
        <w:t xml:space="preserve"> billion by 2030. This positions the company to reinvest in growth while also strengthening balance sheet flexibility. We anticipate capital efficiency to improve, with Return on Equity (ROE) increasing from </w:t>
      </w:r>
      <w:r w:rsidR="0096041A" w:rsidRPr="0065343F">
        <w:rPr>
          <w:rFonts w:ascii="Arial" w:hAnsi="Arial" w:cs="Arial"/>
          <w:sz w:val="20"/>
          <w:szCs w:val="20"/>
          <w:lang w:val="en-US"/>
        </w:rPr>
        <w:t>3</w:t>
      </w:r>
      <w:r w:rsidR="00401A6D">
        <w:rPr>
          <w:rFonts w:ascii="Arial" w:hAnsi="Arial" w:cs="Arial"/>
          <w:sz w:val="20"/>
          <w:szCs w:val="20"/>
          <w:lang w:val="en-US"/>
        </w:rPr>
        <w:t>,</w:t>
      </w:r>
      <w:r w:rsidR="0096041A" w:rsidRPr="0065343F">
        <w:rPr>
          <w:rFonts w:ascii="Arial" w:hAnsi="Arial" w:cs="Arial"/>
          <w:sz w:val="20"/>
          <w:szCs w:val="20"/>
          <w:lang w:val="en-US"/>
        </w:rPr>
        <w:t>48</w:t>
      </w:r>
      <w:r w:rsidRPr="0065343F">
        <w:rPr>
          <w:rFonts w:ascii="Arial" w:hAnsi="Arial" w:cs="Arial"/>
          <w:sz w:val="20"/>
          <w:szCs w:val="20"/>
          <w:lang w:val="en-US"/>
        </w:rPr>
        <w:t xml:space="preserve">% in 2024 to </w:t>
      </w:r>
      <w:r w:rsidR="0096041A" w:rsidRPr="0065343F">
        <w:rPr>
          <w:rFonts w:ascii="Arial" w:hAnsi="Arial" w:cs="Arial"/>
          <w:sz w:val="20"/>
          <w:szCs w:val="20"/>
          <w:lang w:val="en-US"/>
        </w:rPr>
        <w:t>24.45</w:t>
      </w:r>
      <w:r w:rsidRPr="0065343F">
        <w:rPr>
          <w:rFonts w:ascii="Arial" w:hAnsi="Arial" w:cs="Arial"/>
          <w:sz w:val="20"/>
          <w:szCs w:val="20"/>
          <w:lang w:val="en-US"/>
        </w:rPr>
        <w:t>% by 2030 and Return on Assets (ROA) rising from 0</w:t>
      </w:r>
      <w:r w:rsidR="00401A6D">
        <w:rPr>
          <w:rFonts w:ascii="Arial" w:hAnsi="Arial" w:cs="Arial"/>
          <w:sz w:val="20"/>
          <w:szCs w:val="20"/>
          <w:lang w:val="en-US"/>
        </w:rPr>
        <w:t>,</w:t>
      </w:r>
      <w:r w:rsidRPr="0065343F">
        <w:rPr>
          <w:rFonts w:ascii="Arial" w:hAnsi="Arial" w:cs="Arial"/>
          <w:sz w:val="20"/>
          <w:szCs w:val="20"/>
          <w:lang w:val="en-US"/>
        </w:rPr>
        <w:t>4</w:t>
      </w:r>
      <w:r w:rsidR="0096041A" w:rsidRPr="0065343F">
        <w:rPr>
          <w:rFonts w:ascii="Arial" w:hAnsi="Arial" w:cs="Arial"/>
          <w:sz w:val="20"/>
          <w:szCs w:val="20"/>
          <w:lang w:val="en-US"/>
        </w:rPr>
        <w:t>6</w:t>
      </w:r>
      <w:r w:rsidRPr="0065343F">
        <w:rPr>
          <w:rFonts w:ascii="Arial" w:hAnsi="Arial" w:cs="Arial"/>
          <w:sz w:val="20"/>
          <w:szCs w:val="20"/>
          <w:lang w:val="en-US"/>
        </w:rPr>
        <w:t xml:space="preserve">% to around </w:t>
      </w:r>
      <w:r w:rsidR="0096041A" w:rsidRPr="0065343F">
        <w:rPr>
          <w:rFonts w:ascii="Arial" w:hAnsi="Arial" w:cs="Arial"/>
          <w:sz w:val="20"/>
          <w:szCs w:val="20"/>
          <w:lang w:val="en-US"/>
        </w:rPr>
        <w:t>5</w:t>
      </w:r>
      <w:r w:rsidR="00401A6D">
        <w:rPr>
          <w:rFonts w:ascii="Arial" w:hAnsi="Arial" w:cs="Arial"/>
          <w:sz w:val="20"/>
          <w:szCs w:val="20"/>
          <w:lang w:val="en-US"/>
        </w:rPr>
        <w:t>,</w:t>
      </w:r>
      <w:r w:rsidR="0096041A" w:rsidRPr="0065343F">
        <w:rPr>
          <w:rFonts w:ascii="Arial" w:hAnsi="Arial" w:cs="Arial"/>
          <w:sz w:val="20"/>
          <w:szCs w:val="20"/>
          <w:lang w:val="en-US"/>
        </w:rPr>
        <w:t>84</w:t>
      </w:r>
      <w:r w:rsidRPr="0065343F">
        <w:rPr>
          <w:rFonts w:ascii="Arial" w:hAnsi="Arial" w:cs="Arial"/>
          <w:sz w:val="20"/>
          <w:szCs w:val="20"/>
          <w:lang w:val="en-US"/>
        </w:rPr>
        <w:t>% over the same period.</w:t>
      </w:r>
    </w:p>
    <w:p w14:paraId="79A9EFC9" w14:textId="77777777" w:rsidR="00D41995" w:rsidRPr="00EB7722" w:rsidRDefault="00D41995" w:rsidP="00D41995">
      <w:pPr>
        <w:pStyle w:val="ListParagraph"/>
        <w:ind w:left="-709"/>
        <w:jc w:val="both"/>
        <w:rPr>
          <w:rFonts w:ascii="Arial" w:hAnsi="Arial" w:cs="Arial"/>
          <w:sz w:val="20"/>
          <w:szCs w:val="20"/>
          <w:highlight w:val="yellow"/>
          <w:lang w:val="en-US"/>
        </w:rPr>
      </w:pPr>
    </w:p>
    <w:p w14:paraId="0760E6B0" w14:textId="57F4ABEA" w:rsidR="00D41995" w:rsidRPr="000A2864" w:rsidRDefault="00D41995" w:rsidP="00D41995">
      <w:pPr>
        <w:pStyle w:val="ListParagraph"/>
        <w:ind w:left="-709"/>
        <w:jc w:val="both"/>
        <w:rPr>
          <w:rFonts w:ascii="Arial" w:hAnsi="Arial" w:cs="Arial"/>
          <w:sz w:val="20"/>
          <w:szCs w:val="20"/>
          <w:lang w:val="en-US"/>
        </w:rPr>
      </w:pPr>
      <w:r w:rsidRPr="000A2864">
        <w:rPr>
          <w:rFonts w:ascii="Arial" w:hAnsi="Arial" w:cs="Arial"/>
          <w:sz w:val="20"/>
          <w:szCs w:val="20"/>
          <w:lang w:val="en-US"/>
        </w:rPr>
        <w:t>We also expect leverage metrics to improve materially, with Debt-to-Equity declining from 0</w:t>
      </w:r>
      <w:r w:rsidR="00401A6D">
        <w:rPr>
          <w:rFonts w:ascii="Arial" w:hAnsi="Arial" w:cs="Arial"/>
          <w:sz w:val="20"/>
          <w:szCs w:val="20"/>
          <w:lang w:val="en-US"/>
        </w:rPr>
        <w:t>,</w:t>
      </w:r>
      <w:r w:rsidRPr="000A2864">
        <w:rPr>
          <w:rFonts w:ascii="Arial" w:hAnsi="Arial" w:cs="Arial"/>
          <w:sz w:val="20"/>
          <w:szCs w:val="20"/>
          <w:lang w:val="en-US"/>
        </w:rPr>
        <w:t>7x in 2024 to just 0</w:t>
      </w:r>
      <w:r w:rsidR="00401A6D">
        <w:rPr>
          <w:rFonts w:ascii="Arial" w:hAnsi="Arial" w:cs="Arial"/>
          <w:sz w:val="20"/>
          <w:szCs w:val="20"/>
          <w:lang w:val="en-US"/>
        </w:rPr>
        <w:t>,</w:t>
      </w:r>
      <w:r w:rsidRPr="000A2864">
        <w:rPr>
          <w:rFonts w:ascii="Arial" w:hAnsi="Arial" w:cs="Arial"/>
          <w:sz w:val="20"/>
          <w:szCs w:val="20"/>
          <w:lang w:val="en-US"/>
        </w:rPr>
        <w:t>1x by 2030, and Debt-to-EBITDA falling from 1</w:t>
      </w:r>
      <w:r w:rsidR="00401A6D">
        <w:rPr>
          <w:rFonts w:ascii="Arial" w:hAnsi="Arial" w:cs="Arial"/>
          <w:sz w:val="20"/>
          <w:szCs w:val="20"/>
          <w:lang w:val="en-US"/>
        </w:rPr>
        <w:t>,</w:t>
      </w:r>
      <w:r w:rsidRPr="000A2864">
        <w:rPr>
          <w:rFonts w:ascii="Arial" w:hAnsi="Arial" w:cs="Arial"/>
          <w:sz w:val="20"/>
          <w:szCs w:val="20"/>
          <w:lang w:val="en-US"/>
        </w:rPr>
        <w:t xml:space="preserve">5x in 2024 to below </w:t>
      </w:r>
      <w:r w:rsidR="0065343F" w:rsidRPr="000A2864">
        <w:rPr>
          <w:rFonts w:ascii="Arial" w:hAnsi="Arial" w:cs="Arial"/>
          <w:sz w:val="20"/>
          <w:szCs w:val="20"/>
          <w:lang w:val="en-US"/>
        </w:rPr>
        <w:t>0</w:t>
      </w:r>
      <w:r w:rsidR="00401A6D">
        <w:rPr>
          <w:rFonts w:ascii="Arial" w:hAnsi="Arial" w:cs="Arial"/>
          <w:sz w:val="20"/>
          <w:szCs w:val="20"/>
          <w:lang w:val="en-US"/>
        </w:rPr>
        <w:t>,</w:t>
      </w:r>
      <w:r w:rsidR="0065343F" w:rsidRPr="000A2864">
        <w:rPr>
          <w:rFonts w:ascii="Arial" w:hAnsi="Arial" w:cs="Arial"/>
          <w:sz w:val="20"/>
          <w:szCs w:val="20"/>
          <w:lang w:val="en-US"/>
        </w:rPr>
        <w:t>4</w:t>
      </w:r>
      <w:r w:rsidRPr="000A2864">
        <w:rPr>
          <w:rFonts w:ascii="Arial" w:hAnsi="Arial" w:cs="Arial"/>
          <w:sz w:val="20"/>
          <w:szCs w:val="20"/>
          <w:lang w:val="en-US"/>
        </w:rPr>
        <w:t>x by 20</w:t>
      </w:r>
      <w:r w:rsidR="0065343F" w:rsidRPr="000A2864">
        <w:rPr>
          <w:rFonts w:ascii="Arial" w:hAnsi="Arial" w:cs="Arial"/>
          <w:sz w:val="20"/>
          <w:szCs w:val="20"/>
          <w:lang w:val="en-US"/>
        </w:rPr>
        <w:t>30</w:t>
      </w:r>
      <w:r w:rsidRPr="000A2864">
        <w:rPr>
          <w:rFonts w:ascii="Arial" w:hAnsi="Arial" w:cs="Arial"/>
          <w:sz w:val="20"/>
          <w:szCs w:val="20"/>
          <w:lang w:val="en-US"/>
        </w:rPr>
        <w:t>. These trends indicate a strengthened credit profile, reduced balance sheet risk, and enhanced financial resilience.</w:t>
      </w:r>
    </w:p>
    <w:p w14:paraId="2B7E9A5F" w14:textId="77777777" w:rsidR="00D41995" w:rsidRPr="000A2864" w:rsidRDefault="00D41995" w:rsidP="00D41995">
      <w:pPr>
        <w:pStyle w:val="ListParagraph"/>
        <w:ind w:left="-709"/>
        <w:jc w:val="both"/>
        <w:rPr>
          <w:rFonts w:ascii="Arial" w:hAnsi="Arial" w:cs="Arial"/>
          <w:sz w:val="20"/>
          <w:szCs w:val="20"/>
          <w:lang w:val="en-US"/>
        </w:rPr>
      </w:pPr>
    </w:p>
    <w:p w14:paraId="3BE8ADEB" w14:textId="32F4FD56" w:rsidR="00904D1C" w:rsidRPr="00F75419" w:rsidRDefault="00D41995" w:rsidP="00D41995">
      <w:pPr>
        <w:pStyle w:val="ListParagraph"/>
        <w:ind w:left="-709"/>
        <w:jc w:val="both"/>
        <w:rPr>
          <w:rFonts w:ascii="Arial" w:hAnsi="Arial" w:cs="Arial"/>
          <w:sz w:val="20"/>
          <w:szCs w:val="20"/>
          <w:lang w:val="en-US"/>
        </w:rPr>
      </w:pPr>
      <w:r w:rsidRPr="000A2864">
        <w:rPr>
          <w:rFonts w:ascii="Arial" w:hAnsi="Arial" w:cs="Arial"/>
          <w:sz w:val="20"/>
          <w:szCs w:val="20"/>
          <w:lang w:val="en-US"/>
        </w:rPr>
        <w:t>Overall, we forecast that the company will transition from modest profitability and higher leverage to stronger earnings power, improved returns, and a significantly de-risked balance sheet, supporting sustainable long-term value creation for shareholders.</w:t>
      </w:r>
    </w:p>
    <w:p w14:paraId="5B5BE57C" w14:textId="77777777" w:rsidR="00021EEE" w:rsidRDefault="00021EEE" w:rsidP="00634C39">
      <w:pPr>
        <w:jc w:val="both"/>
        <w:rPr>
          <w:rFonts w:ascii="Arial" w:hAnsi="Arial" w:cs="Arial"/>
          <w:sz w:val="20"/>
          <w:szCs w:val="20"/>
          <w:lang w:val="en-US"/>
        </w:rPr>
      </w:pPr>
    </w:p>
    <w:p w14:paraId="104128CA" w14:textId="77777777" w:rsidR="00D41995" w:rsidRDefault="00D41995" w:rsidP="00634C39">
      <w:pPr>
        <w:jc w:val="both"/>
        <w:rPr>
          <w:rFonts w:ascii="Arial" w:hAnsi="Arial" w:cs="Arial"/>
          <w:sz w:val="20"/>
          <w:szCs w:val="20"/>
          <w:lang w:val="en-US"/>
        </w:rPr>
      </w:pPr>
    </w:p>
    <w:p w14:paraId="11279FA4" w14:textId="77777777" w:rsidR="00D41995" w:rsidRDefault="00D41995" w:rsidP="00634C39">
      <w:pPr>
        <w:jc w:val="both"/>
        <w:rPr>
          <w:rFonts w:ascii="Arial" w:hAnsi="Arial" w:cs="Arial"/>
          <w:sz w:val="20"/>
          <w:szCs w:val="20"/>
          <w:lang w:val="en-US"/>
        </w:rPr>
      </w:pPr>
    </w:p>
    <w:p w14:paraId="551E60B4" w14:textId="77777777" w:rsidR="00D41995" w:rsidRDefault="00D41995" w:rsidP="00634C39">
      <w:pPr>
        <w:jc w:val="both"/>
        <w:rPr>
          <w:rFonts w:ascii="Arial" w:hAnsi="Arial" w:cs="Arial"/>
          <w:sz w:val="20"/>
          <w:szCs w:val="20"/>
          <w:lang w:val="en-US"/>
        </w:rPr>
      </w:pPr>
    </w:p>
    <w:p w14:paraId="3FF651BF" w14:textId="77777777" w:rsidR="00D41995" w:rsidRDefault="00D41995" w:rsidP="00634C39">
      <w:pPr>
        <w:jc w:val="both"/>
        <w:rPr>
          <w:rFonts w:ascii="Arial" w:hAnsi="Arial" w:cs="Arial"/>
          <w:sz w:val="20"/>
          <w:szCs w:val="20"/>
          <w:lang w:val="en-US"/>
        </w:rPr>
      </w:pPr>
    </w:p>
    <w:p w14:paraId="58C9C634" w14:textId="77777777" w:rsidR="00D41995" w:rsidRDefault="00D41995" w:rsidP="00634C39">
      <w:pPr>
        <w:jc w:val="both"/>
        <w:rPr>
          <w:rFonts w:ascii="Arial" w:hAnsi="Arial" w:cs="Arial"/>
          <w:sz w:val="20"/>
          <w:szCs w:val="20"/>
          <w:lang w:val="en-US"/>
        </w:rPr>
      </w:pPr>
    </w:p>
    <w:p w14:paraId="00BE7C5F" w14:textId="77777777" w:rsidR="00D41995" w:rsidRDefault="00D41995" w:rsidP="00634C39">
      <w:pPr>
        <w:jc w:val="both"/>
        <w:rPr>
          <w:rFonts w:ascii="Arial" w:hAnsi="Arial" w:cs="Arial"/>
          <w:sz w:val="20"/>
          <w:szCs w:val="20"/>
          <w:lang w:val="en-US"/>
        </w:rPr>
      </w:pPr>
    </w:p>
    <w:p w14:paraId="55190BE2" w14:textId="77777777" w:rsidR="00D41995" w:rsidRDefault="00D41995" w:rsidP="00634C39">
      <w:pPr>
        <w:jc w:val="both"/>
        <w:rPr>
          <w:rFonts w:ascii="Arial" w:hAnsi="Arial" w:cs="Arial"/>
          <w:sz w:val="20"/>
          <w:szCs w:val="20"/>
          <w:lang w:val="en-US"/>
        </w:rPr>
      </w:pPr>
    </w:p>
    <w:p w14:paraId="51F14D8F" w14:textId="77777777" w:rsidR="00D41995" w:rsidRDefault="00D41995" w:rsidP="00634C39">
      <w:pPr>
        <w:jc w:val="both"/>
        <w:rPr>
          <w:rFonts w:ascii="Arial" w:hAnsi="Arial" w:cs="Arial"/>
          <w:sz w:val="20"/>
          <w:szCs w:val="20"/>
          <w:lang w:val="en-US"/>
        </w:rPr>
      </w:pPr>
    </w:p>
    <w:p w14:paraId="12BE1E13" w14:textId="77777777" w:rsidR="003C35C4" w:rsidRDefault="003C35C4" w:rsidP="00634C39">
      <w:pPr>
        <w:jc w:val="both"/>
        <w:rPr>
          <w:rFonts w:ascii="Arial" w:hAnsi="Arial" w:cs="Arial"/>
          <w:sz w:val="20"/>
          <w:szCs w:val="20"/>
          <w:lang w:val="en-US"/>
        </w:rPr>
      </w:pPr>
    </w:p>
    <w:p w14:paraId="35CF0F93" w14:textId="77777777" w:rsidR="003C35C4" w:rsidRDefault="003C35C4" w:rsidP="00634C39">
      <w:pPr>
        <w:jc w:val="both"/>
        <w:rPr>
          <w:rFonts w:ascii="Arial" w:hAnsi="Arial" w:cs="Arial"/>
          <w:sz w:val="20"/>
          <w:szCs w:val="20"/>
          <w:lang w:val="en-US"/>
        </w:rPr>
      </w:pPr>
    </w:p>
    <w:p w14:paraId="0EAC4A94" w14:textId="77777777" w:rsidR="003C35C4" w:rsidRDefault="003C35C4" w:rsidP="00634C39">
      <w:pPr>
        <w:jc w:val="both"/>
        <w:rPr>
          <w:rFonts w:ascii="Arial" w:hAnsi="Arial" w:cs="Arial"/>
          <w:sz w:val="20"/>
          <w:szCs w:val="20"/>
          <w:lang w:val="en-US"/>
        </w:rPr>
      </w:pPr>
    </w:p>
    <w:p w14:paraId="0C59A9E4" w14:textId="6F7FA8A6" w:rsidR="00021EEE" w:rsidRPr="0038647B" w:rsidRDefault="00F75419" w:rsidP="00581196">
      <w:pPr>
        <w:pStyle w:val="Title"/>
        <w:ind w:left="-851"/>
        <w:jc w:val="both"/>
        <w:rPr>
          <w:rFonts w:eastAsia="Calibri"/>
          <w:b/>
          <w:bCs/>
          <w:sz w:val="50"/>
          <w:szCs w:val="50"/>
          <w:u w:val="single"/>
          <w:lang w:val="en-US"/>
        </w:rPr>
      </w:pPr>
      <w:bookmarkStart w:id="0" w:name="_Hlk199157492"/>
      <w:r w:rsidRPr="0038647B">
        <w:rPr>
          <w:rFonts w:eastAsia="Calibri"/>
          <w:b/>
          <w:bCs/>
          <w:sz w:val="50"/>
          <w:szCs w:val="50"/>
          <w:u w:val="single"/>
          <w:lang w:val="en-US"/>
        </w:rPr>
        <w:lastRenderedPageBreak/>
        <w:t>Valuations</w:t>
      </w:r>
    </w:p>
    <w:bookmarkEnd w:id="0"/>
    <w:p w14:paraId="459C8F4C" w14:textId="2EE61DB9" w:rsidR="00F75419" w:rsidRDefault="003B5277" w:rsidP="0042010D">
      <w:pPr>
        <w:ind w:left="-993"/>
        <w:jc w:val="both"/>
        <w:rPr>
          <w:rFonts w:ascii="Arial" w:hAnsi="Arial" w:cs="Arial"/>
          <w:b/>
          <w:bCs/>
          <w:u w:val="single"/>
        </w:rPr>
      </w:pPr>
      <w:r w:rsidRPr="003946D2">
        <w:rPr>
          <w:rFonts w:ascii="Arial" w:hAnsi="Arial" w:cs="Arial"/>
          <w:b/>
          <w:bCs/>
          <w:u w:val="single"/>
        </w:rPr>
        <w:t>Di</w:t>
      </w:r>
      <w:r w:rsidR="00D239B0">
        <w:rPr>
          <w:rFonts w:ascii="Arial" w:hAnsi="Arial" w:cs="Arial"/>
          <w:b/>
          <w:bCs/>
          <w:u w:val="single"/>
        </w:rPr>
        <w:t>scounted Cashflows</w:t>
      </w:r>
    </w:p>
    <w:p w14:paraId="5368590A" w14:textId="71DA8C4E" w:rsidR="0042010D" w:rsidRDefault="003C35C4" w:rsidP="00D41995">
      <w:pPr>
        <w:ind w:left="-1276"/>
        <w:jc w:val="both"/>
        <w:rPr>
          <w:rFonts w:ascii="Arial" w:hAnsi="Arial" w:cs="Arial"/>
          <w:b/>
          <w:bCs/>
          <w:u w:val="single"/>
        </w:rPr>
      </w:pPr>
      <w:r w:rsidRPr="003C35C4">
        <w:rPr>
          <w:noProof/>
        </w:rPr>
        <w:drawing>
          <wp:inline distT="0" distB="0" distL="0" distR="0" wp14:anchorId="44689C42" wp14:editId="22838651">
            <wp:extent cx="7315200" cy="4410075"/>
            <wp:effectExtent l="0" t="0" r="0" b="9525"/>
            <wp:docPr id="20735206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0" cy="4410075"/>
                    </a:xfrm>
                    <a:prstGeom prst="rect">
                      <a:avLst/>
                    </a:prstGeom>
                    <a:noFill/>
                    <a:ln>
                      <a:noFill/>
                    </a:ln>
                  </pic:spPr>
                </pic:pic>
              </a:graphicData>
            </a:graphic>
          </wp:inline>
        </w:drawing>
      </w:r>
    </w:p>
    <w:p w14:paraId="7FC65743" w14:textId="77777777" w:rsidR="0042010D" w:rsidRDefault="0042010D" w:rsidP="0042010D">
      <w:pPr>
        <w:ind w:left="-993"/>
        <w:jc w:val="both"/>
        <w:rPr>
          <w:rFonts w:ascii="Arial" w:hAnsi="Arial" w:cs="Arial"/>
          <w:b/>
          <w:bCs/>
          <w:u w:val="single"/>
        </w:rPr>
      </w:pPr>
    </w:p>
    <w:p w14:paraId="258EF301" w14:textId="77777777" w:rsidR="006B2614" w:rsidRDefault="006B2614" w:rsidP="0042010D">
      <w:pPr>
        <w:ind w:left="-993"/>
        <w:jc w:val="both"/>
        <w:rPr>
          <w:rFonts w:ascii="Arial" w:hAnsi="Arial" w:cs="Arial"/>
          <w:b/>
          <w:bCs/>
          <w:u w:val="single"/>
        </w:rPr>
      </w:pPr>
    </w:p>
    <w:p w14:paraId="7F93C6AB" w14:textId="699186E0" w:rsidR="00D41995" w:rsidRDefault="00BD73DC" w:rsidP="00D41995">
      <w:pPr>
        <w:spacing w:line="276" w:lineRule="auto"/>
        <w:ind w:left="-709"/>
        <w:jc w:val="both"/>
        <w:rPr>
          <w:rFonts w:ascii="Arial" w:hAnsi="Arial" w:cs="Arial"/>
          <w:sz w:val="20"/>
          <w:szCs w:val="20"/>
        </w:rPr>
      </w:pPr>
      <w:r w:rsidRPr="00BD73DC">
        <w:rPr>
          <w:rFonts w:ascii="Arial" w:hAnsi="Arial" w:cs="Arial"/>
          <w:sz w:val="20"/>
          <w:szCs w:val="20"/>
        </w:rPr>
        <w:t>Our discounted cash flow (DCF) valuation indicates that Lyft's equity is materially undervalued relative to its current trading price. The model projects a significant financial transformation, forecasting a rapid ascent to profitability and robust, growing free cash flows over a five-year explicit forecast period. This analysis underpins our constructive view on the stock, reflecting a belief that the market has yet to fully price in the company's successful strategic pivot from growth-at-all-costs to a disciplined, profitable enterprise. The intrinsic value derived suggests a compelling opportunity for investors</w:t>
      </w:r>
      <w:r>
        <w:rPr>
          <w:rFonts w:ascii="Arial" w:hAnsi="Arial" w:cs="Arial"/>
          <w:sz w:val="20"/>
          <w:szCs w:val="20"/>
        </w:rPr>
        <w:t>.</w:t>
      </w:r>
    </w:p>
    <w:p w14:paraId="6CDCEE3B" w14:textId="4CA8B77B"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Key Assumptions</w:t>
      </w:r>
    </w:p>
    <w:p w14:paraId="73F7F02A" w14:textId="5CB2925F" w:rsidR="00D41995" w:rsidRDefault="002F6D9D" w:rsidP="00D41995">
      <w:pPr>
        <w:spacing w:line="276" w:lineRule="auto"/>
        <w:ind w:left="-709"/>
        <w:jc w:val="both"/>
        <w:rPr>
          <w:rFonts w:ascii="Arial" w:hAnsi="Arial" w:cs="Arial"/>
          <w:sz w:val="20"/>
          <w:szCs w:val="20"/>
        </w:rPr>
      </w:pPr>
      <w:r w:rsidRPr="002F6D9D">
        <w:rPr>
          <w:rFonts w:ascii="Arial" w:hAnsi="Arial" w:cs="Arial"/>
          <w:sz w:val="20"/>
          <w:szCs w:val="20"/>
        </w:rPr>
        <w:t>The valuation is built upon several critical inputs. We employ a discount rate (WACC) of 13.0%, which incorporates the elevated risk profile inherent to the competitive ride-sharing industry and broader market uncertainties. For the terminal value, we utilize a blended approach, averaging the result of a perpetuity growth model (3.0% rate) and an exit multiple method (16.0x EV/EBITDA), to enhance the robustness of our conclusion. Furthermore, the model assumes an effective tax rate of 14.0% and includes projections for capital expenditures and working capital investments necessary to fund the company's continued growth and operational scaling.</w:t>
      </w:r>
    </w:p>
    <w:p w14:paraId="78ADE925" w14:textId="77777777" w:rsidR="00D41995" w:rsidRDefault="00D41995" w:rsidP="00D41995">
      <w:pPr>
        <w:spacing w:line="276" w:lineRule="auto"/>
        <w:ind w:left="-709"/>
        <w:jc w:val="both"/>
        <w:rPr>
          <w:rFonts w:ascii="Arial" w:hAnsi="Arial" w:cs="Arial"/>
          <w:sz w:val="20"/>
          <w:szCs w:val="20"/>
        </w:rPr>
      </w:pPr>
    </w:p>
    <w:p w14:paraId="2CECE8EF" w14:textId="77777777" w:rsidR="00D41995" w:rsidRDefault="00D41995" w:rsidP="00D41995">
      <w:pPr>
        <w:spacing w:line="276" w:lineRule="auto"/>
        <w:ind w:left="-709"/>
        <w:jc w:val="both"/>
        <w:rPr>
          <w:rFonts w:ascii="Arial" w:hAnsi="Arial" w:cs="Arial"/>
          <w:sz w:val="20"/>
          <w:szCs w:val="20"/>
        </w:rPr>
      </w:pPr>
    </w:p>
    <w:p w14:paraId="6B4D7EA3" w14:textId="42D628ED"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lastRenderedPageBreak/>
        <w:t>Cash Flow Profile</w:t>
      </w:r>
    </w:p>
    <w:p w14:paraId="17002F4D" w14:textId="30FF1995" w:rsidR="00D41995" w:rsidRPr="00D41995" w:rsidRDefault="00504177" w:rsidP="00D41995">
      <w:pPr>
        <w:spacing w:line="276" w:lineRule="auto"/>
        <w:ind w:left="-709"/>
        <w:jc w:val="both"/>
        <w:rPr>
          <w:rFonts w:ascii="Arial" w:hAnsi="Arial" w:cs="Arial"/>
          <w:sz w:val="20"/>
          <w:szCs w:val="20"/>
        </w:rPr>
      </w:pPr>
      <w:r w:rsidRPr="00504177">
        <w:rPr>
          <w:rFonts w:ascii="Arial" w:hAnsi="Arial" w:cs="Arial"/>
          <w:sz w:val="20"/>
          <w:szCs w:val="20"/>
        </w:rPr>
        <w:t>The financial forecast depicts a powerful turnaround narrative. We project Lyft will generate positive EBIT beginning in 2026, with earnings growing substantially to approximately $560 million by the end of 2030. This drive towards profitability is expected to fuel significant unlevered free cash flow generation, which we forecast to rise from $662 million in 2025 to over $1.57 billion in 2030. This impressive cash flow growth is a central tenet of our valuation thesis and demonstrates the considerable operational leverage embedded within Lyft's platform model as it scales.</w:t>
      </w:r>
    </w:p>
    <w:p w14:paraId="7D2348A7" w14:textId="77777777" w:rsidR="00D41995" w:rsidRPr="00D41995" w:rsidRDefault="00D41995" w:rsidP="00D41995">
      <w:pPr>
        <w:spacing w:line="276" w:lineRule="auto"/>
        <w:ind w:left="-709"/>
        <w:jc w:val="both"/>
        <w:rPr>
          <w:rFonts w:ascii="Arial" w:hAnsi="Arial" w:cs="Arial"/>
          <w:sz w:val="20"/>
          <w:szCs w:val="20"/>
        </w:rPr>
      </w:pPr>
    </w:p>
    <w:p w14:paraId="4DA72AE6" w14:textId="77777777"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Valuation Implications</w:t>
      </w:r>
    </w:p>
    <w:p w14:paraId="3A85D080" w14:textId="7935D3EB" w:rsidR="00D41995" w:rsidRDefault="00B3649D" w:rsidP="00D41995">
      <w:pPr>
        <w:spacing w:line="276" w:lineRule="auto"/>
        <w:ind w:left="-709"/>
        <w:jc w:val="both"/>
        <w:rPr>
          <w:rFonts w:ascii="Arial" w:hAnsi="Arial" w:cs="Arial"/>
          <w:sz w:val="20"/>
          <w:szCs w:val="20"/>
        </w:rPr>
      </w:pPr>
      <w:r w:rsidRPr="00B3649D">
        <w:rPr>
          <w:rFonts w:ascii="Arial" w:hAnsi="Arial" w:cs="Arial"/>
          <w:sz w:val="20"/>
          <w:szCs w:val="20"/>
        </w:rPr>
        <w:t xml:space="preserve">The output of our DCF model yields an intrinsic enterprise value of $11.16 billion. After accounting for the company's substantial net cash position of approximately $1.08 billion, we arrive at an equity value of $12.24 billion. This translates to a target price of $30.11 per share, representing a potential upside of 61.8% from the current price. The model implies an internal rate of return (IRR) of 28% for an investment at the current market price, </w:t>
      </w:r>
      <w:proofErr w:type="spellStart"/>
      <w:r w:rsidRPr="00B3649D">
        <w:rPr>
          <w:rFonts w:ascii="Arial" w:hAnsi="Arial" w:cs="Arial"/>
          <w:sz w:val="20"/>
          <w:szCs w:val="20"/>
        </w:rPr>
        <w:t>signaling</w:t>
      </w:r>
      <w:proofErr w:type="spellEnd"/>
      <w:r w:rsidRPr="00B3649D">
        <w:rPr>
          <w:rFonts w:ascii="Arial" w:hAnsi="Arial" w:cs="Arial"/>
          <w:sz w:val="20"/>
          <w:szCs w:val="20"/>
        </w:rPr>
        <w:t xml:space="preserve"> an attractive risk-adjusted return potential.</w:t>
      </w:r>
    </w:p>
    <w:p w14:paraId="788ACF3E" w14:textId="77777777" w:rsidR="00D41995" w:rsidRPr="00D41995" w:rsidRDefault="00D41995" w:rsidP="00D41995">
      <w:pPr>
        <w:spacing w:line="276" w:lineRule="auto"/>
        <w:ind w:left="-709"/>
        <w:jc w:val="both"/>
        <w:rPr>
          <w:rFonts w:ascii="Arial" w:hAnsi="Arial" w:cs="Arial"/>
          <w:sz w:val="20"/>
          <w:szCs w:val="20"/>
        </w:rPr>
      </w:pPr>
    </w:p>
    <w:p w14:paraId="3A9C96FE" w14:textId="77777777"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Conclusion</w:t>
      </w:r>
    </w:p>
    <w:p w14:paraId="008D6516" w14:textId="10C7154E" w:rsidR="0042010D" w:rsidRDefault="00462DBB" w:rsidP="00D41995">
      <w:pPr>
        <w:spacing w:line="276" w:lineRule="auto"/>
        <w:ind w:left="-709"/>
        <w:jc w:val="both"/>
        <w:rPr>
          <w:rFonts w:ascii="Arial" w:hAnsi="Arial" w:cs="Arial"/>
          <w:sz w:val="20"/>
          <w:szCs w:val="20"/>
        </w:rPr>
      </w:pPr>
      <w:r w:rsidRPr="00462DBB">
        <w:rPr>
          <w:rFonts w:ascii="Arial" w:hAnsi="Arial" w:cs="Arial"/>
          <w:sz w:val="20"/>
          <w:szCs w:val="20"/>
        </w:rPr>
        <w:t>In conclusion, our DCF analysis supports an Overweight rating for Lyft with a price target of $30.11. The valuation captures the essence of the company's improved investment narrative: a leading, scaled platform that is now demonstrating a clear path to sustainable profitability and strong cash generation. While the forecast is contingent on the successful execution of management's strategy and stable competitive dynamics, we believe the current market valuation fails to adequately reflect this improved fundamental outlook. Key initiatives such as Price Lock subscriptions and strategic autonomous vehicle partnerships provide potential upside to our base-case model.</w:t>
      </w:r>
    </w:p>
    <w:p w14:paraId="5768A7EB" w14:textId="77777777" w:rsidR="003A2836" w:rsidRPr="0042010D" w:rsidRDefault="003A2836" w:rsidP="00D41995">
      <w:pPr>
        <w:spacing w:line="276" w:lineRule="auto"/>
        <w:ind w:left="-709"/>
        <w:jc w:val="both"/>
        <w:rPr>
          <w:rFonts w:ascii="Arial" w:hAnsi="Arial" w:cs="Arial"/>
          <w:b/>
          <w:bCs/>
          <w:u w:val="single"/>
        </w:rPr>
      </w:pPr>
    </w:p>
    <w:p w14:paraId="79E09406" w14:textId="69E3AC61" w:rsidR="007A0AD7" w:rsidRDefault="004325F5" w:rsidP="00100A4D">
      <w:pPr>
        <w:ind w:left="-993"/>
        <w:jc w:val="both"/>
        <w:rPr>
          <w:rFonts w:ascii="Arial" w:hAnsi="Arial" w:cs="Arial"/>
          <w:b/>
          <w:bCs/>
          <w:u w:val="single"/>
        </w:rPr>
      </w:pPr>
      <w:r w:rsidRPr="007D7D9E">
        <w:rPr>
          <w:rFonts w:ascii="Arial" w:hAnsi="Arial" w:cs="Arial"/>
          <w:b/>
          <w:bCs/>
          <w:u w:val="single"/>
        </w:rPr>
        <w:t>Comparable Company Analysis (Comps)</w:t>
      </w:r>
    </w:p>
    <w:p w14:paraId="152D5484" w14:textId="11521489" w:rsidR="00100A4D" w:rsidRPr="00100A4D" w:rsidRDefault="00AD7209" w:rsidP="00AD7209">
      <w:pPr>
        <w:ind w:left="-1134"/>
        <w:jc w:val="both"/>
        <w:rPr>
          <w:rFonts w:ascii="Arial" w:hAnsi="Arial" w:cs="Arial"/>
          <w:b/>
          <w:bCs/>
          <w:u w:val="single"/>
        </w:rPr>
      </w:pPr>
      <w:r w:rsidRPr="00AD7209">
        <w:rPr>
          <w:noProof/>
        </w:rPr>
        <w:drawing>
          <wp:inline distT="0" distB="0" distL="0" distR="0" wp14:anchorId="162B71C0" wp14:editId="2A8CE04D">
            <wp:extent cx="7205396" cy="1485884"/>
            <wp:effectExtent l="0" t="0" r="0" b="635"/>
            <wp:docPr id="6005440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4309" cy="1491846"/>
                    </a:xfrm>
                    <a:prstGeom prst="rect">
                      <a:avLst/>
                    </a:prstGeom>
                    <a:noFill/>
                    <a:ln>
                      <a:noFill/>
                    </a:ln>
                  </pic:spPr>
                </pic:pic>
              </a:graphicData>
            </a:graphic>
          </wp:inline>
        </w:drawing>
      </w:r>
    </w:p>
    <w:p w14:paraId="1E524E1D" w14:textId="77777777" w:rsidR="007A0AD7" w:rsidRDefault="007A0AD7" w:rsidP="007A0AD7">
      <w:pPr>
        <w:jc w:val="both"/>
        <w:rPr>
          <w:rFonts w:ascii="Arial" w:hAnsi="Arial" w:cs="Arial"/>
          <w:sz w:val="20"/>
          <w:szCs w:val="20"/>
          <w:lang w:val="en-US"/>
        </w:rPr>
      </w:pPr>
    </w:p>
    <w:p w14:paraId="5C5A8561"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Overview of Peer Group</w:t>
      </w:r>
    </w:p>
    <w:p w14:paraId="339183D6" w14:textId="7D9F1E4E" w:rsidR="00AD7209" w:rsidRPr="00AD7209" w:rsidRDefault="00AD7209" w:rsidP="00AD7209">
      <w:pPr>
        <w:ind w:left="-851"/>
        <w:jc w:val="both"/>
        <w:rPr>
          <w:rFonts w:ascii="Arial" w:hAnsi="Arial" w:cs="Arial"/>
          <w:sz w:val="20"/>
          <w:szCs w:val="20"/>
        </w:rPr>
      </w:pPr>
      <w:r w:rsidRPr="00AD7209">
        <w:rPr>
          <w:rFonts w:ascii="Arial" w:hAnsi="Arial" w:cs="Arial"/>
          <w:sz w:val="20"/>
          <w:szCs w:val="20"/>
        </w:rPr>
        <w:t>Lyft has been benchmarked against a select group of large-cap, high-growth application software companies, including Uber Technologies, Salesforce, ServiceNow, Intuit, and Adobe. This peer set represents leading SaaS and platform businesses that, like Lyft, operate asset-light models, enjoy network effects, and are valued on growth and future profitability potential. Uber is included as the most direct competitor, providing a crucial reference point for the mobility and delivery platform sector.</w:t>
      </w:r>
    </w:p>
    <w:p w14:paraId="5E9511A4"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Analysis of Valuation Multiples</w:t>
      </w:r>
    </w:p>
    <w:p w14:paraId="707B832E" w14:textId="2C49DE27" w:rsidR="00AD7209" w:rsidRPr="00AD7209" w:rsidRDefault="00AD7209" w:rsidP="00AD7209">
      <w:pPr>
        <w:ind w:left="-851"/>
        <w:jc w:val="both"/>
        <w:rPr>
          <w:rFonts w:ascii="Arial" w:hAnsi="Arial" w:cs="Arial"/>
          <w:sz w:val="20"/>
          <w:szCs w:val="20"/>
        </w:rPr>
      </w:pPr>
      <w:r w:rsidRPr="00AD7209">
        <w:rPr>
          <w:rFonts w:ascii="Arial" w:hAnsi="Arial" w:cs="Arial"/>
          <w:sz w:val="20"/>
          <w:szCs w:val="20"/>
        </w:rPr>
        <w:t>The analysis reveals a significant disparity in Lyft's valuation relative to the peer group. On a sales basis, Lyft trades at a substantial discount, with an EV/Sales multiple of </w:t>
      </w:r>
      <w:r w:rsidRPr="00AD7209">
        <w:rPr>
          <w:rFonts w:ascii="Arial" w:hAnsi="Arial" w:cs="Arial"/>
          <w:b/>
          <w:bCs/>
          <w:sz w:val="20"/>
          <w:szCs w:val="20"/>
        </w:rPr>
        <w:t>0.9x</w:t>
      </w:r>
      <w:r w:rsidRPr="00AD7209">
        <w:rPr>
          <w:rFonts w:ascii="Arial" w:hAnsi="Arial" w:cs="Arial"/>
          <w:sz w:val="20"/>
          <w:szCs w:val="20"/>
        </w:rPr>
        <w:t> compared to the group average of </w:t>
      </w:r>
      <w:r w:rsidRPr="00AD7209">
        <w:rPr>
          <w:rFonts w:ascii="Arial" w:hAnsi="Arial" w:cs="Arial"/>
          <w:b/>
          <w:bCs/>
          <w:sz w:val="20"/>
          <w:szCs w:val="20"/>
        </w:rPr>
        <w:t>9.4x</w:t>
      </w:r>
      <w:r w:rsidRPr="00AD7209">
        <w:rPr>
          <w:rFonts w:ascii="Arial" w:hAnsi="Arial" w:cs="Arial"/>
          <w:sz w:val="20"/>
          <w:szCs w:val="20"/>
        </w:rPr>
        <w:t> and median of </w:t>
      </w:r>
      <w:r w:rsidRPr="00AD7209">
        <w:rPr>
          <w:rFonts w:ascii="Arial" w:hAnsi="Arial" w:cs="Arial"/>
          <w:b/>
          <w:bCs/>
          <w:sz w:val="20"/>
          <w:szCs w:val="20"/>
        </w:rPr>
        <w:t>7.0x</w:t>
      </w:r>
      <w:r w:rsidRPr="00AD7209">
        <w:rPr>
          <w:rFonts w:ascii="Arial" w:hAnsi="Arial" w:cs="Arial"/>
          <w:sz w:val="20"/>
          <w:szCs w:val="20"/>
        </w:rPr>
        <w:t xml:space="preserve">. This discount reflects the market's </w:t>
      </w:r>
      <w:r w:rsidR="007D7D9E" w:rsidRPr="00AD7209">
        <w:rPr>
          <w:rFonts w:ascii="Arial" w:hAnsi="Arial" w:cs="Arial"/>
          <w:sz w:val="20"/>
          <w:szCs w:val="20"/>
        </w:rPr>
        <w:t>scepticism</w:t>
      </w:r>
      <w:r w:rsidRPr="00AD7209">
        <w:rPr>
          <w:rFonts w:ascii="Arial" w:hAnsi="Arial" w:cs="Arial"/>
          <w:sz w:val="20"/>
          <w:szCs w:val="20"/>
        </w:rPr>
        <w:t xml:space="preserve"> regarding Lyft's path to profitability and its ability to achieve scale efficiencies </w:t>
      </w:r>
      <w:proofErr w:type="gramStart"/>
      <w:r w:rsidRPr="00AD7209">
        <w:rPr>
          <w:rFonts w:ascii="Arial" w:hAnsi="Arial" w:cs="Arial"/>
          <w:sz w:val="20"/>
          <w:szCs w:val="20"/>
        </w:rPr>
        <w:lastRenderedPageBreak/>
        <w:t>similar to</w:t>
      </w:r>
      <w:proofErr w:type="gramEnd"/>
      <w:r w:rsidRPr="00AD7209">
        <w:rPr>
          <w:rFonts w:ascii="Arial" w:hAnsi="Arial" w:cs="Arial"/>
          <w:sz w:val="20"/>
          <w:szCs w:val="20"/>
        </w:rPr>
        <w:t xml:space="preserve"> its more established peers. However, on a forward-looking EBITDA basis, Lyft's multiple of </w:t>
      </w:r>
      <w:r w:rsidRPr="00AD7209">
        <w:rPr>
          <w:rFonts w:ascii="Arial" w:hAnsi="Arial" w:cs="Arial"/>
          <w:b/>
          <w:bCs/>
          <w:sz w:val="20"/>
          <w:szCs w:val="20"/>
        </w:rPr>
        <w:t>38.9x</w:t>
      </w:r>
      <w:r w:rsidRPr="00AD7209">
        <w:rPr>
          <w:rFonts w:ascii="Arial" w:hAnsi="Arial" w:cs="Arial"/>
          <w:sz w:val="20"/>
          <w:szCs w:val="20"/>
        </w:rPr>
        <w:t> aligns closely with the group average of </w:t>
      </w:r>
      <w:r w:rsidRPr="00AD7209">
        <w:rPr>
          <w:rFonts w:ascii="Arial" w:hAnsi="Arial" w:cs="Arial"/>
          <w:b/>
          <w:bCs/>
          <w:sz w:val="20"/>
          <w:szCs w:val="20"/>
        </w:rPr>
        <w:t>40.5x</w:t>
      </w:r>
      <w:r w:rsidRPr="00AD7209">
        <w:rPr>
          <w:rFonts w:ascii="Arial" w:hAnsi="Arial" w:cs="Arial"/>
          <w:sz w:val="20"/>
          <w:szCs w:val="20"/>
        </w:rPr>
        <w:t> and slightly exceeds the median of </w:t>
      </w:r>
      <w:r w:rsidRPr="00AD7209">
        <w:rPr>
          <w:rFonts w:ascii="Arial" w:hAnsi="Arial" w:cs="Arial"/>
          <w:b/>
          <w:bCs/>
          <w:sz w:val="20"/>
          <w:szCs w:val="20"/>
        </w:rPr>
        <w:t>37.6x</w:t>
      </w:r>
      <w:r w:rsidRPr="00AD7209">
        <w:rPr>
          <w:rFonts w:ascii="Arial" w:hAnsi="Arial" w:cs="Arial"/>
          <w:sz w:val="20"/>
          <w:szCs w:val="20"/>
        </w:rPr>
        <w:t>. This suggests that when valued on near-term profit metrics, the market is beginning to price Lyft in line with its sector, acknowledging its recent achievement of positive adjusted EBITDA.</w:t>
      </w:r>
    </w:p>
    <w:p w14:paraId="6FEA7E29"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Key Takeaways and Implications for Lyft</w:t>
      </w:r>
    </w:p>
    <w:p w14:paraId="4D645EC4" w14:textId="095A7FEE" w:rsidR="00AD7209" w:rsidRPr="00AD7209" w:rsidRDefault="00AD7209" w:rsidP="00AD7209">
      <w:pPr>
        <w:ind w:left="-851"/>
        <w:jc w:val="both"/>
        <w:rPr>
          <w:rFonts w:ascii="Arial" w:hAnsi="Arial" w:cs="Arial"/>
          <w:sz w:val="20"/>
          <w:szCs w:val="20"/>
        </w:rPr>
      </w:pPr>
      <w:r w:rsidRPr="00AD7209">
        <w:rPr>
          <w:rFonts w:ascii="Arial" w:hAnsi="Arial" w:cs="Arial"/>
          <w:sz w:val="20"/>
          <w:szCs w:val="20"/>
        </w:rPr>
        <w:t>The comps analysis presents a dual narrative. The deep discount on sales multiples indicates that Lyft is priced for significantly lower growth and margin expansion than its software peers, representing a potential opportunity if the company can execute on its profitability targets. The convergence of its EBITDA multiple with the group average is a positive signal, validating management's recent progress in improving unit economics and cost discipline. A significant outlier is Lyft's elevated EV/EBIT multiple, which is distorted by its EBIT only recently approaching breakeven. This makes the multiple highly volatile and less informative than the EBITDA-based valuation at this stage in the company's lifecycle.</w:t>
      </w:r>
    </w:p>
    <w:p w14:paraId="464888A8"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Conclusion and Investment Perspective</w:t>
      </w:r>
    </w:p>
    <w:p w14:paraId="1E946424" w14:textId="4907AB6E" w:rsidR="00AD7209" w:rsidRPr="00AD7209" w:rsidRDefault="00AD7209" w:rsidP="00AD7209">
      <w:pPr>
        <w:ind w:left="-851"/>
        <w:jc w:val="both"/>
        <w:rPr>
          <w:rFonts w:ascii="Arial" w:hAnsi="Arial" w:cs="Arial"/>
          <w:sz w:val="20"/>
          <w:szCs w:val="20"/>
        </w:rPr>
      </w:pPr>
      <w:r w:rsidRPr="00AD7209">
        <w:rPr>
          <w:rFonts w:ascii="Arial" w:hAnsi="Arial" w:cs="Arial"/>
          <w:sz w:val="20"/>
          <w:szCs w:val="20"/>
        </w:rPr>
        <w:t xml:space="preserve">From a </w:t>
      </w:r>
      <w:proofErr w:type="spellStart"/>
      <w:r w:rsidRPr="00AD7209">
        <w:rPr>
          <w:rFonts w:ascii="Arial" w:hAnsi="Arial" w:cs="Arial"/>
          <w:sz w:val="20"/>
          <w:szCs w:val="20"/>
        </w:rPr>
        <w:t>comparables</w:t>
      </w:r>
      <w:proofErr w:type="spellEnd"/>
      <w:r w:rsidRPr="00AD7209">
        <w:rPr>
          <w:rFonts w:ascii="Arial" w:hAnsi="Arial" w:cs="Arial"/>
          <w:sz w:val="20"/>
          <w:szCs w:val="20"/>
        </w:rPr>
        <w:t xml:space="preserve"> perspective, Lyft's valuation appears to be in a transitional phase. The stock is not being valued as a traditional high-growth software company but is being re-rated closer to its peers as it demonstrates proof of its profitable business model. The analysis suggests that if Lyft can continue to grow revenue while expanding its EBITDA margins consistent with its guidance, a further re-rating towards the group's median sales multiple could be justified, representing significant upside. The key investment debate </w:t>
      </w:r>
      <w:proofErr w:type="spellStart"/>
      <w:r w:rsidRPr="00AD7209">
        <w:rPr>
          <w:rFonts w:ascii="Arial" w:hAnsi="Arial" w:cs="Arial"/>
          <w:sz w:val="20"/>
          <w:szCs w:val="20"/>
        </w:rPr>
        <w:t>centers</w:t>
      </w:r>
      <w:proofErr w:type="spellEnd"/>
      <w:r w:rsidRPr="00AD7209">
        <w:rPr>
          <w:rFonts w:ascii="Arial" w:hAnsi="Arial" w:cs="Arial"/>
          <w:sz w:val="20"/>
          <w:szCs w:val="20"/>
        </w:rPr>
        <w:t xml:space="preserve"> on whether Lyft can truly achieve the best-in-class margins of its software comps or if it will perpetually trade at a discount due to the capital-intensive and competitive nature of the mobility market.</w:t>
      </w:r>
    </w:p>
    <w:p w14:paraId="764B07B0" w14:textId="12ADF421" w:rsidR="00100A4D" w:rsidRPr="00100A4D" w:rsidRDefault="00100A4D" w:rsidP="00AD7209">
      <w:pPr>
        <w:jc w:val="both"/>
        <w:rPr>
          <w:rFonts w:ascii="Arial" w:hAnsi="Arial" w:cs="Arial"/>
          <w:sz w:val="20"/>
          <w:szCs w:val="20"/>
        </w:rPr>
      </w:pPr>
    </w:p>
    <w:p w14:paraId="3B09D65A" w14:textId="77777777" w:rsidR="005239A0" w:rsidRDefault="005239A0" w:rsidP="005239A0">
      <w:pPr>
        <w:ind w:right="-22"/>
        <w:jc w:val="both"/>
        <w:rPr>
          <w:rFonts w:ascii="Arial" w:hAnsi="Arial" w:cs="Arial"/>
          <w:sz w:val="20"/>
          <w:szCs w:val="20"/>
          <w:lang w:val="en-US"/>
        </w:rPr>
      </w:pPr>
    </w:p>
    <w:p w14:paraId="16C1B121" w14:textId="77777777" w:rsidR="00D360CA" w:rsidRPr="00D360CA" w:rsidRDefault="00D360CA" w:rsidP="00C72653">
      <w:pPr>
        <w:ind w:left="-851" w:right="-22"/>
        <w:jc w:val="both"/>
        <w:rPr>
          <w:rFonts w:ascii="Arial" w:hAnsi="Arial" w:cs="Arial"/>
          <w:b/>
          <w:bCs/>
          <w:u w:val="single"/>
        </w:rPr>
      </w:pPr>
      <w:r w:rsidRPr="00E878A9">
        <w:rPr>
          <w:rFonts w:ascii="Arial" w:hAnsi="Arial" w:cs="Arial"/>
          <w:b/>
          <w:bCs/>
          <w:u w:val="single"/>
        </w:rPr>
        <w:t>Valuation and Target Price Analysis</w:t>
      </w:r>
    </w:p>
    <w:p w14:paraId="4A99E162" w14:textId="1479A837" w:rsidR="00295698" w:rsidRDefault="00295698" w:rsidP="00E878A9">
      <w:pPr>
        <w:spacing w:line="276" w:lineRule="auto"/>
        <w:ind w:left="-851" w:right="120"/>
        <w:jc w:val="both"/>
        <w:rPr>
          <w:rFonts w:ascii="Arial" w:hAnsi="Arial" w:cs="Arial"/>
          <w:sz w:val="20"/>
          <w:szCs w:val="20"/>
        </w:rPr>
      </w:pPr>
      <w:r w:rsidRPr="00295698">
        <w:rPr>
          <w:rFonts w:ascii="Arial" w:hAnsi="Arial" w:cs="Arial"/>
          <w:sz w:val="20"/>
          <w:szCs w:val="20"/>
        </w:rPr>
        <w:t xml:space="preserve">Lyft operates in the growing ridesharing and mobility industry, driven by urbanization, smartphone adoption, and demand for on-demand transport. The market is highly competitive, with major players like Uber, Didi, and regional providers. Key industry dynamics include regulatory challenges, high buyer bargaining power, and rapid technological advancements in app platforms and autonomous vehicles. Despite these pressures, Lyft is expected to deliver steady revenue growth from $5.79 billion in 2024 to $7.49 billion by 2030, supported by operating leverage, cost discipline, and continued market share gains. Net income is projected to rise from $22.78 million to $251.15 million over the same period, with adjusted EBITDA reaching $743.67 million and free cash flow increasing to $1.64 billion, </w:t>
      </w:r>
      <w:r w:rsidR="002F4554" w:rsidRPr="00295698">
        <w:rPr>
          <w:rFonts w:ascii="Arial" w:hAnsi="Arial" w:cs="Arial"/>
          <w:sz w:val="20"/>
          <w:szCs w:val="20"/>
        </w:rPr>
        <w:t>signalling</w:t>
      </w:r>
      <w:r w:rsidRPr="00295698">
        <w:rPr>
          <w:rFonts w:ascii="Arial" w:hAnsi="Arial" w:cs="Arial"/>
          <w:sz w:val="20"/>
          <w:szCs w:val="20"/>
        </w:rPr>
        <w:t xml:space="preserve"> strong operational efficiency and balance sheet strength.</w:t>
      </w:r>
    </w:p>
    <w:p w14:paraId="2F47556D" w14:textId="77777777" w:rsidR="00295698" w:rsidRPr="00295698" w:rsidRDefault="00295698" w:rsidP="00E878A9">
      <w:pPr>
        <w:spacing w:line="276" w:lineRule="auto"/>
        <w:ind w:left="-851" w:right="120"/>
        <w:jc w:val="both"/>
        <w:rPr>
          <w:rFonts w:ascii="Arial" w:hAnsi="Arial" w:cs="Arial"/>
          <w:sz w:val="20"/>
          <w:szCs w:val="20"/>
        </w:rPr>
      </w:pPr>
    </w:p>
    <w:p w14:paraId="0C685B6D" w14:textId="77777777" w:rsidR="00295698" w:rsidRPr="00295698" w:rsidRDefault="00295698" w:rsidP="00E878A9">
      <w:pPr>
        <w:spacing w:line="276" w:lineRule="auto"/>
        <w:ind w:left="-851" w:right="120"/>
        <w:jc w:val="both"/>
        <w:rPr>
          <w:rFonts w:ascii="Arial" w:hAnsi="Arial" w:cs="Arial"/>
          <w:sz w:val="20"/>
          <w:szCs w:val="20"/>
        </w:rPr>
      </w:pPr>
      <w:r w:rsidRPr="00295698">
        <w:rPr>
          <w:rFonts w:ascii="Arial" w:hAnsi="Arial" w:cs="Arial"/>
          <w:sz w:val="20"/>
          <w:szCs w:val="20"/>
        </w:rPr>
        <w:t>Our discounted cash flow (DCF) analysis indicates an intrinsic enterprise value of $11.16 billion. After adjusting for net cash of $1.08 billion, we derive an equity value of $12.24 billion, translating to a target price of $30.11 per share. Comparable company analysis supports this view, with Lyft’s forward-looking EBITDA multiple aligning closely with peers, suggesting that the market is beginning to price in profitability.</w:t>
      </w:r>
    </w:p>
    <w:p w14:paraId="1A880A84" w14:textId="77777777" w:rsidR="00295698" w:rsidRPr="00295698" w:rsidRDefault="00295698" w:rsidP="00E878A9">
      <w:pPr>
        <w:spacing w:line="276" w:lineRule="auto"/>
        <w:ind w:left="-851" w:right="120"/>
        <w:jc w:val="both"/>
        <w:rPr>
          <w:rFonts w:ascii="Arial" w:hAnsi="Arial" w:cs="Arial"/>
          <w:sz w:val="20"/>
          <w:szCs w:val="20"/>
        </w:rPr>
      </w:pPr>
    </w:p>
    <w:p w14:paraId="6539959B" w14:textId="700819FB" w:rsidR="005E3590" w:rsidRDefault="00295698" w:rsidP="00E878A9">
      <w:pPr>
        <w:spacing w:line="276" w:lineRule="auto"/>
        <w:ind w:left="-851" w:right="120"/>
        <w:jc w:val="both"/>
        <w:rPr>
          <w:rFonts w:ascii="Arial" w:hAnsi="Arial" w:cs="Arial"/>
          <w:sz w:val="20"/>
          <w:szCs w:val="20"/>
        </w:rPr>
      </w:pPr>
      <w:r w:rsidRPr="00295698">
        <w:rPr>
          <w:rFonts w:ascii="Arial" w:hAnsi="Arial" w:cs="Arial"/>
          <w:b/>
          <w:bCs/>
          <w:sz w:val="20"/>
          <w:szCs w:val="20"/>
        </w:rPr>
        <w:t>Recommendation:</w:t>
      </w:r>
      <w:r w:rsidRPr="00295698">
        <w:rPr>
          <w:rFonts w:ascii="Arial" w:hAnsi="Arial" w:cs="Arial"/>
          <w:sz w:val="20"/>
          <w:szCs w:val="20"/>
        </w:rPr>
        <w:t xml:space="preserve"> Based on robust projected financial performance, improving profitability, and a de-risked balance sheet, we assign an Overweight rating to Lyft. The target price of $30.11 implies a potential upside of 61.8% from the current market level, offering attractive risk-adjusted return potential for investors.</w:t>
      </w:r>
    </w:p>
    <w:p w14:paraId="32A7F607" w14:textId="77777777" w:rsidR="00024F99" w:rsidRDefault="00024F99" w:rsidP="00295698">
      <w:pPr>
        <w:ind w:left="-851" w:right="120"/>
        <w:jc w:val="both"/>
        <w:rPr>
          <w:rFonts w:ascii="Arial" w:hAnsi="Arial" w:cs="Arial"/>
          <w:sz w:val="20"/>
          <w:szCs w:val="20"/>
        </w:rPr>
      </w:pPr>
    </w:p>
    <w:p w14:paraId="4D77300B" w14:textId="77777777" w:rsidR="00024F99" w:rsidRDefault="00024F99" w:rsidP="00295698">
      <w:pPr>
        <w:ind w:left="-851" w:right="120"/>
        <w:jc w:val="both"/>
        <w:rPr>
          <w:rFonts w:ascii="Arial" w:hAnsi="Arial" w:cs="Arial"/>
          <w:sz w:val="20"/>
          <w:szCs w:val="20"/>
        </w:rPr>
      </w:pPr>
    </w:p>
    <w:p w14:paraId="389D276A" w14:textId="77777777" w:rsidR="00024F99" w:rsidRDefault="00024F99" w:rsidP="00295698">
      <w:pPr>
        <w:ind w:left="-851" w:right="120"/>
        <w:jc w:val="both"/>
        <w:rPr>
          <w:rFonts w:ascii="Arial" w:hAnsi="Arial" w:cs="Arial"/>
          <w:sz w:val="20"/>
          <w:szCs w:val="20"/>
        </w:rPr>
      </w:pPr>
    </w:p>
    <w:p w14:paraId="5626EDB5" w14:textId="2E7A0EFF" w:rsidR="005E3590" w:rsidRPr="00024F99" w:rsidRDefault="005E3590" w:rsidP="005E3590">
      <w:pPr>
        <w:pStyle w:val="Title"/>
        <w:ind w:left="-851"/>
        <w:jc w:val="both"/>
        <w:rPr>
          <w:rFonts w:eastAsia="Calibri"/>
          <w:b/>
          <w:bCs/>
          <w:sz w:val="50"/>
          <w:szCs w:val="50"/>
          <w:highlight w:val="yellow"/>
          <w:u w:val="single"/>
        </w:rPr>
      </w:pPr>
      <w:r w:rsidRPr="00024F99">
        <w:rPr>
          <w:rFonts w:eastAsia="Calibri"/>
          <w:b/>
          <w:bCs/>
          <w:sz w:val="50"/>
          <w:szCs w:val="50"/>
          <w:highlight w:val="yellow"/>
          <w:u w:val="single"/>
        </w:rPr>
        <w:lastRenderedPageBreak/>
        <w:t>Technical Analysis</w:t>
      </w:r>
    </w:p>
    <w:p w14:paraId="7B8CBDC9" w14:textId="77777777" w:rsidR="00484229" w:rsidRPr="00024F99" w:rsidRDefault="00484229" w:rsidP="00484229">
      <w:pPr>
        <w:ind w:left="-851"/>
        <w:rPr>
          <w:rFonts w:ascii="Arial" w:hAnsi="Arial" w:cs="Arial"/>
          <w:sz w:val="20"/>
          <w:szCs w:val="20"/>
          <w:highlight w:val="yellow"/>
        </w:rPr>
      </w:pPr>
      <w:r w:rsidRPr="00024F99">
        <w:rPr>
          <w:rFonts w:ascii="Arial" w:hAnsi="Arial" w:cs="Arial"/>
          <w:b/>
          <w:bCs/>
          <w:sz w:val="20"/>
          <w:szCs w:val="20"/>
          <w:highlight w:val="yellow"/>
        </w:rPr>
        <w:t>Price Action and Gaps</w:t>
      </w:r>
      <w:r w:rsidRPr="00024F99">
        <w:rPr>
          <w:rFonts w:ascii="Arial" w:hAnsi="Arial" w:cs="Arial"/>
          <w:sz w:val="20"/>
          <w:szCs w:val="20"/>
          <w:highlight w:val="yellow"/>
        </w:rPr>
        <w:br/>
        <w:t>On the daily chart, there is a fair value gap between approximately $89–$90 that has not yet been retested. This gap may act as a short-term support zone if the stock pulls back, providing a potential entry point for investors seeking to add to positions near value-support levels.</w:t>
      </w:r>
    </w:p>
    <w:p w14:paraId="6159BD48" w14:textId="77777777" w:rsidR="00484229" w:rsidRPr="00024F99" w:rsidRDefault="00484229" w:rsidP="00484229">
      <w:pPr>
        <w:ind w:left="-851"/>
        <w:rPr>
          <w:rFonts w:ascii="Arial" w:hAnsi="Arial" w:cs="Arial"/>
          <w:sz w:val="20"/>
          <w:szCs w:val="20"/>
          <w:highlight w:val="yellow"/>
        </w:rPr>
      </w:pPr>
      <w:r w:rsidRPr="00024F99">
        <w:rPr>
          <w:rFonts w:ascii="Arial" w:hAnsi="Arial" w:cs="Arial"/>
          <w:b/>
          <w:sz w:val="20"/>
          <w:szCs w:val="20"/>
          <w:highlight w:val="yellow"/>
        </w:rPr>
        <w:t>Moving Averages</w:t>
      </w:r>
      <w:r w:rsidRPr="00024F99">
        <w:rPr>
          <w:rFonts w:ascii="Arial" w:hAnsi="Arial" w:cs="Arial"/>
          <w:sz w:val="20"/>
          <w:szCs w:val="20"/>
          <w:highlight w:val="yellow"/>
        </w:rPr>
        <w:br/>
        <w:t>NDAQ is trading above both the 50-day and 200-day moving averages on daily and weekly charts, indicating that the long-term trend remains bullish. On the daily chart, the 50-day MA is closer to the current price, suggesting that shorter-term momentum is still supportive, though near-term consolidation could occur.</w:t>
      </w:r>
    </w:p>
    <w:p w14:paraId="4ABF5756" w14:textId="77777777" w:rsidR="00484229" w:rsidRPr="00024F99" w:rsidRDefault="00484229" w:rsidP="00484229">
      <w:pPr>
        <w:ind w:left="-851"/>
        <w:rPr>
          <w:rFonts w:ascii="Arial" w:hAnsi="Arial" w:cs="Arial"/>
          <w:b/>
          <w:bCs/>
          <w:sz w:val="20"/>
          <w:szCs w:val="20"/>
          <w:highlight w:val="yellow"/>
        </w:rPr>
      </w:pPr>
      <w:r w:rsidRPr="00024F99">
        <w:rPr>
          <w:rFonts w:ascii="Arial" w:hAnsi="Arial" w:cs="Arial"/>
          <w:b/>
          <w:bCs/>
          <w:sz w:val="20"/>
          <w:szCs w:val="20"/>
          <w:highlight w:val="yellow"/>
        </w:rPr>
        <w:t>MACD</w:t>
      </w:r>
    </w:p>
    <w:p w14:paraId="29865277" w14:textId="77777777" w:rsidR="00484229" w:rsidRPr="00024F99" w:rsidRDefault="00484229" w:rsidP="00484229">
      <w:pPr>
        <w:numPr>
          <w:ilvl w:val="0"/>
          <w:numId w:val="10"/>
        </w:numPr>
        <w:tabs>
          <w:tab w:val="clear" w:pos="720"/>
          <w:tab w:val="num" w:pos="426"/>
        </w:tabs>
        <w:ind w:left="-142"/>
        <w:rPr>
          <w:rFonts w:ascii="Arial" w:hAnsi="Arial" w:cs="Arial"/>
          <w:sz w:val="20"/>
          <w:szCs w:val="20"/>
          <w:highlight w:val="yellow"/>
        </w:rPr>
      </w:pPr>
      <w:r w:rsidRPr="00024F99">
        <w:rPr>
          <w:rFonts w:ascii="Arial" w:hAnsi="Arial" w:cs="Arial"/>
          <w:sz w:val="20"/>
          <w:szCs w:val="20"/>
          <w:highlight w:val="yellow"/>
        </w:rPr>
        <w:t>Weekly chart: The MACD (4.47) remains above the signal line (3.84), indicating ongoing upward momentum and no immediate trend reversal.</w:t>
      </w:r>
    </w:p>
    <w:p w14:paraId="21165901" w14:textId="77777777" w:rsidR="00484229" w:rsidRPr="00024F99" w:rsidRDefault="00484229" w:rsidP="00484229">
      <w:pPr>
        <w:numPr>
          <w:ilvl w:val="0"/>
          <w:numId w:val="10"/>
        </w:numPr>
        <w:tabs>
          <w:tab w:val="clear" w:pos="720"/>
          <w:tab w:val="num" w:pos="426"/>
        </w:tabs>
        <w:ind w:left="-142"/>
        <w:rPr>
          <w:rFonts w:ascii="Arial" w:hAnsi="Arial" w:cs="Arial"/>
          <w:sz w:val="20"/>
          <w:szCs w:val="20"/>
          <w:highlight w:val="yellow"/>
        </w:rPr>
      </w:pPr>
      <w:r w:rsidRPr="00024F99">
        <w:rPr>
          <w:rFonts w:ascii="Arial" w:hAnsi="Arial" w:cs="Arial"/>
          <w:sz w:val="20"/>
          <w:szCs w:val="20"/>
          <w:highlight w:val="yellow"/>
        </w:rPr>
        <w:t>Daily chart: A bearish crossover around the 2.20 level signals short-term momentum weakening, which may coincide with minor price corrections.</w:t>
      </w:r>
    </w:p>
    <w:p w14:paraId="7161308F" w14:textId="77777777" w:rsidR="00484229" w:rsidRPr="00024F99" w:rsidRDefault="00484229" w:rsidP="00484229">
      <w:pPr>
        <w:ind w:left="-851"/>
        <w:rPr>
          <w:rFonts w:ascii="Arial" w:hAnsi="Arial" w:cs="Arial"/>
          <w:b/>
          <w:bCs/>
          <w:sz w:val="20"/>
          <w:szCs w:val="20"/>
          <w:highlight w:val="yellow"/>
        </w:rPr>
      </w:pPr>
      <w:r w:rsidRPr="00024F99">
        <w:rPr>
          <w:rFonts w:ascii="Arial" w:hAnsi="Arial" w:cs="Arial"/>
          <w:b/>
          <w:bCs/>
          <w:sz w:val="20"/>
          <w:szCs w:val="20"/>
          <w:highlight w:val="yellow"/>
        </w:rPr>
        <w:t>RSI</w:t>
      </w:r>
    </w:p>
    <w:p w14:paraId="3890DCCE" w14:textId="77777777" w:rsidR="00484229" w:rsidRPr="00024F99" w:rsidRDefault="00484229" w:rsidP="00484229">
      <w:pPr>
        <w:numPr>
          <w:ilvl w:val="0"/>
          <w:numId w:val="11"/>
        </w:numPr>
        <w:tabs>
          <w:tab w:val="clear" w:pos="720"/>
          <w:tab w:val="num" w:pos="426"/>
        </w:tabs>
        <w:ind w:left="-142"/>
        <w:rPr>
          <w:rFonts w:ascii="Arial" w:hAnsi="Arial" w:cs="Arial"/>
          <w:sz w:val="20"/>
          <w:szCs w:val="20"/>
          <w:highlight w:val="yellow"/>
        </w:rPr>
      </w:pPr>
      <w:r w:rsidRPr="00024F99">
        <w:rPr>
          <w:rFonts w:ascii="Arial" w:hAnsi="Arial" w:cs="Arial"/>
          <w:sz w:val="20"/>
          <w:szCs w:val="20"/>
          <w:highlight w:val="yellow"/>
        </w:rPr>
        <w:t>Weekly chart: The RSI is around 73.16, above the RSI-based moving average of 68.39, indicating the stock is in an overbought condition in the medium term.</w:t>
      </w:r>
    </w:p>
    <w:p w14:paraId="2873923F" w14:textId="77777777" w:rsidR="00484229" w:rsidRPr="00024F99" w:rsidRDefault="00484229" w:rsidP="00484229">
      <w:pPr>
        <w:numPr>
          <w:ilvl w:val="0"/>
          <w:numId w:val="11"/>
        </w:numPr>
        <w:tabs>
          <w:tab w:val="clear" w:pos="720"/>
          <w:tab w:val="num" w:pos="426"/>
        </w:tabs>
        <w:ind w:left="-142"/>
        <w:rPr>
          <w:rFonts w:ascii="Arial" w:hAnsi="Arial" w:cs="Arial"/>
          <w:sz w:val="20"/>
          <w:szCs w:val="20"/>
          <w:highlight w:val="yellow"/>
        </w:rPr>
      </w:pPr>
      <w:r w:rsidRPr="00024F99">
        <w:rPr>
          <w:rFonts w:ascii="Arial" w:hAnsi="Arial" w:cs="Arial"/>
          <w:sz w:val="20"/>
          <w:szCs w:val="20"/>
          <w:highlight w:val="yellow"/>
        </w:rPr>
        <w:t>Daily chart: A bearish crossover at the 70 level suggests near-term price pressure, reinforcing the possibility of a short-term pullback.</w:t>
      </w:r>
    </w:p>
    <w:p w14:paraId="74BE3255" w14:textId="77777777" w:rsidR="00484229" w:rsidRPr="00024F99" w:rsidRDefault="00484229" w:rsidP="00E878A9">
      <w:pPr>
        <w:spacing w:line="276" w:lineRule="auto"/>
        <w:ind w:left="-851"/>
        <w:rPr>
          <w:rFonts w:ascii="Arial" w:hAnsi="Arial" w:cs="Arial"/>
          <w:sz w:val="20"/>
          <w:szCs w:val="20"/>
          <w:highlight w:val="yellow"/>
        </w:rPr>
      </w:pPr>
      <w:r w:rsidRPr="00024F99">
        <w:rPr>
          <w:rFonts w:ascii="Arial" w:hAnsi="Arial" w:cs="Arial"/>
          <w:b/>
          <w:bCs/>
          <w:sz w:val="20"/>
          <w:szCs w:val="20"/>
          <w:highlight w:val="yellow"/>
        </w:rPr>
        <w:t>Fibonacci Retracement Levels</w:t>
      </w:r>
      <w:r w:rsidRPr="00024F99">
        <w:rPr>
          <w:rFonts w:ascii="Arial" w:hAnsi="Arial" w:cs="Arial"/>
          <w:sz w:val="20"/>
          <w:szCs w:val="20"/>
          <w:highlight w:val="yellow"/>
        </w:rPr>
        <w:br/>
        <w:t>Key retracement levels to watch are $94, $92.80, and $91.70, which could serve as support zones during any short-term correction. These levels align closely with the fair value gap and moving average support, providing multiple confluences for potential buying interest.</w:t>
      </w:r>
    </w:p>
    <w:p w14:paraId="3F9DD09A" w14:textId="250F3B76" w:rsidR="00484229" w:rsidRPr="00484229" w:rsidRDefault="00484229" w:rsidP="00484229">
      <w:pPr>
        <w:ind w:left="-851"/>
        <w:rPr>
          <w:rFonts w:ascii="Arial" w:hAnsi="Arial" w:cs="Arial"/>
          <w:sz w:val="20"/>
          <w:szCs w:val="20"/>
        </w:rPr>
      </w:pPr>
      <w:r w:rsidRPr="00024F99">
        <w:rPr>
          <w:rFonts w:ascii="Arial" w:hAnsi="Arial" w:cs="Arial"/>
          <w:b/>
          <w:bCs/>
          <w:sz w:val="20"/>
          <w:szCs w:val="20"/>
          <w:highlight w:val="yellow"/>
        </w:rPr>
        <w:t>Summary</w:t>
      </w:r>
      <w:r w:rsidRPr="00024F99">
        <w:rPr>
          <w:rFonts w:ascii="Arial" w:hAnsi="Arial" w:cs="Arial"/>
          <w:sz w:val="20"/>
          <w:szCs w:val="20"/>
          <w:highlight w:val="yellow"/>
        </w:rPr>
        <w:br/>
        <w:t>Overall, Nasdaq remains in a long-term uptrend, supported by both weekly moving averages and positive MACD momentum. However, near-term indicators on daily charts, including bearish MACD and RSI crossovers, suggest the possibility of a short-term pullback toward the $91–$92 price zone</w:t>
      </w:r>
    </w:p>
    <w:p w14:paraId="1D9B8378" w14:textId="77777777" w:rsidR="005E3590" w:rsidRPr="005E3590" w:rsidRDefault="005E3590" w:rsidP="005E3590">
      <w:pPr>
        <w:ind w:left="-851"/>
      </w:pPr>
    </w:p>
    <w:p w14:paraId="7B4599FF" w14:textId="77777777" w:rsidR="005E3590" w:rsidRDefault="005E3590" w:rsidP="005E3590">
      <w:pPr>
        <w:ind w:left="-851" w:right="-613"/>
        <w:jc w:val="both"/>
        <w:rPr>
          <w:rFonts w:ascii="Arial" w:hAnsi="Arial" w:cs="Arial"/>
          <w:sz w:val="20"/>
          <w:szCs w:val="20"/>
        </w:rPr>
      </w:pPr>
    </w:p>
    <w:p w14:paraId="56C0539C" w14:textId="77777777" w:rsidR="002F5512" w:rsidRDefault="002F5512" w:rsidP="005E3590">
      <w:pPr>
        <w:ind w:left="-851" w:right="-613"/>
        <w:jc w:val="both"/>
        <w:rPr>
          <w:rFonts w:ascii="Arial" w:hAnsi="Arial" w:cs="Arial"/>
          <w:sz w:val="20"/>
          <w:szCs w:val="20"/>
        </w:rPr>
      </w:pPr>
    </w:p>
    <w:p w14:paraId="5E1C9C8C" w14:textId="77777777" w:rsidR="002F5512" w:rsidRDefault="002F5512" w:rsidP="005E3590">
      <w:pPr>
        <w:ind w:left="-851" w:right="-613"/>
        <w:jc w:val="both"/>
        <w:rPr>
          <w:rFonts w:ascii="Arial" w:hAnsi="Arial" w:cs="Arial"/>
          <w:sz w:val="20"/>
          <w:szCs w:val="20"/>
        </w:rPr>
      </w:pPr>
    </w:p>
    <w:p w14:paraId="3676C092" w14:textId="77777777" w:rsidR="0081732B" w:rsidRDefault="0081732B" w:rsidP="005E3590">
      <w:pPr>
        <w:ind w:left="-851" w:right="-613"/>
        <w:jc w:val="both"/>
        <w:rPr>
          <w:rFonts w:ascii="Arial" w:hAnsi="Arial" w:cs="Arial"/>
          <w:sz w:val="20"/>
          <w:szCs w:val="20"/>
        </w:rPr>
      </w:pPr>
    </w:p>
    <w:p w14:paraId="4A0C41F3" w14:textId="77777777" w:rsidR="0081732B" w:rsidRDefault="0081732B" w:rsidP="005E3590">
      <w:pPr>
        <w:ind w:left="-851" w:right="-613"/>
        <w:jc w:val="both"/>
        <w:rPr>
          <w:rFonts w:ascii="Arial" w:hAnsi="Arial" w:cs="Arial"/>
          <w:sz w:val="20"/>
          <w:szCs w:val="20"/>
        </w:rPr>
      </w:pPr>
    </w:p>
    <w:p w14:paraId="7AAB0D91" w14:textId="77777777" w:rsidR="0081732B" w:rsidRDefault="0081732B" w:rsidP="005E3590">
      <w:pPr>
        <w:ind w:left="-851" w:right="-613"/>
        <w:jc w:val="both"/>
        <w:rPr>
          <w:rFonts w:ascii="Arial" w:hAnsi="Arial" w:cs="Arial"/>
          <w:sz w:val="20"/>
          <w:szCs w:val="20"/>
        </w:rPr>
      </w:pPr>
    </w:p>
    <w:p w14:paraId="6A3D1142" w14:textId="77777777" w:rsidR="0081732B" w:rsidRDefault="0081732B" w:rsidP="005E3590">
      <w:pPr>
        <w:ind w:left="-851" w:right="-613"/>
        <w:jc w:val="both"/>
        <w:rPr>
          <w:rFonts w:ascii="Arial" w:hAnsi="Arial" w:cs="Arial"/>
          <w:sz w:val="20"/>
          <w:szCs w:val="20"/>
        </w:rPr>
      </w:pPr>
    </w:p>
    <w:p w14:paraId="05AACFAC" w14:textId="77777777" w:rsidR="0081732B" w:rsidRDefault="0081732B" w:rsidP="005E3590">
      <w:pPr>
        <w:ind w:left="-851" w:right="-613"/>
        <w:jc w:val="both"/>
        <w:rPr>
          <w:rFonts w:ascii="Arial" w:hAnsi="Arial" w:cs="Arial"/>
          <w:sz w:val="20"/>
          <w:szCs w:val="20"/>
        </w:rPr>
      </w:pPr>
    </w:p>
    <w:p w14:paraId="64A8B7E5" w14:textId="77777777" w:rsidR="002F5512" w:rsidRPr="005E3590" w:rsidRDefault="002F5512" w:rsidP="005E3590">
      <w:pPr>
        <w:ind w:left="-851" w:right="-613"/>
        <w:jc w:val="both"/>
        <w:rPr>
          <w:rFonts w:ascii="Arial" w:hAnsi="Arial" w:cs="Arial"/>
          <w:sz w:val="20"/>
          <w:szCs w:val="20"/>
        </w:rPr>
      </w:pPr>
    </w:p>
    <w:p w14:paraId="74D34E7C" w14:textId="6B817E16" w:rsidR="0038647B" w:rsidRDefault="0038647B" w:rsidP="00581196">
      <w:pPr>
        <w:pStyle w:val="Title"/>
        <w:ind w:left="-851"/>
        <w:jc w:val="both"/>
        <w:rPr>
          <w:rFonts w:eastAsia="Calibri"/>
          <w:b/>
          <w:bCs/>
          <w:sz w:val="50"/>
          <w:szCs w:val="50"/>
          <w:u w:val="single"/>
        </w:rPr>
      </w:pPr>
      <w:r w:rsidRPr="0038647B">
        <w:rPr>
          <w:rFonts w:eastAsia="Calibri"/>
          <w:b/>
          <w:bCs/>
          <w:sz w:val="50"/>
          <w:szCs w:val="50"/>
          <w:u w:val="single"/>
        </w:rPr>
        <w:lastRenderedPageBreak/>
        <w:t>Risk Management Analysis</w:t>
      </w:r>
    </w:p>
    <w:p w14:paraId="4081FB08" w14:textId="77777777" w:rsidR="0038647B" w:rsidRPr="0038647B" w:rsidRDefault="0038647B" w:rsidP="009A7DB0">
      <w:pPr>
        <w:ind w:right="-755"/>
        <w:jc w:val="both"/>
      </w:pPr>
    </w:p>
    <w:p w14:paraId="19D6CE86"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Key Risk Overview</w:t>
      </w:r>
    </w:p>
    <w:p w14:paraId="60BDBC93" w14:textId="77777777" w:rsidR="00C1649A" w:rsidRPr="00F23A97" w:rsidRDefault="00C1649A" w:rsidP="00C1649A">
      <w:pPr>
        <w:ind w:left="-851" w:right="120"/>
        <w:jc w:val="both"/>
        <w:rPr>
          <w:rFonts w:ascii="Arial" w:hAnsi="Arial" w:cs="Arial"/>
          <w:sz w:val="20"/>
          <w:szCs w:val="20"/>
        </w:rPr>
      </w:pPr>
      <w:r w:rsidRPr="00F23A97">
        <w:rPr>
          <w:rFonts w:ascii="Arial" w:hAnsi="Arial" w:cs="Arial"/>
          <w:sz w:val="20"/>
          <w:szCs w:val="20"/>
        </w:rPr>
        <w:t>Lyft operates in a highly competitive and fast-changing industry, facing operational, regulatory, and financial risks. While management has strategies to mitigate these, the inherent uncertainties of the business model require close monitoring.</w:t>
      </w:r>
    </w:p>
    <w:p w14:paraId="69F841B2" w14:textId="77777777" w:rsidR="00C1649A" w:rsidRPr="00C1649A" w:rsidRDefault="00C1649A" w:rsidP="00C1649A">
      <w:pPr>
        <w:ind w:left="-851" w:right="120"/>
        <w:jc w:val="both"/>
        <w:rPr>
          <w:rFonts w:ascii="Arial" w:hAnsi="Arial" w:cs="Arial"/>
          <w:b/>
          <w:bCs/>
          <w:sz w:val="20"/>
          <w:szCs w:val="20"/>
        </w:rPr>
      </w:pPr>
    </w:p>
    <w:p w14:paraId="73FD31E3"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Profitability and Business Model Risks</w:t>
      </w:r>
    </w:p>
    <w:p w14:paraId="536FC4B4" w14:textId="77777777" w:rsidR="00C1649A" w:rsidRPr="00F23A97" w:rsidRDefault="00C1649A" w:rsidP="00C1649A">
      <w:pPr>
        <w:ind w:left="-851" w:right="120"/>
        <w:jc w:val="both"/>
        <w:rPr>
          <w:rFonts w:ascii="Arial" w:hAnsi="Arial" w:cs="Arial"/>
          <w:sz w:val="20"/>
          <w:szCs w:val="20"/>
        </w:rPr>
      </w:pPr>
      <w:r w:rsidRPr="00F23A97">
        <w:rPr>
          <w:rFonts w:ascii="Arial" w:hAnsi="Arial" w:cs="Arial"/>
          <w:sz w:val="20"/>
          <w:szCs w:val="20"/>
        </w:rPr>
        <w:t>Lyft’s ability to sustain GAAP profitability remains uncertain. High dependence on balancing rider demand and driver incentives, combined with rising costs from newer, capital-intensive ventures (e.g., bikes, scooters, Express Drive), could pressure margins and cash flow.</w:t>
      </w:r>
    </w:p>
    <w:p w14:paraId="01DA1552" w14:textId="77777777" w:rsidR="00C1649A" w:rsidRPr="00C1649A" w:rsidRDefault="00C1649A" w:rsidP="00C1649A">
      <w:pPr>
        <w:ind w:left="-851" w:right="120"/>
        <w:jc w:val="both"/>
        <w:rPr>
          <w:rFonts w:ascii="Arial" w:hAnsi="Arial" w:cs="Arial"/>
          <w:b/>
          <w:bCs/>
          <w:sz w:val="20"/>
          <w:szCs w:val="20"/>
        </w:rPr>
      </w:pPr>
    </w:p>
    <w:p w14:paraId="26709BCB"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Competitive Pressures</w:t>
      </w:r>
    </w:p>
    <w:p w14:paraId="49158CA5" w14:textId="77777777" w:rsidR="00C1649A" w:rsidRPr="00F23A97" w:rsidRDefault="00C1649A" w:rsidP="00C1649A">
      <w:pPr>
        <w:ind w:left="-851" w:right="120"/>
        <w:jc w:val="both"/>
        <w:rPr>
          <w:rFonts w:ascii="Arial" w:hAnsi="Arial" w:cs="Arial"/>
          <w:sz w:val="20"/>
          <w:szCs w:val="20"/>
        </w:rPr>
      </w:pPr>
      <w:r w:rsidRPr="00F23A97">
        <w:rPr>
          <w:rFonts w:ascii="Arial" w:hAnsi="Arial" w:cs="Arial"/>
          <w:sz w:val="20"/>
          <w:szCs w:val="20"/>
        </w:rPr>
        <w:t>Competition from Uber and other mobility providers is intense. With low switching costs, both riders and drivers can easily move between platforms, forcing Lyft into pricing and incentive battles that threaten profitability and market share.</w:t>
      </w:r>
    </w:p>
    <w:p w14:paraId="5AC174E0" w14:textId="77777777" w:rsidR="00C1649A" w:rsidRPr="00C1649A" w:rsidRDefault="00C1649A" w:rsidP="00C1649A">
      <w:pPr>
        <w:ind w:left="-851" w:right="120"/>
        <w:jc w:val="both"/>
        <w:rPr>
          <w:rFonts w:ascii="Arial" w:hAnsi="Arial" w:cs="Arial"/>
          <w:b/>
          <w:bCs/>
          <w:sz w:val="20"/>
          <w:szCs w:val="20"/>
        </w:rPr>
      </w:pPr>
    </w:p>
    <w:p w14:paraId="4AAD9489"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Regulatory and Legal Risks</w:t>
      </w:r>
    </w:p>
    <w:p w14:paraId="1D65F84C" w14:textId="2B012CD0" w:rsidR="00C1649A" w:rsidRDefault="00C1649A" w:rsidP="00E878A9">
      <w:pPr>
        <w:ind w:left="-851" w:right="120"/>
        <w:jc w:val="both"/>
        <w:rPr>
          <w:rFonts w:ascii="Arial" w:hAnsi="Arial" w:cs="Arial"/>
          <w:sz w:val="20"/>
          <w:szCs w:val="20"/>
        </w:rPr>
      </w:pPr>
      <w:r w:rsidRPr="00F23A97">
        <w:rPr>
          <w:rFonts w:ascii="Arial" w:hAnsi="Arial" w:cs="Arial"/>
          <w:sz w:val="20"/>
          <w:szCs w:val="20"/>
        </w:rPr>
        <w:t>Driver classification remains Lyft’s most critical regulatory challenge. Any reclassification of drivers as employees would significantly increase costs and threaten the business model. Ongoing litigation and evolving regulatory frameworks on insurance, safety, and data privacy add further uncertainty.</w:t>
      </w:r>
    </w:p>
    <w:p w14:paraId="76EC6D59" w14:textId="77777777" w:rsidR="00E878A9" w:rsidRPr="00E878A9" w:rsidRDefault="00E878A9" w:rsidP="00E878A9">
      <w:pPr>
        <w:ind w:right="120"/>
        <w:jc w:val="both"/>
        <w:rPr>
          <w:rFonts w:ascii="Arial" w:hAnsi="Arial" w:cs="Arial"/>
          <w:sz w:val="20"/>
          <w:szCs w:val="20"/>
        </w:rPr>
      </w:pPr>
    </w:p>
    <w:p w14:paraId="6BF33E12"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Financial and Execution Risks</w:t>
      </w:r>
    </w:p>
    <w:p w14:paraId="0925EA40" w14:textId="6DA1252F" w:rsidR="009A7DB0" w:rsidRPr="00F23A97" w:rsidRDefault="00C1649A" w:rsidP="00C1649A">
      <w:pPr>
        <w:ind w:left="-851" w:right="120"/>
        <w:jc w:val="both"/>
        <w:rPr>
          <w:rFonts w:ascii="Arial" w:hAnsi="Arial" w:cs="Arial"/>
          <w:sz w:val="20"/>
          <w:szCs w:val="20"/>
        </w:rPr>
      </w:pPr>
      <w:r w:rsidRPr="00F23A97">
        <w:rPr>
          <w:rFonts w:ascii="Arial" w:hAnsi="Arial" w:cs="Arial"/>
          <w:sz w:val="20"/>
          <w:szCs w:val="20"/>
        </w:rPr>
        <w:t>While Lyft maintains a net cash position, convertible debt obligations require disciplined cash flow management. New initiatives, such as Lyft Media and autonomous vehicle partnerships, carry high execution risks. Broader macroeconomic downturns or shocks could also reduce rider demand.</w:t>
      </w:r>
    </w:p>
    <w:p w14:paraId="0567FA5D" w14:textId="77777777" w:rsidR="009A7DB0" w:rsidRDefault="009A7DB0" w:rsidP="009A7DB0">
      <w:pPr>
        <w:ind w:left="-851" w:right="-755"/>
        <w:jc w:val="both"/>
        <w:rPr>
          <w:rFonts w:ascii="Arial" w:hAnsi="Arial" w:cs="Arial"/>
          <w:sz w:val="20"/>
          <w:szCs w:val="20"/>
        </w:rPr>
      </w:pPr>
    </w:p>
    <w:p w14:paraId="4CF7BEFF" w14:textId="4027A43F" w:rsidR="009A7DB0" w:rsidRDefault="009A7DB0" w:rsidP="009A7DB0">
      <w:pPr>
        <w:pStyle w:val="Title"/>
        <w:ind w:left="-851"/>
        <w:jc w:val="both"/>
        <w:rPr>
          <w:rFonts w:eastAsia="Calibri"/>
          <w:b/>
          <w:bCs/>
          <w:sz w:val="50"/>
          <w:szCs w:val="50"/>
          <w:u w:val="single"/>
        </w:rPr>
      </w:pPr>
      <w:r w:rsidRPr="0038647B">
        <w:rPr>
          <w:rFonts w:eastAsia="Calibri"/>
          <w:b/>
          <w:bCs/>
          <w:sz w:val="50"/>
          <w:szCs w:val="50"/>
          <w:u w:val="single"/>
        </w:rPr>
        <w:t>R</w:t>
      </w:r>
      <w:r>
        <w:rPr>
          <w:rFonts w:eastAsia="Calibri"/>
          <w:b/>
          <w:bCs/>
          <w:sz w:val="50"/>
          <w:szCs w:val="50"/>
          <w:u w:val="single"/>
        </w:rPr>
        <w:t>ecommendations</w:t>
      </w:r>
    </w:p>
    <w:p w14:paraId="71EBC8D6" w14:textId="77777777" w:rsidR="009A7DB0" w:rsidRDefault="009A7DB0" w:rsidP="00823CD2">
      <w:pPr>
        <w:ind w:right="-755"/>
        <w:jc w:val="both"/>
        <w:rPr>
          <w:rFonts w:ascii="Arial" w:hAnsi="Arial" w:cs="Arial"/>
          <w:sz w:val="20"/>
          <w:szCs w:val="20"/>
        </w:rPr>
      </w:pPr>
    </w:p>
    <w:p w14:paraId="7628C42C" w14:textId="77777777" w:rsidR="009A7DB0" w:rsidRPr="00067514" w:rsidRDefault="009A7DB0" w:rsidP="009A7DB0">
      <w:pPr>
        <w:ind w:left="-851" w:right="-755"/>
        <w:jc w:val="both"/>
        <w:rPr>
          <w:rFonts w:ascii="Arial" w:hAnsi="Arial" w:cs="Arial"/>
          <w:b/>
          <w:bCs/>
          <w:sz w:val="20"/>
          <w:szCs w:val="20"/>
          <w:highlight w:val="yellow"/>
        </w:rPr>
      </w:pPr>
      <w:r w:rsidRPr="00067514">
        <w:rPr>
          <w:rFonts w:ascii="Arial" w:hAnsi="Arial" w:cs="Arial"/>
          <w:b/>
          <w:bCs/>
          <w:sz w:val="20"/>
          <w:szCs w:val="20"/>
          <w:highlight w:val="yellow"/>
        </w:rPr>
        <w:t xml:space="preserve">Investment Rating: </w:t>
      </w:r>
      <w:r w:rsidRPr="00067514">
        <w:rPr>
          <w:rFonts w:ascii="Arial" w:hAnsi="Arial" w:cs="Arial"/>
          <w:sz w:val="20"/>
          <w:szCs w:val="20"/>
          <w:highlight w:val="yellow"/>
        </w:rPr>
        <w:t>Buy</w:t>
      </w:r>
    </w:p>
    <w:p w14:paraId="7ED54510" w14:textId="1EB10C99" w:rsidR="00D17081" w:rsidRPr="00067514" w:rsidRDefault="00D17081" w:rsidP="009A7DB0">
      <w:pPr>
        <w:ind w:left="-851" w:right="-755"/>
        <w:jc w:val="both"/>
        <w:rPr>
          <w:rFonts w:ascii="Arial" w:hAnsi="Arial" w:cs="Arial"/>
          <w:sz w:val="20"/>
          <w:szCs w:val="20"/>
          <w:highlight w:val="yellow"/>
        </w:rPr>
      </w:pPr>
      <w:r w:rsidRPr="00067514">
        <w:rPr>
          <w:rFonts w:ascii="Arial" w:hAnsi="Arial" w:cs="Arial"/>
          <w:b/>
          <w:bCs/>
          <w:sz w:val="20"/>
          <w:szCs w:val="20"/>
          <w:highlight w:val="yellow"/>
        </w:rPr>
        <w:t xml:space="preserve">Entry Price: </w:t>
      </w:r>
      <w:r w:rsidRPr="00067514">
        <w:rPr>
          <w:rFonts w:ascii="Arial" w:hAnsi="Arial" w:cs="Arial"/>
          <w:sz w:val="20"/>
          <w:szCs w:val="20"/>
          <w:highlight w:val="yellow"/>
        </w:rPr>
        <w:t>$91 - $92</w:t>
      </w:r>
    </w:p>
    <w:p w14:paraId="595E2391" w14:textId="6C28EE30" w:rsidR="009A7DB0" w:rsidRPr="00067514" w:rsidRDefault="007F724C" w:rsidP="009A7DB0">
      <w:pPr>
        <w:ind w:left="-851" w:right="-755"/>
        <w:jc w:val="both"/>
        <w:rPr>
          <w:rFonts w:ascii="Arial" w:hAnsi="Arial" w:cs="Arial"/>
          <w:sz w:val="20"/>
          <w:szCs w:val="20"/>
          <w:highlight w:val="yellow"/>
        </w:rPr>
      </w:pPr>
      <w:r w:rsidRPr="00067514">
        <w:rPr>
          <w:rFonts w:ascii="Arial" w:hAnsi="Arial" w:cs="Arial"/>
          <w:b/>
          <w:bCs/>
          <w:sz w:val="20"/>
          <w:szCs w:val="20"/>
          <w:highlight w:val="yellow"/>
        </w:rPr>
        <w:t xml:space="preserve">Exit </w:t>
      </w:r>
      <w:r w:rsidR="009A7DB0" w:rsidRPr="00067514">
        <w:rPr>
          <w:rFonts w:ascii="Arial" w:hAnsi="Arial" w:cs="Arial"/>
          <w:b/>
          <w:bCs/>
          <w:sz w:val="20"/>
          <w:szCs w:val="20"/>
          <w:highlight w:val="yellow"/>
        </w:rPr>
        <w:t xml:space="preserve">Target Price: </w:t>
      </w:r>
      <w:r w:rsidR="009A7DB0" w:rsidRPr="00067514">
        <w:rPr>
          <w:rFonts w:ascii="Arial" w:hAnsi="Arial" w:cs="Arial"/>
          <w:sz w:val="20"/>
          <w:szCs w:val="20"/>
          <w:highlight w:val="yellow"/>
        </w:rPr>
        <w:t>$</w:t>
      </w:r>
      <w:r w:rsidR="00D17081" w:rsidRPr="00067514">
        <w:rPr>
          <w:spacing w:val="-4"/>
          <w:sz w:val="20"/>
          <w:szCs w:val="20"/>
          <w:highlight w:val="yellow"/>
        </w:rPr>
        <w:t>145,46</w:t>
      </w:r>
    </w:p>
    <w:p w14:paraId="72008354" w14:textId="78BAB634" w:rsidR="009A7DB0" w:rsidRPr="00067514" w:rsidRDefault="009A7DB0" w:rsidP="009A7DB0">
      <w:pPr>
        <w:ind w:left="-851" w:right="-755"/>
        <w:jc w:val="both"/>
        <w:rPr>
          <w:rFonts w:ascii="Arial" w:hAnsi="Arial" w:cs="Arial"/>
          <w:sz w:val="20"/>
          <w:szCs w:val="20"/>
          <w:highlight w:val="yellow"/>
        </w:rPr>
      </w:pPr>
      <w:r w:rsidRPr="00067514">
        <w:rPr>
          <w:rFonts w:ascii="Arial" w:hAnsi="Arial" w:cs="Arial"/>
          <w:b/>
          <w:bCs/>
          <w:sz w:val="20"/>
          <w:szCs w:val="20"/>
          <w:highlight w:val="yellow"/>
        </w:rPr>
        <w:t>Current Price (</w:t>
      </w:r>
      <w:r w:rsidR="00F6220F" w:rsidRPr="00067514">
        <w:rPr>
          <w:rFonts w:ascii="Arial" w:hAnsi="Arial" w:cs="Arial"/>
          <w:b/>
          <w:bCs/>
          <w:sz w:val="20"/>
          <w:szCs w:val="20"/>
          <w:highlight w:val="yellow"/>
        </w:rPr>
        <w:t xml:space="preserve">August </w:t>
      </w:r>
      <w:r w:rsidRPr="00067514">
        <w:rPr>
          <w:rFonts w:ascii="Arial" w:hAnsi="Arial" w:cs="Arial"/>
          <w:b/>
          <w:bCs/>
          <w:sz w:val="20"/>
          <w:szCs w:val="20"/>
          <w:highlight w:val="yellow"/>
        </w:rPr>
        <w:t xml:space="preserve">2025): </w:t>
      </w:r>
      <w:r w:rsidRPr="00067514">
        <w:rPr>
          <w:rFonts w:ascii="Arial" w:hAnsi="Arial" w:cs="Arial"/>
          <w:sz w:val="20"/>
          <w:szCs w:val="20"/>
          <w:highlight w:val="yellow"/>
        </w:rPr>
        <w:t>$</w:t>
      </w:r>
      <w:r w:rsidR="00F6220F" w:rsidRPr="00067514">
        <w:rPr>
          <w:rFonts w:ascii="Arial" w:hAnsi="Arial" w:cs="Arial"/>
          <w:sz w:val="20"/>
          <w:szCs w:val="20"/>
          <w:highlight w:val="yellow"/>
        </w:rPr>
        <w:t>95.62</w:t>
      </w:r>
    </w:p>
    <w:p w14:paraId="620735A5" w14:textId="1FFCAD9B" w:rsidR="009A7DB0" w:rsidRPr="00067514" w:rsidRDefault="009A7DB0" w:rsidP="009A7DB0">
      <w:pPr>
        <w:ind w:left="-851" w:right="-755"/>
        <w:jc w:val="both"/>
        <w:rPr>
          <w:rFonts w:ascii="Arial" w:hAnsi="Arial" w:cs="Arial"/>
          <w:sz w:val="20"/>
          <w:szCs w:val="20"/>
          <w:highlight w:val="yellow"/>
        </w:rPr>
      </w:pPr>
      <w:r w:rsidRPr="00067514">
        <w:rPr>
          <w:rFonts w:ascii="Arial" w:hAnsi="Arial" w:cs="Arial"/>
          <w:b/>
          <w:bCs/>
          <w:sz w:val="20"/>
          <w:szCs w:val="20"/>
          <w:highlight w:val="yellow"/>
        </w:rPr>
        <w:t>Implied Upside: ~</w:t>
      </w:r>
      <w:r w:rsidR="00480261" w:rsidRPr="00067514">
        <w:rPr>
          <w:rFonts w:ascii="Arial" w:hAnsi="Arial" w:cs="Arial"/>
          <w:sz w:val="20"/>
          <w:szCs w:val="20"/>
          <w:highlight w:val="yellow"/>
        </w:rPr>
        <w:t>58,11</w:t>
      </w:r>
      <w:r w:rsidRPr="00067514">
        <w:rPr>
          <w:rFonts w:ascii="Arial" w:hAnsi="Arial" w:cs="Arial"/>
          <w:sz w:val="20"/>
          <w:szCs w:val="20"/>
          <w:highlight w:val="yellow"/>
        </w:rPr>
        <w:t>%</w:t>
      </w:r>
    </w:p>
    <w:p w14:paraId="49A1D993" w14:textId="23C71BAC" w:rsidR="009A7DB0" w:rsidRPr="009A7DB0" w:rsidRDefault="009A7DB0" w:rsidP="00C72653">
      <w:pPr>
        <w:ind w:left="-851" w:right="-22"/>
        <w:jc w:val="both"/>
        <w:rPr>
          <w:rFonts w:ascii="Arial" w:hAnsi="Arial" w:cs="Arial"/>
          <w:sz w:val="20"/>
          <w:szCs w:val="20"/>
        </w:rPr>
      </w:pPr>
      <w:r w:rsidRPr="00067514">
        <w:rPr>
          <w:rFonts w:ascii="Arial" w:hAnsi="Arial" w:cs="Arial"/>
          <w:sz w:val="20"/>
          <w:szCs w:val="20"/>
          <w:highlight w:val="yellow"/>
        </w:rPr>
        <w:t xml:space="preserve">Based on comprehensive valuation and financial analysis, I recommend a Buy rating for </w:t>
      </w:r>
      <w:r w:rsidR="006D5EAD" w:rsidRPr="00067514">
        <w:rPr>
          <w:rFonts w:ascii="Arial" w:hAnsi="Arial" w:cs="Arial"/>
          <w:i/>
          <w:iCs/>
          <w:sz w:val="20"/>
          <w:szCs w:val="20"/>
          <w:highlight w:val="yellow"/>
        </w:rPr>
        <w:t>NASDAQ</w:t>
      </w:r>
      <w:r w:rsidRPr="00067514">
        <w:rPr>
          <w:rFonts w:ascii="Arial" w:hAnsi="Arial" w:cs="Arial"/>
          <w:i/>
          <w:iCs/>
          <w:sz w:val="20"/>
          <w:szCs w:val="20"/>
          <w:highlight w:val="yellow"/>
        </w:rPr>
        <w:t>, Inc.</w:t>
      </w:r>
      <w:r w:rsidRPr="00067514">
        <w:rPr>
          <w:rFonts w:ascii="Arial" w:hAnsi="Arial" w:cs="Arial"/>
          <w:sz w:val="20"/>
          <w:szCs w:val="20"/>
          <w:highlight w:val="yellow"/>
        </w:rPr>
        <w:t xml:space="preserve"> (N</w:t>
      </w:r>
      <w:r w:rsidR="002E1CFB" w:rsidRPr="00067514">
        <w:rPr>
          <w:rFonts w:ascii="Arial" w:hAnsi="Arial" w:cs="Arial"/>
          <w:sz w:val="20"/>
          <w:szCs w:val="20"/>
          <w:highlight w:val="yellow"/>
        </w:rPr>
        <w:t>ASDAQ</w:t>
      </w:r>
      <w:r w:rsidRPr="00067514">
        <w:rPr>
          <w:rFonts w:ascii="Arial" w:hAnsi="Arial" w:cs="Arial"/>
          <w:sz w:val="20"/>
          <w:szCs w:val="20"/>
          <w:highlight w:val="yellow"/>
        </w:rPr>
        <w:t xml:space="preserve">: </w:t>
      </w:r>
      <w:r w:rsidR="002E1CFB" w:rsidRPr="00067514">
        <w:rPr>
          <w:rFonts w:ascii="Arial" w:hAnsi="Arial" w:cs="Arial"/>
          <w:sz w:val="20"/>
          <w:szCs w:val="20"/>
          <w:highlight w:val="yellow"/>
        </w:rPr>
        <w:t>NDAQ</w:t>
      </w:r>
      <w:r w:rsidRPr="00067514">
        <w:rPr>
          <w:rFonts w:ascii="Arial" w:hAnsi="Arial" w:cs="Arial"/>
          <w:sz w:val="20"/>
          <w:szCs w:val="20"/>
          <w:highlight w:val="yellow"/>
        </w:rPr>
        <w:t xml:space="preserve">). The stock presents a compelling investment opportunity driven by strong fundamentals, </w:t>
      </w:r>
      <w:proofErr w:type="spellStart"/>
      <w:r w:rsidRPr="00067514">
        <w:rPr>
          <w:rFonts w:ascii="Arial" w:hAnsi="Arial" w:cs="Arial"/>
          <w:sz w:val="20"/>
          <w:szCs w:val="20"/>
          <w:highlight w:val="yellow"/>
        </w:rPr>
        <w:t>favorable</w:t>
      </w:r>
      <w:proofErr w:type="spellEnd"/>
      <w:r w:rsidRPr="00067514">
        <w:rPr>
          <w:rFonts w:ascii="Arial" w:hAnsi="Arial" w:cs="Arial"/>
          <w:sz w:val="20"/>
          <w:szCs w:val="20"/>
          <w:highlight w:val="yellow"/>
        </w:rPr>
        <w:t xml:space="preserve"> valuation, resilient earnings capacity, and upside technical positioning.</w:t>
      </w:r>
    </w:p>
    <w:p w14:paraId="6371C927" w14:textId="77777777" w:rsidR="009A7DB0" w:rsidRPr="0038647B" w:rsidRDefault="009A7DB0" w:rsidP="009A7DB0">
      <w:pPr>
        <w:ind w:left="-851" w:right="-755"/>
        <w:jc w:val="both"/>
        <w:rPr>
          <w:rFonts w:ascii="Arial" w:hAnsi="Arial" w:cs="Arial"/>
          <w:sz w:val="20"/>
          <w:szCs w:val="20"/>
        </w:rPr>
      </w:pPr>
    </w:p>
    <w:p w14:paraId="3B16BB7D" w14:textId="77777777" w:rsidR="0038647B" w:rsidRPr="0038647B" w:rsidRDefault="0038647B" w:rsidP="00581196">
      <w:pPr>
        <w:ind w:left="-851"/>
        <w:jc w:val="both"/>
      </w:pPr>
    </w:p>
    <w:p w14:paraId="32B68518" w14:textId="6976EF85" w:rsidR="0038647B" w:rsidRPr="0038647B" w:rsidRDefault="0038647B" w:rsidP="00581196">
      <w:pPr>
        <w:pStyle w:val="Title"/>
        <w:ind w:left="-851"/>
        <w:jc w:val="both"/>
        <w:rPr>
          <w:rFonts w:eastAsia="Calibri"/>
          <w:b/>
          <w:bCs/>
          <w:sz w:val="50"/>
          <w:szCs w:val="50"/>
          <w:u w:val="single"/>
          <w:lang w:val="en-US"/>
        </w:rPr>
      </w:pPr>
    </w:p>
    <w:p w14:paraId="22B9112B" w14:textId="1F1CB82C" w:rsidR="0038647B" w:rsidRPr="00541289" w:rsidRDefault="0038647B" w:rsidP="00581196">
      <w:pPr>
        <w:ind w:left="-851" w:right="-613"/>
        <w:jc w:val="both"/>
        <w:rPr>
          <w:rFonts w:ascii="Arial" w:hAnsi="Arial" w:cs="Arial"/>
          <w:sz w:val="20"/>
          <w:szCs w:val="20"/>
          <w:lang w:val="en-US"/>
        </w:rPr>
      </w:pPr>
    </w:p>
    <w:sectPr w:rsidR="0038647B" w:rsidRPr="00541289" w:rsidSect="00820728">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A2758" w14:textId="77777777" w:rsidR="00624726" w:rsidRDefault="00624726" w:rsidP="00AD687E">
      <w:pPr>
        <w:spacing w:after="0" w:line="240" w:lineRule="auto"/>
      </w:pPr>
      <w:r>
        <w:separator/>
      </w:r>
    </w:p>
  </w:endnote>
  <w:endnote w:type="continuationSeparator" w:id="0">
    <w:p w14:paraId="457BFA18" w14:textId="77777777" w:rsidR="00624726" w:rsidRDefault="00624726" w:rsidP="00AD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A695E" w14:textId="77777777" w:rsidR="00624726" w:rsidRDefault="00624726" w:rsidP="00AD687E">
      <w:pPr>
        <w:spacing w:after="0" w:line="240" w:lineRule="auto"/>
      </w:pPr>
      <w:r>
        <w:separator/>
      </w:r>
    </w:p>
  </w:footnote>
  <w:footnote w:type="continuationSeparator" w:id="0">
    <w:p w14:paraId="12389A15" w14:textId="77777777" w:rsidR="00624726" w:rsidRDefault="00624726" w:rsidP="00AD6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71A"/>
    <w:multiLevelType w:val="multilevel"/>
    <w:tmpl w:val="E58E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D02F3"/>
    <w:multiLevelType w:val="multilevel"/>
    <w:tmpl w:val="94AE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B7A44"/>
    <w:multiLevelType w:val="hybridMultilevel"/>
    <w:tmpl w:val="A8ECE4EC"/>
    <w:lvl w:ilvl="0" w:tplc="1C090001">
      <w:start w:val="1"/>
      <w:numFmt w:val="bullet"/>
      <w:lvlText w:val=""/>
      <w:lvlJc w:val="left"/>
      <w:pPr>
        <w:ind w:left="-131" w:hanging="360"/>
      </w:pPr>
      <w:rPr>
        <w:rFonts w:ascii="Symbol" w:hAnsi="Symbol" w:hint="default"/>
      </w:rPr>
    </w:lvl>
    <w:lvl w:ilvl="1" w:tplc="1C090003" w:tentative="1">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3" w15:restartNumberingAfterBreak="0">
    <w:nsid w:val="11CF54FE"/>
    <w:multiLevelType w:val="multilevel"/>
    <w:tmpl w:val="9FAC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74DA0"/>
    <w:multiLevelType w:val="hybridMultilevel"/>
    <w:tmpl w:val="5B52BD90"/>
    <w:lvl w:ilvl="0" w:tplc="1C090001">
      <w:start w:val="1"/>
      <w:numFmt w:val="bullet"/>
      <w:lvlText w:val=""/>
      <w:lvlJc w:val="left"/>
      <w:pPr>
        <w:ind w:left="-131" w:hanging="360"/>
      </w:pPr>
      <w:rPr>
        <w:rFonts w:ascii="Symbol" w:hAnsi="Symbol" w:hint="default"/>
      </w:rPr>
    </w:lvl>
    <w:lvl w:ilvl="1" w:tplc="1C090003">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5" w15:restartNumberingAfterBreak="0">
    <w:nsid w:val="1C5236D7"/>
    <w:multiLevelType w:val="multilevel"/>
    <w:tmpl w:val="4E4A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83493B"/>
    <w:multiLevelType w:val="multilevel"/>
    <w:tmpl w:val="583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AA5EE0"/>
    <w:multiLevelType w:val="multilevel"/>
    <w:tmpl w:val="F436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27D9B"/>
    <w:multiLevelType w:val="hybridMultilevel"/>
    <w:tmpl w:val="FECEAA2A"/>
    <w:lvl w:ilvl="0" w:tplc="1C090001">
      <w:start w:val="1"/>
      <w:numFmt w:val="bullet"/>
      <w:lvlText w:val=""/>
      <w:lvlJc w:val="left"/>
      <w:pPr>
        <w:ind w:left="153" w:hanging="360"/>
      </w:pPr>
      <w:rPr>
        <w:rFonts w:ascii="Symbol" w:hAnsi="Symbol" w:hint="default"/>
      </w:rPr>
    </w:lvl>
    <w:lvl w:ilvl="1" w:tplc="1C090003" w:tentative="1">
      <w:start w:val="1"/>
      <w:numFmt w:val="bullet"/>
      <w:lvlText w:val="o"/>
      <w:lvlJc w:val="left"/>
      <w:pPr>
        <w:ind w:left="873" w:hanging="360"/>
      </w:pPr>
      <w:rPr>
        <w:rFonts w:ascii="Courier New" w:hAnsi="Courier New" w:cs="Courier New" w:hint="default"/>
      </w:rPr>
    </w:lvl>
    <w:lvl w:ilvl="2" w:tplc="1C090005" w:tentative="1">
      <w:start w:val="1"/>
      <w:numFmt w:val="bullet"/>
      <w:lvlText w:val=""/>
      <w:lvlJc w:val="left"/>
      <w:pPr>
        <w:ind w:left="1593" w:hanging="360"/>
      </w:pPr>
      <w:rPr>
        <w:rFonts w:ascii="Wingdings" w:hAnsi="Wingdings" w:hint="default"/>
      </w:rPr>
    </w:lvl>
    <w:lvl w:ilvl="3" w:tplc="1C090001" w:tentative="1">
      <w:start w:val="1"/>
      <w:numFmt w:val="bullet"/>
      <w:lvlText w:val=""/>
      <w:lvlJc w:val="left"/>
      <w:pPr>
        <w:ind w:left="2313" w:hanging="360"/>
      </w:pPr>
      <w:rPr>
        <w:rFonts w:ascii="Symbol" w:hAnsi="Symbol" w:hint="default"/>
      </w:rPr>
    </w:lvl>
    <w:lvl w:ilvl="4" w:tplc="1C090003" w:tentative="1">
      <w:start w:val="1"/>
      <w:numFmt w:val="bullet"/>
      <w:lvlText w:val="o"/>
      <w:lvlJc w:val="left"/>
      <w:pPr>
        <w:ind w:left="3033" w:hanging="360"/>
      </w:pPr>
      <w:rPr>
        <w:rFonts w:ascii="Courier New" w:hAnsi="Courier New" w:cs="Courier New" w:hint="default"/>
      </w:rPr>
    </w:lvl>
    <w:lvl w:ilvl="5" w:tplc="1C090005" w:tentative="1">
      <w:start w:val="1"/>
      <w:numFmt w:val="bullet"/>
      <w:lvlText w:val=""/>
      <w:lvlJc w:val="left"/>
      <w:pPr>
        <w:ind w:left="3753" w:hanging="360"/>
      </w:pPr>
      <w:rPr>
        <w:rFonts w:ascii="Wingdings" w:hAnsi="Wingdings" w:hint="default"/>
      </w:rPr>
    </w:lvl>
    <w:lvl w:ilvl="6" w:tplc="1C090001" w:tentative="1">
      <w:start w:val="1"/>
      <w:numFmt w:val="bullet"/>
      <w:lvlText w:val=""/>
      <w:lvlJc w:val="left"/>
      <w:pPr>
        <w:ind w:left="4473" w:hanging="360"/>
      </w:pPr>
      <w:rPr>
        <w:rFonts w:ascii="Symbol" w:hAnsi="Symbol" w:hint="default"/>
      </w:rPr>
    </w:lvl>
    <w:lvl w:ilvl="7" w:tplc="1C090003" w:tentative="1">
      <w:start w:val="1"/>
      <w:numFmt w:val="bullet"/>
      <w:lvlText w:val="o"/>
      <w:lvlJc w:val="left"/>
      <w:pPr>
        <w:ind w:left="5193" w:hanging="360"/>
      </w:pPr>
      <w:rPr>
        <w:rFonts w:ascii="Courier New" w:hAnsi="Courier New" w:cs="Courier New" w:hint="default"/>
      </w:rPr>
    </w:lvl>
    <w:lvl w:ilvl="8" w:tplc="1C090005" w:tentative="1">
      <w:start w:val="1"/>
      <w:numFmt w:val="bullet"/>
      <w:lvlText w:val=""/>
      <w:lvlJc w:val="left"/>
      <w:pPr>
        <w:ind w:left="5913" w:hanging="360"/>
      </w:pPr>
      <w:rPr>
        <w:rFonts w:ascii="Wingdings" w:hAnsi="Wingdings" w:hint="default"/>
      </w:rPr>
    </w:lvl>
  </w:abstractNum>
  <w:abstractNum w:abstractNumId="9" w15:restartNumberingAfterBreak="0">
    <w:nsid w:val="6AD83FCC"/>
    <w:multiLevelType w:val="hybridMultilevel"/>
    <w:tmpl w:val="B2866C56"/>
    <w:lvl w:ilvl="0" w:tplc="1C090001">
      <w:start w:val="1"/>
      <w:numFmt w:val="bullet"/>
      <w:lvlText w:val=""/>
      <w:lvlJc w:val="left"/>
      <w:pPr>
        <w:ind w:left="-131" w:hanging="360"/>
      </w:pPr>
      <w:rPr>
        <w:rFonts w:ascii="Symbol" w:hAnsi="Symbol" w:hint="default"/>
        <w:b w:val="0"/>
        <w:bCs w:val="0"/>
        <w:i w:val="0"/>
        <w:iCs w:val="0"/>
        <w:color w:val="003868"/>
        <w:spacing w:val="0"/>
        <w:w w:val="98"/>
        <w:sz w:val="19"/>
        <w:szCs w:val="19"/>
        <w:lang w:val="en-US" w:eastAsia="en-US" w:bidi="ar-SA"/>
      </w:rPr>
    </w:lvl>
    <w:lvl w:ilvl="1" w:tplc="1C090003">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10" w15:restartNumberingAfterBreak="0">
    <w:nsid w:val="741B6FAC"/>
    <w:multiLevelType w:val="multilevel"/>
    <w:tmpl w:val="BD2A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E789E"/>
    <w:multiLevelType w:val="hybridMultilevel"/>
    <w:tmpl w:val="22C2C398"/>
    <w:lvl w:ilvl="0" w:tplc="1C090001">
      <w:start w:val="1"/>
      <w:numFmt w:val="bullet"/>
      <w:lvlText w:val=""/>
      <w:lvlJc w:val="left"/>
      <w:pPr>
        <w:ind w:left="153" w:hanging="360"/>
      </w:pPr>
      <w:rPr>
        <w:rFonts w:ascii="Symbol" w:hAnsi="Symbol" w:hint="default"/>
      </w:rPr>
    </w:lvl>
    <w:lvl w:ilvl="1" w:tplc="1C090003" w:tentative="1">
      <w:start w:val="1"/>
      <w:numFmt w:val="bullet"/>
      <w:lvlText w:val="o"/>
      <w:lvlJc w:val="left"/>
      <w:pPr>
        <w:ind w:left="873" w:hanging="360"/>
      </w:pPr>
      <w:rPr>
        <w:rFonts w:ascii="Courier New" w:hAnsi="Courier New" w:cs="Courier New" w:hint="default"/>
      </w:rPr>
    </w:lvl>
    <w:lvl w:ilvl="2" w:tplc="1C090005" w:tentative="1">
      <w:start w:val="1"/>
      <w:numFmt w:val="bullet"/>
      <w:lvlText w:val=""/>
      <w:lvlJc w:val="left"/>
      <w:pPr>
        <w:ind w:left="1593" w:hanging="360"/>
      </w:pPr>
      <w:rPr>
        <w:rFonts w:ascii="Wingdings" w:hAnsi="Wingdings" w:hint="default"/>
      </w:rPr>
    </w:lvl>
    <w:lvl w:ilvl="3" w:tplc="1C090001" w:tentative="1">
      <w:start w:val="1"/>
      <w:numFmt w:val="bullet"/>
      <w:lvlText w:val=""/>
      <w:lvlJc w:val="left"/>
      <w:pPr>
        <w:ind w:left="2313" w:hanging="360"/>
      </w:pPr>
      <w:rPr>
        <w:rFonts w:ascii="Symbol" w:hAnsi="Symbol" w:hint="default"/>
      </w:rPr>
    </w:lvl>
    <w:lvl w:ilvl="4" w:tplc="1C090003" w:tentative="1">
      <w:start w:val="1"/>
      <w:numFmt w:val="bullet"/>
      <w:lvlText w:val="o"/>
      <w:lvlJc w:val="left"/>
      <w:pPr>
        <w:ind w:left="3033" w:hanging="360"/>
      </w:pPr>
      <w:rPr>
        <w:rFonts w:ascii="Courier New" w:hAnsi="Courier New" w:cs="Courier New" w:hint="default"/>
      </w:rPr>
    </w:lvl>
    <w:lvl w:ilvl="5" w:tplc="1C090005" w:tentative="1">
      <w:start w:val="1"/>
      <w:numFmt w:val="bullet"/>
      <w:lvlText w:val=""/>
      <w:lvlJc w:val="left"/>
      <w:pPr>
        <w:ind w:left="3753" w:hanging="360"/>
      </w:pPr>
      <w:rPr>
        <w:rFonts w:ascii="Wingdings" w:hAnsi="Wingdings" w:hint="default"/>
      </w:rPr>
    </w:lvl>
    <w:lvl w:ilvl="6" w:tplc="1C090001" w:tentative="1">
      <w:start w:val="1"/>
      <w:numFmt w:val="bullet"/>
      <w:lvlText w:val=""/>
      <w:lvlJc w:val="left"/>
      <w:pPr>
        <w:ind w:left="4473" w:hanging="360"/>
      </w:pPr>
      <w:rPr>
        <w:rFonts w:ascii="Symbol" w:hAnsi="Symbol" w:hint="default"/>
      </w:rPr>
    </w:lvl>
    <w:lvl w:ilvl="7" w:tplc="1C090003" w:tentative="1">
      <w:start w:val="1"/>
      <w:numFmt w:val="bullet"/>
      <w:lvlText w:val="o"/>
      <w:lvlJc w:val="left"/>
      <w:pPr>
        <w:ind w:left="5193" w:hanging="360"/>
      </w:pPr>
      <w:rPr>
        <w:rFonts w:ascii="Courier New" w:hAnsi="Courier New" w:cs="Courier New" w:hint="default"/>
      </w:rPr>
    </w:lvl>
    <w:lvl w:ilvl="8" w:tplc="1C090005" w:tentative="1">
      <w:start w:val="1"/>
      <w:numFmt w:val="bullet"/>
      <w:lvlText w:val=""/>
      <w:lvlJc w:val="left"/>
      <w:pPr>
        <w:ind w:left="5913" w:hanging="360"/>
      </w:pPr>
      <w:rPr>
        <w:rFonts w:ascii="Wingdings" w:hAnsi="Wingdings" w:hint="default"/>
      </w:rPr>
    </w:lvl>
  </w:abstractNum>
  <w:abstractNum w:abstractNumId="12" w15:restartNumberingAfterBreak="0">
    <w:nsid w:val="7B1F2A5A"/>
    <w:multiLevelType w:val="hybridMultilevel"/>
    <w:tmpl w:val="0F2EBC66"/>
    <w:lvl w:ilvl="0" w:tplc="1C090001">
      <w:start w:val="1"/>
      <w:numFmt w:val="bullet"/>
      <w:lvlText w:val=""/>
      <w:lvlJc w:val="left"/>
      <w:pPr>
        <w:ind w:left="-273" w:hanging="360"/>
      </w:pPr>
      <w:rPr>
        <w:rFonts w:ascii="Symbol" w:hAnsi="Symbol" w:hint="default"/>
      </w:rPr>
    </w:lvl>
    <w:lvl w:ilvl="1" w:tplc="1C090003" w:tentative="1">
      <w:start w:val="1"/>
      <w:numFmt w:val="bullet"/>
      <w:lvlText w:val="o"/>
      <w:lvlJc w:val="left"/>
      <w:pPr>
        <w:ind w:left="447" w:hanging="360"/>
      </w:pPr>
      <w:rPr>
        <w:rFonts w:ascii="Courier New" w:hAnsi="Courier New" w:cs="Courier New" w:hint="default"/>
      </w:rPr>
    </w:lvl>
    <w:lvl w:ilvl="2" w:tplc="1C090005" w:tentative="1">
      <w:start w:val="1"/>
      <w:numFmt w:val="bullet"/>
      <w:lvlText w:val=""/>
      <w:lvlJc w:val="left"/>
      <w:pPr>
        <w:ind w:left="1167" w:hanging="360"/>
      </w:pPr>
      <w:rPr>
        <w:rFonts w:ascii="Wingdings" w:hAnsi="Wingdings" w:hint="default"/>
      </w:rPr>
    </w:lvl>
    <w:lvl w:ilvl="3" w:tplc="1C090001" w:tentative="1">
      <w:start w:val="1"/>
      <w:numFmt w:val="bullet"/>
      <w:lvlText w:val=""/>
      <w:lvlJc w:val="left"/>
      <w:pPr>
        <w:ind w:left="1887" w:hanging="360"/>
      </w:pPr>
      <w:rPr>
        <w:rFonts w:ascii="Symbol" w:hAnsi="Symbol" w:hint="default"/>
      </w:rPr>
    </w:lvl>
    <w:lvl w:ilvl="4" w:tplc="1C090003" w:tentative="1">
      <w:start w:val="1"/>
      <w:numFmt w:val="bullet"/>
      <w:lvlText w:val="o"/>
      <w:lvlJc w:val="left"/>
      <w:pPr>
        <w:ind w:left="2607" w:hanging="360"/>
      </w:pPr>
      <w:rPr>
        <w:rFonts w:ascii="Courier New" w:hAnsi="Courier New" w:cs="Courier New" w:hint="default"/>
      </w:rPr>
    </w:lvl>
    <w:lvl w:ilvl="5" w:tplc="1C090005" w:tentative="1">
      <w:start w:val="1"/>
      <w:numFmt w:val="bullet"/>
      <w:lvlText w:val=""/>
      <w:lvlJc w:val="left"/>
      <w:pPr>
        <w:ind w:left="3327" w:hanging="360"/>
      </w:pPr>
      <w:rPr>
        <w:rFonts w:ascii="Wingdings" w:hAnsi="Wingdings" w:hint="default"/>
      </w:rPr>
    </w:lvl>
    <w:lvl w:ilvl="6" w:tplc="1C090001" w:tentative="1">
      <w:start w:val="1"/>
      <w:numFmt w:val="bullet"/>
      <w:lvlText w:val=""/>
      <w:lvlJc w:val="left"/>
      <w:pPr>
        <w:ind w:left="4047" w:hanging="360"/>
      </w:pPr>
      <w:rPr>
        <w:rFonts w:ascii="Symbol" w:hAnsi="Symbol" w:hint="default"/>
      </w:rPr>
    </w:lvl>
    <w:lvl w:ilvl="7" w:tplc="1C090003" w:tentative="1">
      <w:start w:val="1"/>
      <w:numFmt w:val="bullet"/>
      <w:lvlText w:val="o"/>
      <w:lvlJc w:val="left"/>
      <w:pPr>
        <w:ind w:left="4767" w:hanging="360"/>
      </w:pPr>
      <w:rPr>
        <w:rFonts w:ascii="Courier New" w:hAnsi="Courier New" w:cs="Courier New" w:hint="default"/>
      </w:rPr>
    </w:lvl>
    <w:lvl w:ilvl="8" w:tplc="1C090005" w:tentative="1">
      <w:start w:val="1"/>
      <w:numFmt w:val="bullet"/>
      <w:lvlText w:val=""/>
      <w:lvlJc w:val="left"/>
      <w:pPr>
        <w:ind w:left="5487" w:hanging="360"/>
      </w:pPr>
      <w:rPr>
        <w:rFonts w:ascii="Wingdings" w:hAnsi="Wingdings" w:hint="default"/>
      </w:rPr>
    </w:lvl>
  </w:abstractNum>
  <w:num w:numId="1" w16cid:durableId="764692173">
    <w:abstractNumId w:val="9"/>
  </w:num>
  <w:num w:numId="2" w16cid:durableId="162402762">
    <w:abstractNumId w:val="4"/>
  </w:num>
  <w:num w:numId="3" w16cid:durableId="1328627489">
    <w:abstractNumId w:val="2"/>
  </w:num>
  <w:num w:numId="4" w16cid:durableId="1351562776">
    <w:abstractNumId w:val="12"/>
  </w:num>
  <w:num w:numId="5" w16cid:durableId="785975002">
    <w:abstractNumId w:val="10"/>
  </w:num>
  <w:num w:numId="6" w16cid:durableId="2135829719">
    <w:abstractNumId w:val="1"/>
  </w:num>
  <w:num w:numId="7" w16cid:durableId="1144199866">
    <w:abstractNumId w:val="7"/>
  </w:num>
  <w:num w:numId="8" w16cid:durableId="373430543">
    <w:abstractNumId w:val="0"/>
  </w:num>
  <w:num w:numId="9" w16cid:durableId="1729037615">
    <w:abstractNumId w:val="3"/>
  </w:num>
  <w:num w:numId="10" w16cid:durableId="839656807">
    <w:abstractNumId w:val="6"/>
  </w:num>
  <w:num w:numId="11" w16cid:durableId="12852151">
    <w:abstractNumId w:val="5"/>
  </w:num>
  <w:num w:numId="12" w16cid:durableId="269705595">
    <w:abstractNumId w:val="11"/>
  </w:num>
  <w:num w:numId="13" w16cid:durableId="18455087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7E"/>
    <w:rsid w:val="00004F5C"/>
    <w:rsid w:val="00005883"/>
    <w:rsid w:val="00021EEE"/>
    <w:rsid w:val="00024707"/>
    <w:rsid w:val="00024F99"/>
    <w:rsid w:val="000405BC"/>
    <w:rsid w:val="00067514"/>
    <w:rsid w:val="000675A3"/>
    <w:rsid w:val="000A2864"/>
    <w:rsid w:val="000B1E89"/>
    <w:rsid w:val="000B4BB2"/>
    <w:rsid w:val="000B7580"/>
    <w:rsid w:val="00100A4D"/>
    <w:rsid w:val="001015EF"/>
    <w:rsid w:val="00106938"/>
    <w:rsid w:val="00110853"/>
    <w:rsid w:val="001139AE"/>
    <w:rsid w:val="001220AD"/>
    <w:rsid w:val="00124A54"/>
    <w:rsid w:val="00132F24"/>
    <w:rsid w:val="00136AF5"/>
    <w:rsid w:val="00136B47"/>
    <w:rsid w:val="00141945"/>
    <w:rsid w:val="001625A7"/>
    <w:rsid w:val="00171CA4"/>
    <w:rsid w:val="001C710C"/>
    <w:rsid w:val="0027066E"/>
    <w:rsid w:val="00273BC3"/>
    <w:rsid w:val="00281D54"/>
    <w:rsid w:val="00295698"/>
    <w:rsid w:val="002B2561"/>
    <w:rsid w:val="002D2AAD"/>
    <w:rsid w:val="002E1CFB"/>
    <w:rsid w:val="002F27BC"/>
    <w:rsid w:val="002F3350"/>
    <w:rsid w:val="002F4554"/>
    <w:rsid w:val="002F5512"/>
    <w:rsid w:val="002F6D9D"/>
    <w:rsid w:val="003333A2"/>
    <w:rsid w:val="0036520A"/>
    <w:rsid w:val="0038647B"/>
    <w:rsid w:val="003946D2"/>
    <w:rsid w:val="003A2836"/>
    <w:rsid w:val="003A79F4"/>
    <w:rsid w:val="003B5277"/>
    <w:rsid w:val="003C12C2"/>
    <w:rsid w:val="003C35C4"/>
    <w:rsid w:val="003D28A3"/>
    <w:rsid w:val="003F085E"/>
    <w:rsid w:val="00401A6D"/>
    <w:rsid w:val="0042010D"/>
    <w:rsid w:val="00421B3F"/>
    <w:rsid w:val="0043105A"/>
    <w:rsid w:val="004325F5"/>
    <w:rsid w:val="00451041"/>
    <w:rsid w:val="00462DBB"/>
    <w:rsid w:val="00480261"/>
    <w:rsid w:val="004837EF"/>
    <w:rsid w:val="00484229"/>
    <w:rsid w:val="004C4DF1"/>
    <w:rsid w:val="004F52F2"/>
    <w:rsid w:val="00502A49"/>
    <w:rsid w:val="00504177"/>
    <w:rsid w:val="005221DE"/>
    <w:rsid w:val="005239A0"/>
    <w:rsid w:val="005309A2"/>
    <w:rsid w:val="00534161"/>
    <w:rsid w:val="00537C1B"/>
    <w:rsid w:val="00541289"/>
    <w:rsid w:val="00581196"/>
    <w:rsid w:val="005C08CB"/>
    <w:rsid w:val="005E3590"/>
    <w:rsid w:val="005E57E2"/>
    <w:rsid w:val="00616C7D"/>
    <w:rsid w:val="00624726"/>
    <w:rsid w:val="00634C39"/>
    <w:rsid w:val="00635CD5"/>
    <w:rsid w:val="0063699C"/>
    <w:rsid w:val="00652193"/>
    <w:rsid w:val="0065343F"/>
    <w:rsid w:val="00663383"/>
    <w:rsid w:val="006641E0"/>
    <w:rsid w:val="00665C10"/>
    <w:rsid w:val="006B2614"/>
    <w:rsid w:val="006B5993"/>
    <w:rsid w:val="006D5EAD"/>
    <w:rsid w:val="006D7D08"/>
    <w:rsid w:val="006F2927"/>
    <w:rsid w:val="006F582E"/>
    <w:rsid w:val="00705ADB"/>
    <w:rsid w:val="00714DBD"/>
    <w:rsid w:val="0071599D"/>
    <w:rsid w:val="00723CAF"/>
    <w:rsid w:val="00723EF2"/>
    <w:rsid w:val="00750B92"/>
    <w:rsid w:val="007637C4"/>
    <w:rsid w:val="00764D2C"/>
    <w:rsid w:val="007A0AD7"/>
    <w:rsid w:val="007A4AF2"/>
    <w:rsid w:val="007B16EA"/>
    <w:rsid w:val="007B251A"/>
    <w:rsid w:val="007D2956"/>
    <w:rsid w:val="007D7D9E"/>
    <w:rsid w:val="007E7641"/>
    <w:rsid w:val="007F724C"/>
    <w:rsid w:val="00803590"/>
    <w:rsid w:val="0081020D"/>
    <w:rsid w:val="008107BF"/>
    <w:rsid w:val="008158B5"/>
    <w:rsid w:val="008172BC"/>
    <w:rsid w:val="0081732B"/>
    <w:rsid w:val="00820728"/>
    <w:rsid w:val="00823CD2"/>
    <w:rsid w:val="00835C75"/>
    <w:rsid w:val="008715DA"/>
    <w:rsid w:val="00890A5A"/>
    <w:rsid w:val="00904D1C"/>
    <w:rsid w:val="00922101"/>
    <w:rsid w:val="00926062"/>
    <w:rsid w:val="009368CE"/>
    <w:rsid w:val="0096041A"/>
    <w:rsid w:val="009906D1"/>
    <w:rsid w:val="00992CE1"/>
    <w:rsid w:val="00995220"/>
    <w:rsid w:val="009A3C0B"/>
    <w:rsid w:val="009A7DB0"/>
    <w:rsid w:val="009C5D90"/>
    <w:rsid w:val="009F0A63"/>
    <w:rsid w:val="00A031A4"/>
    <w:rsid w:val="00A12D41"/>
    <w:rsid w:val="00A1779E"/>
    <w:rsid w:val="00A4361A"/>
    <w:rsid w:val="00A86B37"/>
    <w:rsid w:val="00A9121B"/>
    <w:rsid w:val="00AB05FF"/>
    <w:rsid w:val="00AB6306"/>
    <w:rsid w:val="00AD687E"/>
    <w:rsid w:val="00AD7209"/>
    <w:rsid w:val="00B073D0"/>
    <w:rsid w:val="00B10218"/>
    <w:rsid w:val="00B3418F"/>
    <w:rsid w:val="00B3649D"/>
    <w:rsid w:val="00B9076D"/>
    <w:rsid w:val="00B97D5F"/>
    <w:rsid w:val="00BB0089"/>
    <w:rsid w:val="00BD73DC"/>
    <w:rsid w:val="00BE3B54"/>
    <w:rsid w:val="00C00771"/>
    <w:rsid w:val="00C1649A"/>
    <w:rsid w:val="00C35D06"/>
    <w:rsid w:val="00C37CE3"/>
    <w:rsid w:val="00C56F7F"/>
    <w:rsid w:val="00C57A25"/>
    <w:rsid w:val="00C63A30"/>
    <w:rsid w:val="00C72653"/>
    <w:rsid w:val="00CD0B81"/>
    <w:rsid w:val="00CF3C8D"/>
    <w:rsid w:val="00D17081"/>
    <w:rsid w:val="00D239B0"/>
    <w:rsid w:val="00D31477"/>
    <w:rsid w:val="00D33EB0"/>
    <w:rsid w:val="00D360CA"/>
    <w:rsid w:val="00D41995"/>
    <w:rsid w:val="00D9015B"/>
    <w:rsid w:val="00D97CA1"/>
    <w:rsid w:val="00DA0740"/>
    <w:rsid w:val="00DC57AE"/>
    <w:rsid w:val="00E04FBB"/>
    <w:rsid w:val="00E1536B"/>
    <w:rsid w:val="00E30F2F"/>
    <w:rsid w:val="00E33B31"/>
    <w:rsid w:val="00E878A9"/>
    <w:rsid w:val="00EB07DB"/>
    <w:rsid w:val="00EB7722"/>
    <w:rsid w:val="00EE5BA3"/>
    <w:rsid w:val="00F07EEB"/>
    <w:rsid w:val="00F20098"/>
    <w:rsid w:val="00F22939"/>
    <w:rsid w:val="00F23A97"/>
    <w:rsid w:val="00F6220F"/>
    <w:rsid w:val="00F75419"/>
    <w:rsid w:val="00F75530"/>
    <w:rsid w:val="00F7758A"/>
    <w:rsid w:val="00F917F4"/>
    <w:rsid w:val="00F93798"/>
    <w:rsid w:val="00FA393D"/>
    <w:rsid w:val="00FB4524"/>
    <w:rsid w:val="00FB71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A76B"/>
  <w15:chartTrackingRefBased/>
  <w15:docId w15:val="{642C0680-4E53-4281-AB9B-A979B2EF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8A3"/>
  </w:style>
  <w:style w:type="paragraph" w:styleId="Heading1">
    <w:name w:val="heading 1"/>
    <w:basedOn w:val="Normal"/>
    <w:next w:val="Normal"/>
    <w:link w:val="Heading1Char"/>
    <w:uiPriority w:val="9"/>
    <w:qFormat/>
    <w:rsid w:val="00AD6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6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6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6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6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87E"/>
    <w:rPr>
      <w:rFonts w:eastAsiaTheme="majorEastAsia" w:cstheme="majorBidi"/>
      <w:color w:val="272727" w:themeColor="text1" w:themeTint="D8"/>
    </w:rPr>
  </w:style>
  <w:style w:type="paragraph" w:styleId="Title">
    <w:name w:val="Title"/>
    <w:basedOn w:val="Normal"/>
    <w:next w:val="Normal"/>
    <w:link w:val="TitleChar"/>
    <w:uiPriority w:val="10"/>
    <w:qFormat/>
    <w:rsid w:val="00AD6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87E"/>
    <w:pPr>
      <w:spacing w:before="160"/>
      <w:jc w:val="center"/>
    </w:pPr>
    <w:rPr>
      <w:i/>
      <w:iCs/>
      <w:color w:val="404040" w:themeColor="text1" w:themeTint="BF"/>
    </w:rPr>
  </w:style>
  <w:style w:type="character" w:customStyle="1" w:styleId="QuoteChar">
    <w:name w:val="Quote Char"/>
    <w:basedOn w:val="DefaultParagraphFont"/>
    <w:link w:val="Quote"/>
    <w:uiPriority w:val="29"/>
    <w:rsid w:val="00AD687E"/>
    <w:rPr>
      <w:i/>
      <w:iCs/>
      <w:color w:val="404040" w:themeColor="text1" w:themeTint="BF"/>
    </w:rPr>
  </w:style>
  <w:style w:type="paragraph" w:styleId="ListParagraph">
    <w:name w:val="List Paragraph"/>
    <w:basedOn w:val="Normal"/>
    <w:uiPriority w:val="34"/>
    <w:qFormat/>
    <w:rsid w:val="00AD687E"/>
    <w:pPr>
      <w:ind w:left="720"/>
      <w:contextualSpacing/>
    </w:pPr>
  </w:style>
  <w:style w:type="character" w:styleId="IntenseEmphasis">
    <w:name w:val="Intense Emphasis"/>
    <w:basedOn w:val="DefaultParagraphFont"/>
    <w:uiPriority w:val="21"/>
    <w:qFormat/>
    <w:rsid w:val="00AD687E"/>
    <w:rPr>
      <w:i/>
      <w:iCs/>
      <w:color w:val="0F4761" w:themeColor="accent1" w:themeShade="BF"/>
    </w:rPr>
  </w:style>
  <w:style w:type="paragraph" w:styleId="IntenseQuote">
    <w:name w:val="Intense Quote"/>
    <w:basedOn w:val="Normal"/>
    <w:next w:val="Normal"/>
    <w:link w:val="IntenseQuoteChar"/>
    <w:uiPriority w:val="30"/>
    <w:qFormat/>
    <w:rsid w:val="00AD6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87E"/>
    <w:rPr>
      <w:i/>
      <w:iCs/>
      <w:color w:val="0F4761" w:themeColor="accent1" w:themeShade="BF"/>
    </w:rPr>
  </w:style>
  <w:style w:type="character" w:styleId="IntenseReference">
    <w:name w:val="Intense Reference"/>
    <w:basedOn w:val="DefaultParagraphFont"/>
    <w:uiPriority w:val="32"/>
    <w:qFormat/>
    <w:rsid w:val="00AD687E"/>
    <w:rPr>
      <w:b/>
      <w:bCs/>
      <w:smallCaps/>
      <w:color w:val="0F4761" w:themeColor="accent1" w:themeShade="BF"/>
      <w:spacing w:val="5"/>
    </w:rPr>
  </w:style>
  <w:style w:type="paragraph" w:styleId="Header">
    <w:name w:val="header"/>
    <w:basedOn w:val="Normal"/>
    <w:link w:val="HeaderChar"/>
    <w:uiPriority w:val="99"/>
    <w:unhideWhenUsed/>
    <w:rsid w:val="00AD6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87E"/>
  </w:style>
  <w:style w:type="paragraph" w:styleId="Footer">
    <w:name w:val="footer"/>
    <w:basedOn w:val="Normal"/>
    <w:link w:val="FooterChar"/>
    <w:uiPriority w:val="99"/>
    <w:unhideWhenUsed/>
    <w:rsid w:val="00AD6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87E"/>
  </w:style>
  <w:style w:type="paragraph" w:customStyle="1" w:styleId="TableParagraph">
    <w:name w:val="Table Paragraph"/>
    <w:basedOn w:val="Normal"/>
    <w:uiPriority w:val="1"/>
    <w:qFormat/>
    <w:rsid w:val="00AD687E"/>
    <w:pPr>
      <w:widowControl w:val="0"/>
      <w:autoSpaceDE w:val="0"/>
      <w:autoSpaceDN w:val="0"/>
      <w:spacing w:after="0" w:line="213" w:lineRule="exact"/>
      <w:ind w:left="1"/>
      <w:jc w:val="center"/>
    </w:pPr>
    <w:rPr>
      <w:rFonts w:ascii="Calibri" w:eastAsia="Calibri" w:hAnsi="Calibri" w:cs="Calibri"/>
      <w:kern w:val="0"/>
      <w:sz w:val="22"/>
      <w:szCs w:val="22"/>
      <w:lang w:val="en-US"/>
      <w14:ligatures w14:val="none"/>
    </w:rPr>
  </w:style>
  <w:style w:type="table" w:styleId="TableGrid">
    <w:name w:val="Table Grid"/>
    <w:basedOn w:val="TableNormal"/>
    <w:uiPriority w:val="39"/>
    <w:rsid w:val="00386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8647B"/>
    <w:rPr>
      <w:b/>
      <w:bCs/>
    </w:rPr>
  </w:style>
  <w:style w:type="character" w:styleId="PlaceholderText">
    <w:name w:val="Placeholder Text"/>
    <w:basedOn w:val="DefaultParagraphFont"/>
    <w:uiPriority w:val="99"/>
    <w:semiHidden/>
    <w:rsid w:val="004F52F2"/>
    <w:rPr>
      <w:color w:val="666666"/>
    </w:rPr>
  </w:style>
  <w:style w:type="paragraph" w:styleId="NormalWeb">
    <w:name w:val="Normal (Web)"/>
    <w:basedOn w:val="Normal"/>
    <w:uiPriority w:val="99"/>
    <w:semiHidden/>
    <w:unhideWhenUsed/>
    <w:rsid w:val="0082072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6544">
      <w:bodyDiv w:val="1"/>
      <w:marLeft w:val="0"/>
      <w:marRight w:val="0"/>
      <w:marTop w:val="0"/>
      <w:marBottom w:val="0"/>
      <w:divBdr>
        <w:top w:val="none" w:sz="0" w:space="0" w:color="auto"/>
        <w:left w:val="none" w:sz="0" w:space="0" w:color="auto"/>
        <w:bottom w:val="none" w:sz="0" w:space="0" w:color="auto"/>
        <w:right w:val="none" w:sz="0" w:space="0" w:color="auto"/>
      </w:divBdr>
    </w:div>
    <w:div w:id="124196903">
      <w:bodyDiv w:val="1"/>
      <w:marLeft w:val="0"/>
      <w:marRight w:val="0"/>
      <w:marTop w:val="0"/>
      <w:marBottom w:val="0"/>
      <w:divBdr>
        <w:top w:val="none" w:sz="0" w:space="0" w:color="auto"/>
        <w:left w:val="none" w:sz="0" w:space="0" w:color="auto"/>
        <w:bottom w:val="none" w:sz="0" w:space="0" w:color="auto"/>
        <w:right w:val="none" w:sz="0" w:space="0" w:color="auto"/>
      </w:divBdr>
    </w:div>
    <w:div w:id="133526005">
      <w:bodyDiv w:val="1"/>
      <w:marLeft w:val="0"/>
      <w:marRight w:val="0"/>
      <w:marTop w:val="0"/>
      <w:marBottom w:val="0"/>
      <w:divBdr>
        <w:top w:val="none" w:sz="0" w:space="0" w:color="auto"/>
        <w:left w:val="none" w:sz="0" w:space="0" w:color="auto"/>
        <w:bottom w:val="none" w:sz="0" w:space="0" w:color="auto"/>
        <w:right w:val="none" w:sz="0" w:space="0" w:color="auto"/>
      </w:divBdr>
    </w:div>
    <w:div w:id="168721822">
      <w:bodyDiv w:val="1"/>
      <w:marLeft w:val="0"/>
      <w:marRight w:val="0"/>
      <w:marTop w:val="0"/>
      <w:marBottom w:val="0"/>
      <w:divBdr>
        <w:top w:val="none" w:sz="0" w:space="0" w:color="auto"/>
        <w:left w:val="none" w:sz="0" w:space="0" w:color="auto"/>
        <w:bottom w:val="none" w:sz="0" w:space="0" w:color="auto"/>
        <w:right w:val="none" w:sz="0" w:space="0" w:color="auto"/>
      </w:divBdr>
    </w:div>
    <w:div w:id="368797769">
      <w:bodyDiv w:val="1"/>
      <w:marLeft w:val="0"/>
      <w:marRight w:val="0"/>
      <w:marTop w:val="0"/>
      <w:marBottom w:val="0"/>
      <w:divBdr>
        <w:top w:val="none" w:sz="0" w:space="0" w:color="auto"/>
        <w:left w:val="none" w:sz="0" w:space="0" w:color="auto"/>
        <w:bottom w:val="none" w:sz="0" w:space="0" w:color="auto"/>
        <w:right w:val="none" w:sz="0" w:space="0" w:color="auto"/>
      </w:divBdr>
    </w:div>
    <w:div w:id="406155313">
      <w:bodyDiv w:val="1"/>
      <w:marLeft w:val="0"/>
      <w:marRight w:val="0"/>
      <w:marTop w:val="0"/>
      <w:marBottom w:val="0"/>
      <w:divBdr>
        <w:top w:val="none" w:sz="0" w:space="0" w:color="auto"/>
        <w:left w:val="none" w:sz="0" w:space="0" w:color="auto"/>
        <w:bottom w:val="none" w:sz="0" w:space="0" w:color="auto"/>
        <w:right w:val="none" w:sz="0" w:space="0" w:color="auto"/>
      </w:divBdr>
    </w:div>
    <w:div w:id="553084988">
      <w:bodyDiv w:val="1"/>
      <w:marLeft w:val="0"/>
      <w:marRight w:val="0"/>
      <w:marTop w:val="0"/>
      <w:marBottom w:val="0"/>
      <w:divBdr>
        <w:top w:val="none" w:sz="0" w:space="0" w:color="auto"/>
        <w:left w:val="none" w:sz="0" w:space="0" w:color="auto"/>
        <w:bottom w:val="none" w:sz="0" w:space="0" w:color="auto"/>
        <w:right w:val="none" w:sz="0" w:space="0" w:color="auto"/>
      </w:divBdr>
    </w:div>
    <w:div w:id="565147537">
      <w:bodyDiv w:val="1"/>
      <w:marLeft w:val="0"/>
      <w:marRight w:val="0"/>
      <w:marTop w:val="0"/>
      <w:marBottom w:val="0"/>
      <w:divBdr>
        <w:top w:val="none" w:sz="0" w:space="0" w:color="auto"/>
        <w:left w:val="none" w:sz="0" w:space="0" w:color="auto"/>
        <w:bottom w:val="none" w:sz="0" w:space="0" w:color="auto"/>
        <w:right w:val="none" w:sz="0" w:space="0" w:color="auto"/>
      </w:divBdr>
    </w:div>
    <w:div w:id="584146769">
      <w:bodyDiv w:val="1"/>
      <w:marLeft w:val="0"/>
      <w:marRight w:val="0"/>
      <w:marTop w:val="0"/>
      <w:marBottom w:val="0"/>
      <w:divBdr>
        <w:top w:val="none" w:sz="0" w:space="0" w:color="auto"/>
        <w:left w:val="none" w:sz="0" w:space="0" w:color="auto"/>
        <w:bottom w:val="none" w:sz="0" w:space="0" w:color="auto"/>
        <w:right w:val="none" w:sz="0" w:space="0" w:color="auto"/>
      </w:divBdr>
    </w:div>
    <w:div w:id="621889754">
      <w:bodyDiv w:val="1"/>
      <w:marLeft w:val="0"/>
      <w:marRight w:val="0"/>
      <w:marTop w:val="0"/>
      <w:marBottom w:val="0"/>
      <w:divBdr>
        <w:top w:val="none" w:sz="0" w:space="0" w:color="auto"/>
        <w:left w:val="none" w:sz="0" w:space="0" w:color="auto"/>
        <w:bottom w:val="none" w:sz="0" w:space="0" w:color="auto"/>
        <w:right w:val="none" w:sz="0" w:space="0" w:color="auto"/>
      </w:divBdr>
    </w:div>
    <w:div w:id="694691968">
      <w:bodyDiv w:val="1"/>
      <w:marLeft w:val="0"/>
      <w:marRight w:val="0"/>
      <w:marTop w:val="0"/>
      <w:marBottom w:val="0"/>
      <w:divBdr>
        <w:top w:val="none" w:sz="0" w:space="0" w:color="auto"/>
        <w:left w:val="none" w:sz="0" w:space="0" w:color="auto"/>
        <w:bottom w:val="none" w:sz="0" w:space="0" w:color="auto"/>
        <w:right w:val="none" w:sz="0" w:space="0" w:color="auto"/>
      </w:divBdr>
    </w:div>
    <w:div w:id="732895191">
      <w:bodyDiv w:val="1"/>
      <w:marLeft w:val="0"/>
      <w:marRight w:val="0"/>
      <w:marTop w:val="0"/>
      <w:marBottom w:val="0"/>
      <w:divBdr>
        <w:top w:val="none" w:sz="0" w:space="0" w:color="auto"/>
        <w:left w:val="none" w:sz="0" w:space="0" w:color="auto"/>
        <w:bottom w:val="none" w:sz="0" w:space="0" w:color="auto"/>
        <w:right w:val="none" w:sz="0" w:space="0" w:color="auto"/>
      </w:divBdr>
    </w:div>
    <w:div w:id="829063035">
      <w:bodyDiv w:val="1"/>
      <w:marLeft w:val="0"/>
      <w:marRight w:val="0"/>
      <w:marTop w:val="0"/>
      <w:marBottom w:val="0"/>
      <w:divBdr>
        <w:top w:val="none" w:sz="0" w:space="0" w:color="auto"/>
        <w:left w:val="none" w:sz="0" w:space="0" w:color="auto"/>
        <w:bottom w:val="none" w:sz="0" w:space="0" w:color="auto"/>
        <w:right w:val="none" w:sz="0" w:space="0" w:color="auto"/>
      </w:divBdr>
    </w:div>
    <w:div w:id="1107768842">
      <w:bodyDiv w:val="1"/>
      <w:marLeft w:val="0"/>
      <w:marRight w:val="0"/>
      <w:marTop w:val="0"/>
      <w:marBottom w:val="0"/>
      <w:divBdr>
        <w:top w:val="none" w:sz="0" w:space="0" w:color="auto"/>
        <w:left w:val="none" w:sz="0" w:space="0" w:color="auto"/>
        <w:bottom w:val="none" w:sz="0" w:space="0" w:color="auto"/>
        <w:right w:val="none" w:sz="0" w:space="0" w:color="auto"/>
      </w:divBdr>
    </w:div>
    <w:div w:id="1138299960">
      <w:bodyDiv w:val="1"/>
      <w:marLeft w:val="0"/>
      <w:marRight w:val="0"/>
      <w:marTop w:val="0"/>
      <w:marBottom w:val="0"/>
      <w:divBdr>
        <w:top w:val="none" w:sz="0" w:space="0" w:color="auto"/>
        <w:left w:val="none" w:sz="0" w:space="0" w:color="auto"/>
        <w:bottom w:val="none" w:sz="0" w:space="0" w:color="auto"/>
        <w:right w:val="none" w:sz="0" w:space="0" w:color="auto"/>
      </w:divBdr>
    </w:div>
    <w:div w:id="1147547211">
      <w:bodyDiv w:val="1"/>
      <w:marLeft w:val="0"/>
      <w:marRight w:val="0"/>
      <w:marTop w:val="0"/>
      <w:marBottom w:val="0"/>
      <w:divBdr>
        <w:top w:val="none" w:sz="0" w:space="0" w:color="auto"/>
        <w:left w:val="none" w:sz="0" w:space="0" w:color="auto"/>
        <w:bottom w:val="none" w:sz="0" w:space="0" w:color="auto"/>
        <w:right w:val="none" w:sz="0" w:space="0" w:color="auto"/>
      </w:divBdr>
    </w:div>
    <w:div w:id="1149130042">
      <w:bodyDiv w:val="1"/>
      <w:marLeft w:val="0"/>
      <w:marRight w:val="0"/>
      <w:marTop w:val="0"/>
      <w:marBottom w:val="0"/>
      <w:divBdr>
        <w:top w:val="none" w:sz="0" w:space="0" w:color="auto"/>
        <w:left w:val="none" w:sz="0" w:space="0" w:color="auto"/>
        <w:bottom w:val="none" w:sz="0" w:space="0" w:color="auto"/>
        <w:right w:val="none" w:sz="0" w:space="0" w:color="auto"/>
      </w:divBdr>
    </w:div>
    <w:div w:id="1165706637">
      <w:bodyDiv w:val="1"/>
      <w:marLeft w:val="0"/>
      <w:marRight w:val="0"/>
      <w:marTop w:val="0"/>
      <w:marBottom w:val="0"/>
      <w:divBdr>
        <w:top w:val="none" w:sz="0" w:space="0" w:color="auto"/>
        <w:left w:val="none" w:sz="0" w:space="0" w:color="auto"/>
        <w:bottom w:val="none" w:sz="0" w:space="0" w:color="auto"/>
        <w:right w:val="none" w:sz="0" w:space="0" w:color="auto"/>
      </w:divBdr>
    </w:div>
    <w:div w:id="1188106910">
      <w:bodyDiv w:val="1"/>
      <w:marLeft w:val="0"/>
      <w:marRight w:val="0"/>
      <w:marTop w:val="0"/>
      <w:marBottom w:val="0"/>
      <w:divBdr>
        <w:top w:val="none" w:sz="0" w:space="0" w:color="auto"/>
        <w:left w:val="none" w:sz="0" w:space="0" w:color="auto"/>
        <w:bottom w:val="none" w:sz="0" w:space="0" w:color="auto"/>
        <w:right w:val="none" w:sz="0" w:space="0" w:color="auto"/>
      </w:divBdr>
    </w:div>
    <w:div w:id="1222400759">
      <w:bodyDiv w:val="1"/>
      <w:marLeft w:val="0"/>
      <w:marRight w:val="0"/>
      <w:marTop w:val="0"/>
      <w:marBottom w:val="0"/>
      <w:divBdr>
        <w:top w:val="none" w:sz="0" w:space="0" w:color="auto"/>
        <w:left w:val="none" w:sz="0" w:space="0" w:color="auto"/>
        <w:bottom w:val="none" w:sz="0" w:space="0" w:color="auto"/>
        <w:right w:val="none" w:sz="0" w:space="0" w:color="auto"/>
      </w:divBdr>
    </w:div>
    <w:div w:id="1327511326">
      <w:bodyDiv w:val="1"/>
      <w:marLeft w:val="0"/>
      <w:marRight w:val="0"/>
      <w:marTop w:val="0"/>
      <w:marBottom w:val="0"/>
      <w:divBdr>
        <w:top w:val="none" w:sz="0" w:space="0" w:color="auto"/>
        <w:left w:val="none" w:sz="0" w:space="0" w:color="auto"/>
        <w:bottom w:val="none" w:sz="0" w:space="0" w:color="auto"/>
        <w:right w:val="none" w:sz="0" w:space="0" w:color="auto"/>
      </w:divBdr>
    </w:div>
    <w:div w:id="1461874389">
      <w:bodyDiv w:val="1"/>
      <w:marLeft w:val="0"/>
      <w:marRight w:val="0"/>
      <w:marTop w:val="0"/>
      <w:marBottom w:val="0"/>
      <w:divBdr>
        <w:top w:val="none" w:sz="0" w:space="0" w:color="auto"/>
        <w:left w:val="none" w:sz="0" w:space="0" w:color="auto"/>
        <w:bottom w:val="none" w:sz="0" w:space="0" w:color="auto"/>
        <w:right w:val="none" w:sz="0" w:space="0" w:color="auto"/>
      </w:divBdr>
    </w:div>
    <w:div w:id="1490635010">
      <w:bodyDiv w:val="1"/>
      <w:marLeft w:val="0"/>
      <w:marRight w:val="0"/>
      <w:marTop w:val="0"/>
      <w:marBottom w:val="0"/>
      <w:divBdr>
        <w:top w:val="none" w:sz="0" w:space="0" w:color="auto"/>
        <w:left w:val="none" w:sz="0" w:space="0" w:color="auto"/>
        <w:bottom w:val="none" w:sz="0" w:space="0" w:color="auto"/>
        <w:right w:val="none" w:sz="0" w:space="0" w:color="auto"/>
      </w:divBdr>
    </w:div>
    <w:div w:id="1539246671">
      <w:bodyDiv w:val="1"/>
      <w:marLeft w:val="0"/>
      <w:marRight w:val="0"/>
      <w:marTop w:val="0"/>
      <w:marBottom w:val="0"/>
      <w:divBdr>
        <w:top w:val="none" w:sz="0" w:space="0" w:color="auto"/>
        <w:left w:val="none" w:sz="0" w:space="0" w:color="auto"/>
        <w:bottom w:val="none" w:sz="0" w:space="0" w:color="auto"/>
        <w:right w:val="none" w:sz="0" w:space="0" w:color="auto"/>
      </w:divBdr>
    </w:div>
    <w:div w:id="1552038342">
      <w:bodyDiv w:val="1"/>
      <w:marLeft w:val="0"/>
      <w:marRight w:val="0"/>
      <w:marTop w:val="0"/>
      <w:marBottom w:val="0"/>
      <w:divBdr>
        <w:top w:val="none" w:sz="0" w:space="0" w:color="auto"/>
        <w:left w:val="none" w:sz="0" w:space="0" w:color="auto"/>
        <w:bottom w:val="none" w:sz="0" w:space="0" w:color="auto"/>
        <w:right w:val="none" w:sz="0" w:space="0" w:color="auto"/>
      </w:divBdr>
    </w:div>
    <w:div w:id="1579436081">
      <w:bodyDiv w:val="1"/>
      <w:marLeft w:val="0"/>
      <w:marRight w:val="0"/>
      <w:marTop w:val="0"/>
      <w:marBottom w:val="0"/>
      <w:divBdr>
        <w:top w:val="none" w:sz="0" w:space="0" w:color="auto"/>
        <w:left w:val="none" w:sz="0" w:space="0" w:color="auto"/>
        <w:bottom w:val="none" w:sz="0" w:space="0" w:color="auto"/>
        <w:right w:val="none" w:sz="0" w:space="0" w:color="auto"/>
      </w:divBdr>
    </w:div>
    <w:div w:id="1639339312">
      <w:bodyDiv w:val="1"/>
      <w:marLeft w:val="0"/>
      <w:marRight w:val="0"/>
      <w:marTop w:val="0"/>
      <w:marBottom w:val="0"/>
      <w:divBdr>
        <w:top w:val="none" w:sz="0" w:space="0" w:color="auto"/>
        <w:left w:val="none" w:sz="0" w:space="0" w:color="auto"/>
        <w:bottom w:val="none" w:sz="0" w:space="0" w:color="auto"/>
        <w:right w:val="none" w:sz="0" w:space="0" w:color="auto"/>
      </w:divBdr>
    </w:div>
    <w:div w:id="1644771019">
      <w:bodyDiv w:val="1"/>
      <w:marLeft w:val="0"/>
      <w:marRight w:val="0"/>
      <w:marTop w:val="0"/>
      <w:marBottom w:val="0"/>
      <w:divBdr>
        <w:top w:val="none" w:sz="0" w:space="0" w:color="auto"/>
        <w:left w:val="none" w:sz="0" w:space="0" w:color="auto"/>
        <w:bottom w:val="none" w:sz="0" w:space="0" w:color="auto"/>
        <w:right w:val="none" w:sz="0" w:space="0" w:color="auto"/>
      </w:divBdr>
    </w:div>
    <w:div w:id="1689988097">
      <w:bodyDiv w:val="1"/>
      <w:marLeft w:val="0"/>
      <w:marRight w:val="0"/>
      <w:marTop w:val="0"/>
      <w:marBottom w:val="0"/>
      <w:divBdr>
        <w:top w:val="none" w:sz="0" w:space="0" w:color="auto"/>
        <w:left w:val="none" w:sz="0" w:space="0" w:color="auto"/>
        <w:bottom w:val="none" w:sz="0" w:space="0" w:color="auto"/>
        <w:right w:val="none" w:sz="0" w:space="0" w:color="auto"/>
      </w:divBdr>
    </w:div>
    <w:div w:id="1699770474">
      <w:bodyDiv w:val="1"/>
      <w:marLeft w:val="0"/>
      <w:marRight w:val="0"/>
      <w:marTop w:val="0"/>
      <w:marBottom w:val="0"/>
      <w:divBdr>
        <w:top w:val="none" w:sz="0" w:space="0" w:color="auto"/>
        <w:left w:val="none" w:sz="0" w:space="0" w:color="auto"/>
        <w:bottom w:val="none" w:sz="0" w:space="0" w:color="auto"/>
        <w:right w:val="none" w:sz="0" w:space="0" w:color="auto"/>
      </w:divBdr>
    </w:div>
    <w:div w:id="1759718455">
      <w:bodyDiv w:val="1"/>
      <w:marLeft w:val="0"/>
      <w:marRight w:val="0"/>
      <w:marTop w:val="0"/>
      <w:marBottom w:val="0"/>
      <w:divBdr>
        <w:top w:val="none" w:sz="0" w:space="0" w:color="auto"/>
        <w:left w:val="none" w:sz="0" w:space="0" w:color="auto"/>
        <w:bottom w:val="none" w:sz="0" w:space="0" w:color="auto"/>
        <w:right w:val="none" w:sz="0" w:space="0" w:color="auto"/>
      </w:divBdr>
    </w:div>
    <w:div w:id="1844006771">
      <w:bodyDiv w:val="1"/>
      <w:marLeft w:val="0"/>
      <w:marRight w:val="0"/>
      <w:marTop w:val="0"/>
      <w:marBottom w:val="0"/>
      <w:divBdr>
        <w:top w:val="none" w:sz="0" w:space="0" w:color="auto"/>
        <w:left w:val="none" w:sz="0" w:space="0" w:color="auto"/>
        <w:bottom w:val="none" w:sz="0" w:space="0" w:color="auto"/>
        <w:right w:val="none" w:sz="0" w:space="0" w:color="auto"/>
      </w:divBdr>
    </w:div>
    <w:div w:id="1861310919">
      <w:bodyDiv w:val="1"/>
      <w:marLeft w:val="0"/>
      <w:marRight w:val="0"/>
      <w:marTop w:val="0"/>
      <w:marBottom w:val="0"/>
      <w:divBdr>
        <w:top w:val="none" w:sz="0" w:space="0" w:color="auto"/>
        <w:left w:val="none" w:sz="0" w:space="0" w:color="auto"/>
        <w:bottom w:val="none" w:sz="0" w:space="0" w:color="auto"/>
        <w:right w:val="none" w:sz="0" w:space="0" w:color="auto"/>
      </w:divBdr>
    </w:div>
    <w:div w:id="1892886532">
      <w:bodyDiv w:val="1"/>
      <w:marLeft w:val="0"/>
      <w:marRight w:val="0"/>
      <w:marTop w:val="0"/>
      <w:marBottom w:val="0"/>
      <w:divBdr>
        <w:top w:val="none" w:sz="0" w:space="0" w:color="auto"/>
        <w:left w:val="none" w:sz="0" w:space="0" w:color="auto"/>
        <w:bottom w:val="none" w:sz="0" w:space="0" w:color="auto"/>
        <w:right w:val="none" w:sz="0" w:space="0" w:color="auto"/>
      </w:divBdr>
    </w:div>
    <w:div w:id="1919359107">
      <w:bodyDiv w:val="1"/>
      <w:marLeft w:val="0"/>
      <w:marRight w:val="0"/>
      <w:marTop w:val="0"/>
      <w:marBottom w:val="0"/>
      <w:divBdr>
        <w:top w:val="none" w:sz="0" w:space="0" w:color="auto"/>
        <w:left w:val="none" w:sz="0" w:space="0" w:color="auto"/>
        <w:bottom w:val="none" w:sz="0" w:space="0" w:color="auto"/>
        <w:right w:val="none" w:sz="0" w:space="0" w:color="auto"/>
      </w:divBdr>
      <w:divsChild>
        <w:div w:id="1282568543">
          <w:marLeft w:val="0"/>
          <w:marRight w:val="0"/>
          <w:marTop w:val="0"/>
          <w:marBottom w:val="0"/>
          <w:divBdr>
            <w:top w:val="none" w:sz="0" w:space="0" w:color="auto"/>
            <w:left w:val="none" w:sz="0" w:space="0" w:color="auto"/>
            <w:bottom w:val="none" w:sz="0" w:space="0" w:color="auto"/>
            <w:right w:val="none" w:sz="0" w:space="0" w:color="auto"/>
          </w:divBdr>
          <w:divsChild>
            <w:div w:id="8487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9140">
      <w:bodyDiv w:val="1"/>
      <w:marLeft w:val="0"/>
      <w:marRight w:val="0"/>
      <w:marTop w:val="0"/>
      <w:marBottom w:val="0"/>
      <w:divBdr>
        <w:top w:val="none" w:sz="0" w:space="0" w:color="auto"/>
        <w:left w:val="none" w:sz="0" w:space="0" w:color="auto"/>
        <w:bottom w:val="none" w:sz="0" w:space="0" w:color="auto"/>
        <w:right w:val="none" w:sz="0" w:space="0" w:color="auto"/>
      </w:divBdr>
    </w:div>
    <w:div w:id="1951476382">
      <w:bodyDiv w:val="1"/>
      <w:marLeft w:val="0"/>
      <w:marRight w:val="0"/>
      <w:marTop w:val="0"/>
      <w:marBottom w:val="0"/>
      <w:divBdr>
        <w:top w:val="none" w:sz="0" w:space="0" w:color="auto"/>
        <w:left w:val="none" w:sz="0" w:space="0" w:color="auto"/>
        <w:bottom w:val="none" w:sz="0" w:space="0" w:color="auto"/>
        <w:right w:val="none" w:sz="0" w:space="0" w:color="auto"/>
      </w:divBdr>
    </w:div>
    <w:div w:id="1952083730">
      <w:bodyDiv w:val="1"/>
      <w:marLeft w:val="0"/>
      <w:marRight w:val="0"/>
      <w:marTop w:val="0"/>
      <w:marBottom w:val="0"/>
      <w:divBdr>
        <w:top w:val="none" w:sz="0" w:space="0" w:color="auto"/>
        <w:left w:val="none" w:sz="0" w:space="0" w:color="auto"/>
        <w:bottom w:val="none" w:sz="0" w:space="0" w:color="auto"/>
        <w:right w:val="none" w:sz="0" w:space="0" w:color="auto"/>
      </w:divBdr>
    </w:div>
    <w:div w:id="1962496513">
      <w:bodyDiv w:val="1"/>
      <w:marLeft w:val="0"/>
      <w:marRight w:val="0"/>
      <w:marTop w:val="0"/>
      <w:marBottom w:val="0"/>
      <w:divBdr>
        <w:top w:val="none" w:sz="0" w:space="0" w:color="auto"/>
        <w:left w:val="none" w:sz="0" w:space="0" w:color="auto"/>
        <w:bottom w:val="none" w:sz="0" w:space="0" w:color="auto"/>
        <w:right w:val="none" w:sz="0" w:space="0" w:color="auto"/>
      </w:divBdr>
    </w:div>
    <w:div w:id="1983145948">
      <w:bodyDiv w:val="1"/>
      <w:marLeft w:val="0"/>
      <w:marRight w:val="0"/>
      <w:marTop w:val="0"/>
      <w:marBottom w:val="0"/>
      <w:divBdr>
        <w:top w:val="none" w:sz="0" w:space="0" w:color="auto"/>
        <w:left w:val="none" w:sz="0" w:space="0" w:color="auto"/>
        <w:bottom w:val="none" w:sz="0" w:space="0" w:color="auto"/>
        <w:right w:val="none" w:sz="0" w:space="0" w:color="auto"/>
      </w:divBdr>
    </w:div>
    <w:div w:id="1984387981">
      <w:bodyDiv w:val="1"/>
      <w:marLeft w:val="0"/>
      <w:marRight w:val="0"/>
      <w:marTop w:val="0"/>
      <w:marBottom w:val="0"/>
      <w:divBdr>
        <w:top w:val="none" w:sz="0" w:space="0" w:color="auto"/>
        <w:left w:val="none" w:sz="0" w:space="0" w:color="auto"/>
        <w:bottom w:val="none" w:sz="0" w:space="0" w:color="auto"/>
        <w:right w:val="none" w:sz="0" w:space="0" w:color="auto"/>
      </w:divBdr>
      <w:divsChild>
        <w:div w:id="41177433">
          <w:marLeft w:val="0"/>
          <w:marRight w:val="0"/>
          <w:marTop w:val="0"/>
          <w:marBottom w:val="0"/>
          <w:divBdr>
            <w:top w:val="none" w:sz="0" w:space="0" w:color="auto"/>
            <w:left w:val="none" w:sz="0" w:space="0" w:color="auto"/>
            <w:bottom w:val="none" w:sz="0" w:space="0" w:color="auto"/>
            <w:right w:val="none" w:sz="0" w:space="0" w:color="auto"/>
          </w:divBdr>
          <w:divsChild>
            <w:div w:id="859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1689">
      <w:bodyDiv w:val="1"/>
      <w:marLeft w:val="0"/>
      <w:marRight w:val="0"/>
      <w:marTop w:val="0"/>
      <w:marBottom w:val="0"/>
      <w:divBdr>
        <w:top w:val="none" w:sz="0" w:space="0" w:color="auto"/>
        <w:left w:val="none" w:sz="0" w:space="0" w:color="auto"/>
        <w:bottom w:val="none" w:sz="0" w:space="0" w:color="auto"/>
        <w:right w:val="none" w:sz="0" w:space="0" w:color="auto"/>
      </w:divBdr>
    </w:div>
    <w:div w:id="2031250851">
      <w:bodyDiv w:val="1"/>
      <w:marLeft w:val="0"/>
      <w:marRight w:val="0"/>
      <w:marTop w:val="0"/>
      <w:marBottom w:val="0"/>
      <w:divBdr>
        <w:top w:val="none" w:sz="0" w:space="0" w:color="auto"/>
        <w:left w:val="none" w:sz="0" w:space="0" w:color="auto"/>
        <w:bottom w:val="none" w:sz="0" w:space="0" w:color="auto"/>
        <w:right w:val="none" w:sz="0" w:space="0" w:color="auto"/>
      </w:divBdr>
    </w:div>
    <w:div w:id="2047870295">
      <w:bodyDiv w:val="1"/>
      <w:marLeft w:val="0"/>
      <w:marRight w:val="0"/>
      <w:marTop w:val="0"/>
      <w:marBottom w:val="0"/>
      <w:divBdr>
        <w:top w:val="none" w:sz="0" w:space="0" w:color="auto"/>
        <w:left w:val="none" w:sz="0" w:space="0" w:color="auto"/>
        <w:bottom w:val="none" w:sz="0" w:space="0" w:color="auto"/>
        <w:right w:val="none" w:sz="0" w:space="0" w:color="auto"/>
      </w:divBdr>
    </w:div>
    <w:div w:id="2088533028">
      <w:bodyDiv w:val="1"/>
      <w:marLeft w:val="0"/>
      <w:marRight w:val="0"/>
      <w:marTop w:val="0"/>
      <w:marBottom w:val="0"/>
      <w:divBdr>
        <w:top w:val="none" w:sz="0" w:space="0" w:color="auto"/>
        <w:left w:val="none" w:sz="0" w:space="0" w:color="auto"/>
        <w:bottom w:val="none" w:sz="0" w:space="0" w:color="auto"/>
        <w:right w:val="none" w:sz="0" w:space="0" w:color="auto"/>
      </w:divBdr>
    </w:div>
    <w:div w:id="2127114533">
      <w:bodyDiv w:val="1"/>
      <w:marLeft w:val="0"/>
      <w:marRight w:val="0"/>
      <w:marTop w:val="0"/>
      <w:marBottom w:val="0"/>
      <w:divBdr>
        <w:top w:val="none" w:sz="0" w:space="0" w:color="auto"/>
        <w:left w:val="none" w:sz="0" w:space="0" w:color="auto"/>
        <w:bottom w:val="none" w:sz="0" w:space="0" w:color="auto"/>
        <w:right w:val="none" w:sz="0" w:space="0" w:color="auto"/>
      </w:divBdr>
    </w:div>
    <w:div w:id="212738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si\Desktop\Projects\IB%20Projects\Equity_Research\Lyft\LYFT_Historical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sng" strike="noStrike" kern="1200" spc="0" baseline="0">
                <a:solidFill>
                  <a:sysClr val="windowText" lastClr="000000"/>
                </a:solidFill>
              </a:rPr>
              <a:t>Price Performance (2019-2025)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41426071741031"/>
          <c:y val="0.17171296296296298"/>
          <c:w val="0.85847462817147857"/>
          <c:h val="0.72125801983085447"/>
        </c:manualLayout>
      </c:layout>
      <c:lineChart>
        <c:grouping val="standard"/>
        <c:varyColors val="0"/>
        <c:ser>
          <c:idx val="0"/>
          <c:order val="0"/>
          <c:tx>
            <c:strRef>
              <c:f>Sheet2!$B$1</c:f>
              <c:strCache>
                <c:ptCount val="1"/>
                <c:pt idx="0">
                  <c:v>Close/Last</c:v>
                </c:pt>
              </c:strCache>
            </c:strRef>
          </c:tx>
          <c:spPr>
            <a:ln w="28575" cap="rnd">
              <a:solidFill>
                <a:schemeClr val="accent1"/>
              </a:solidFill>
              <a:round/>
            </a:ln>
            <a:effectLst/>
          </c:spPr>
          <c:marker>
            <c:symbol val="none"/>
          </c:marker>
          <c:dLbls>
            <c:dLbl>
              <c:idx val="3"/>
              <c:layout>
                <c:manualLayout>
                  <c:x val="-6.6305555555555562E-2"/>
                  <c:y val="5.224555263925342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1C7-4065-B6CA-C41944DECBE0}"/>
                </c:ext>
              </c:extLst>
            </c:dLbl>
            <c:numFmt formatCode="&quot;$&quot;#,##0.0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Sheet2!$A$2:$A$8</c:f>
              <c:numCache>
                <c:formatCode>General</c:formatCode>
                <c:ptCount val="7"/>
                <c:pt idx="0">
                  <c:v>2025</c:v>
                </c:pt>
                <c:pt idx="1">
                  <c:v>2024</c:v>
                </c:pt>
                <c:pt idx="2">
                  <c:v>2023</c:v>
                </c:pt>
                <c:pt idx="3">
                  <c:v>2022</c:v>
                </c:pt>
                <c:pt idx="4">
                  <c:v>2021</c:v>
                </c:pt>
                <c:pt idx="5">
                  <c:v>2020</c:v>
                </c:pt>
                <c:pt idx="6">
                  <c:v>2019</c:v>
                </c:pt>
              </c:numCache>
            </c:numRef>
          </c:cat>
          <c:val>
            <c:numRef>
              <c:f>Sheet2!$B$2:$B$8</c:f>
              <c:numCache>
                <c:formatCode>General</c:formatCode>
                <c:ptCount val="7"/>
                <c:pt idx="0">
                  <c:v>18.32</c:v>
                </c:pt>
                <c:pt idx="1">
                  <c:v>12.9</c:v>
                </c:pt>
                <c:pt idx="2">
                  <c:v>14.99</c:v>
                </c:pt>
                <c:pt idx="3">
                  <c:v>11.02</c:v>
                </c:pt>
                <c:pt idx="4">
                  <c:v>42.73</c:v>
                </c:pt>
                <c:pt idx="5">
                  <c:v>49.13</c:v>
                </c:pt>
                <c:pt idx="6">
                  <c:v>43.02</c:v>
                </c:pt>
              </c:numCache>
            </c:numRef>
          </c:val>
          <c:smooth val="0"/>
          <c:extLst>
            <c:ext xmlns:c16="http://schemas.microsoft.com/office/drawing/2014/chart" uri="{C3380CC4-5D6E-409C-BE32-E72D297353CC}">
              <c16:uniqueId val="{00000001-51C7-4065-B6CA-C41944DECBE0}"/>
            </c:ext>
          </c:extLst>
        </c:ser>
        <c:dLbls>
          <c:dLblPos val="t"/>
          <c:showLegendKey val="0"/>
          <c:showVal val="1"/>
          <c:showCatName val="0"/>
          <c:showSerName val="0"/>
          <c:showPercent val="0"/>
          <c:showBubbleSize val="0"/>
        </c:dLbls>
        <c:smooth val="0"/>
        <c:axId val="392491856"/>
        <c:axId val="392492816"/>
      </c:lineChart>
      <c:dateAx>
        <c:axId val="392491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92492816"/>
        <c:crosses val="autoZero"/>
        <c:auto val="0"/>
        <c:lblOffset val="100"/>
        <c:baseTimeUnit val="days"/>
      </c:dateAx>
      <c:valAx>
        <c:axId val="392492816"/>
        <c:scaling>
          <c:orientation val="minMax"/>
        </c:scaling>
        <c:delete val="0"/>
        <c:axPos val="l"/>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9249185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3934</TotalTime>
  <Pages>9</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Nkgopoleng Sebake</dc:creator>
  <cp:keywords/>
  <dc:description/>
  <cp:lastModifiedBy>Nkgopoleng Sebake</cp:lastModifiedBy>
  <cp:revision>123</cp:revision>
  <cp:lastPrinted>2025-08-14T12:22:00Z</cp:lastPrinted>
  <dcterms:created xsi:type="dcterms:W3CDTF">2025-05-19T11:48:00Z</dcterms:created>
  <dcterms:modified xsi:type="dcterms:W3CDTF">2025-09-14T20:54:00Z</dcterms:modified>
</cp:coreProperties>
</file>