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CD0B81">
              <w:rPr>
                <w:bCs/>
                <w:spacing w:val="-2"/>
                <w:sz w:val="20"/>
                <w:szCs w:val="20"/>
                <w:highlight w:val="yellow"/>
              </w:rPr>
              <w:t>BUY</w:t>
            </w:r>
          </w:p>
        </w:tc>
      </w:tr>
      <w:tr w:rsidR="00AD687E" w:rsidRPr="00B9076D" w14:paraId="5B4412F1" w14:textId="77777777" w:rsidTr="00705ADB">
        <w:trPr>
          <w:trHeight w:val="273"/>
        </w:trPr>
        <w:tc>
          <w:tcPr>
            <w:tcW w:w="2268" w:type="dxa"/>
          </w:tcPr>
          <w:p w14:paraId="158683F9" w14:textId="0898565E"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7A4AF2">
              <w:rPr>
                <w:b/>
                <w:bCs/>
                <w:sz w:val="20"/>
                <w:szCs w:val="20"/>
              </w:rPr>
              <w:t>2025/09/12</w:t>
            </w:r>
            <w:r w:rsidRPr="00B9076D">
              <w:rPr>
                <w:b/>
                <w:bCs/>
                <w:sz w:val="20"/>
                <w:szCs w:val="20"/>
              </w:rPr>
              <w:t>,</w:t>
            </w:r>
            <w:r w:rsidRPr="00B9076D">
              <w:rPr>
                <w:b/>
                <w:bCs/>
                <w:spacing w:val="-4"/>
                <w:sz w:val="20"/>
                <w:szCs w:val="20"/>
              </w:rPr>
              <w:t xml:space="preserve"> </w:t>
            </w:r>
            <w:r w:rsidR="00D360CA" w:rsidRPr="00B9076D">
              <w:rPr>
                <w:b/>
                <w:bCs/>
                <w:spacing w:val="-2"/>
                <w:sz w:val="20"/>
                <w:szCs w:val="20"/>
              </w:rPr>
              <w:t>$</w:t>
            </w:r>
            <w:r w:rsidRPr="00B9076D">
              <w:rPr>
                <w:b/>
                <w:bCs/>
                <w:spacing w:val="-2"/>
                <w:sz w:val="20"/>
                <w:szCs w:val="20"/>
              </w:rPr>
              <w:t>):</w:t>
            </w:r>
          </w:p>
        </w:tc>
        <w:tc>
          <w:tcPr>
            <w:tcW w:w="1843" w:type="dxa"/>
          </w:tcPr>
          <w:p w14:paraId="64819BD4" w14:textId="729FC30B" w:rsidR="00AD687E" w:rsidRPr="00B9076D" w:rsidRDefault="00D360CA" w:rsidP="00581196">
            <w:pPr>
              <w:pStyle w:val="TableParagraph"/>
              <w:spacing w:before="16" w:line="240" w:lineRule="auto"/>
              <w:ind w:left="0" w:right="79"/>
              <w:jc w:val="both"/>
              <w:rPr>
                <w:sz w:val="20"/>
                <w:szCs w:val="20"/>
              </w:rPr>
            </w:pPr>
            <w:r w:rsidRPr="00B9076D">
              <w:rPr>
                <w:spacing w:val="-4"/>
                <w:sz w:val="20"/>
                <w:szCs w:val="20"/>
              </w:rPr>
              <w:t>$</w:t>
            </w:r>
            <w:r w:rsidR="002B2561">
              <w:rPr>
                <w:spacing w:val="-4"/>
                <w:sz w:val="20"/>
                <w:szCs w:val="20"/>
              </w:rPr>
              <w:t>18,32</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0CCE5133" w:rsidR="00AD687E" w:rsidRPr="00DC57AE" w:rsidRDefault="00D360CA" w:rsidP="00581196">
            <w:pPr>
              <w:pStyle w:val="TableParagraph"/>
              <w:spacing w:before="4" w:line="240" w:lineRule="auto"/>
              <w:ind w:left="0" w:right="79"/>
              <w:jc w:val="both"/>
              <w:rPr>
                <w:sz w:val="20"/>
                <w:szCs w:val="20"/>
                <w:highlight w:val="yellow"/>
              </w:rPr>
            </w:pPr>
            <w:r w:rsidRPr="00DC57AE">
              <w:rPr>
                <w:spacing w:val="-4"/>
                <w:sz w:val="20"/>
                <w:szCs w:val="20"/>
                <w:highlight w:val="yellow"/>
              </w:rPr>
              <w:t>$</w:t>
            </w:r>
            <w:r w:rsidR="000B1E89" w:rsidRPr="00DC57AE">
              <w:rPr>
                <w:spacing w:val="-4"/>
                <w:sz w:val="20"/>
                <w:szCs w:val="20"/>
                <w:highlight w:val="yellow"/>
              </w:rPr>
              <w:t>145</w:t>
            </w:r>
            <w:r w:rsidR="00136AF5" w:rsidRPr="00DC57AE">
              <w:rPr>
                <w:spacing w:val="-4"/>
                <w:sz w:val="20"/>
                <w:szCs w:val="20"/>
                <w:highlight w:val="yellow"/>
              </w:rPr>
              <w:t>,46</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13235A32" w:rsidR="00AD687E" w:rsidRPr="00DC57AE" w:rsidRDefault="00705ADB" w:rsidP="00581196">
            <w:pPr>
              <w:pStyle w:val="TableParagraph"/>
              <w:spacing w:before="13" w:line="240" w:lineRule="auto"/>
              <w:ind w:left="0" w:right="68"/>
              <w:jc w:val="both"/>
              <w:rPr>
                <w:sz w:val="20"/>
                <w:szCs w:val="20"/>
                <w:highlight w:val="yellow"/>
              </w:rPr>
            </w:pPr>
            <w:r w:rsidRPr="00DC57AE">
              <w:rPr>
                <w:sz w:val="20"/>
                <w:szCs w:val="20"/>
                <w:highlight w:val="yellow"/>
              </w:rPr>
              <w:t>$</w:t>
            </w:r>
            <w:r w:rsidR="002F3350" w:rsidRPr="00DC57AE">
              <w:rPr>
                <w:sz w:val="20"/>
                <w:szCs w:val="20"/>
                <w:highlight w:val="yellow"/>
              </w:rPr>
              <w:t>12,90</w:t>
            </w:r>
            <w:r w:rsidRPr="00DC57AE">
              <w:rPr>
                <w:sz w:val="20"/>
                <w:szCs w:val="20"/>
                <w:highlight w:val="yellow"/>
              </w:rPr>
              <w:t xml:space="preserve"> - </w:t>
            </w:r>
            <w:r w:rsidRPr="00DC57AE">
              <w:rPr>
                <w:spacing w:val="-4"/>
                <w:sz w:val="20"/>
                <w:szCs w:val="20"/>
                <w:highlight w:val="yellow"/>
              </w:rPr>
              <w:t>$</w:t>
            </w:r>
            <w:r w:rsidR="002F3350" w:rsidRPr="00DC57AE">
              <w:rPr>
                <w:spacing w:val="-4"/>
                <w:sz w:val="20"/>
                <w:szCs w:val="20"/>
                <w:highlight w:val="yellow"/>
              </w:rPr>
              <w:t>15,81</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4A10B5E3" w:rsidR="00AD687E" w:rsidRPr="00DC57AE" w:rsidRDefault="000B1E89" w:rsidP="00581196">
            <w:pPr>
              <w:pStyle w:val="TableParagraph"/>
              <w:spacing w:before="8" w:line="196" w:lineRule="exact"/>
              <w:ind w:left="0" w:right="77"/>
              <w:jc w:val="both"/>
              <w:rPr>
                <w:spacing w:val="-2"/>
                <w:sz w:val="20"/>
                <w:szCs w:val="20"/>
                <w:highlight w:val="yellow"/>
              </w:rPr>
            </w:pPr>
            <w:r w:rsidRPr="00DC57AE">
              <w:rPr>
                <w:spacing w:val="-2"/>
                <w:sz w:val="20"/>
                <w:szCs w:val="20"/>
                <w:highlight w:val="yellow"/>
              </w:rPr>
              <w:t>$</w:t>
            </w:r>
            <w:r w:rsidR="002F3350" w:rsidRPr="00DC57AE">
              <w:rPr>
                <w:spacing w:val="-2"/>
                <w:sz w:val="20"/>
                <w:szCs w:val="20"/>
                <w:highlight w:val="yellow"/>
              </w:rPr>
              <w:t>6 425,8</w:t>
            </w:r>
          </w:p>
          <w:p w14:paraId="647DEE6F" w14:textId="743AF7A1" w:rsidR="00AD687E" w:rsidRPr="00DC57AE" w:rsidRDefault="00AD687E" w:rsidP="00581196">
            <w:pPr>
              <w:pStyle w:val="TableParagraph"/>
              <w:spacing w:before="8" w:line="196" w:lineRule="exact"/>
              <w:ind w:left="0" w:right="77"/>
              <w:jc w:val="both"/>
              <w:rPr>
                <w:spacing w:val="-2"/>
                <w:sz w:val="20"/>
                <w:szCs w:val="20"/>
                <w:highlight w:val="yellow"/>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Pr="00AD687E" w:rsidRDefault="00024707" w:rsidP="00581196">
      <w:pPr>
        <w:ind w:left="-993" w:right="-897"/>
        <w:jc w:val="both"/>
        <w:rPr>
          <w:color w:val="003868"/>
          <w:spacing w:val="-4"/>
          <w:sz w:val="19"/>
        </w:rPr>
      </w:pPr>
    </w:p>
    <w:p w14:paraId="35A110B2" w14:textId="140402D6" w:rsidR="00F75530" w:rsidRDefault="00005883" w:rsidP="00F75530">
      <w:pPr>
        <w:spacing w:line="357" w:lineRule="auto"/>
        <w:ind w:left="-567" w:right="-48" w:hanging="142"/>
        <w:jc w:val="both"/>
        <w:rPr>
          <w:b/>
          <w:sz w:val="20"/>
          <w:szCs w:val="20"/>
        </w:rPr>
      </w:pPr>
      <w:r>
        <w:rPr>
          <w:noProof/>
        </w:rPr>
        <w:drawing>
          <wp:inline distT="0" distB="0" distL="0" distR="0" wp14:anchorId="78ED9073" wp14:editId="2B4FA4A4">
            <wp:extent cx="6657975" cy="2743200"/>
            <wp:effectExtent l="0" t="0" r="9525" b="0"/>
            <wp:docPr id="476073956" name="Chart 1">
              <a:extLst xmlns:a="http://schemas.openxmlformats.org/drawingml/2006/main">
                <a:ext uri="{FF2B5EF4-FFF2-40B4-BE49-F238E27FC236}">
                  <a16:creationId xmlns:a16="http://schemas.microsoft.com/office/drawing/2014/main" id="{D55DC726-4757-3AC8-C35C-3C02AE20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D687E">
        <w:rPr>
          <w:b/>
          <w:spacing w:val="-2"/>
          <w:sz w:val="20"/>
          <w:szCs w:val="20"/>
        </w:rPr>
        <w:t xml:space="preserve">                                                                                                                                                                 </w:t>
      </w:r>
    </w:p>
    <w:p w14:paraId="66EE5792" w14:textId="19824516" w:rsidR="00F75530" w:rsidRPr="00F75530" w:rsidRDefault="00F75530" w:rsidP="00F75530">
      <w:pPr>
        <w:spacing w:line="357" w:lineRule="auto"/>
        <w:ind w:left="-567" w:right="-48" w:hanging="142"/>
        <w:jc w:val="both"/>
        <w:rPr>
          <w:b/>
          <w:sz w:val="20"/>
          <w:szCs w:val="20"/>
        </w:rPr>
      </w:pPr>
      <w:r w:rsidRPr="00F75530">
        <w:rPr>
          <w:rFonts w:ascii="Arial" w:hAnsi="Arial" w:cs="Arial"/>
          <w:b/>
          <w:bCs/>
          <w:sz w:val="20"/>
          <w:szCs w:val="20"/>
          <w:u w:val="single"/>
        </w:rPr>
        <w:t>Industry Research – Ridesharing and Mobility</w:t>
      </w:r>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Porter’s Five Forces:</w:t>
      </w:r>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2498DEC2" w14:textId="32DF06A4" w:rsidR="00F75530" w:rsidRP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17A66CDB" w14:textId="77777777" w:rsidR="00F75530" w:rsidRDefault="00F75530" w:rsidP="00F75530">
      <w:pPr>
        <w:pStyle w:val="ListParagraph"/>
        <w:spacing w:line="276" w:lineRule="auto"/>
        <w:ind w:left="-567" w:right="-22"/>
        <w:jc w:val="both"/>
        <w:rPr>
          <w:rFonts w:ascii="Arial" w:hAnsi="Arial" w:cs="Arial"/>
          <w:b/>
          <w:bCs/>
          <w:sz w:val="20"/>
          <w:szCs w:val="20"/>
          <w:u w:val="single"/>
        </w:rPr>
      </w:pPr>
    </w:p>
    <w:p w14:paraId="56BF84FD"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048419B9"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34BFA914"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4BDBFCE2"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6A068477" w14:textId="77777777" w:rsidR="003A79F4" w:rsidRDefault="003A79F4" w:rsidP="00F75530">
      <w:pPr>
        <w:pStyle w:val="ListParagraph"/>
        <w:spacing w:line="276" w:lineRule="auto"/>
        <w:ind w:left="-567" w:right="-22"/>
        <w:jc w:val="both"/>
        <w:rPr>
          <w:rFonts w:ascii="Arial" w:hAnsi="Arial" w:cs="Arial"/>
          <w:b/>
          <w:bCs/>
          <w:sz w:val="20"/>
          <w:szCs w:val="20"/>
          <w:u w:val="single"/>
        </w:rPr>
      </w:pPr>
    </w:p>
    <w:p w14:paraId="13389C3B" w14:textId="77777777" w:rsidR="003A79F4" w:rsidRPr="00F75530" w:rsidRDefault="003A79F4" w:rsidP="00F75530">
      <w:pPr>
        <w:pStyle w:val="ListParagraph"/>
        <w:spacing w:line="276" w:lineRule="auto"/>
        <w:ind w:left="-567" w:right="-22"/>
        <w:jc w:val="both"/>
        <w:rPr>
          <w:rFonts w:ascii="Arial" w:hAnsi="Arial" w:cs="Arial"/>
          <w:b/>
          <w:bCs/>
          <w:sz w:val="20"/>
          <w:szCs w:val="20"/>
          <w:u w:val="single"/>
        </w:rPr>
      </w:pPr>
    </w:p>
    <w:p w14:paraId="26057CE7" w14:textId="77777777" w:rsidR="003A79F4" w:rsidRDefault="00F75530" w:rsidP="003A79F4">
      <w:pPr>
        <w:pStyle w:val="ListParagraph"/>
        <w:spacing w:line="276" w:lineRule="auto"/>
        <w:ind w:left="-567" w:right="-22"/>
        <w:jc w:val="both"/>
        <w:rPr>
          <w:rFonts w:ascii="Arial" w:hAnsi="Arial" w:cs="Arial"/>
          <w:b/>
          <w:bCs/>
          <w:sz w:val="20"/>
          <w:szCs w:val="20"/>
          <w:u w:val="single"/>
        </w:rPr>
      </w:pPr>
      <w:r w:rsidRPr="00F75530">
        <w:rPr>
          <w:rFonts w:ascii="Arial" w:hAnsi="Arial" w:cs="Arial"/>
          <w:b/>
          <w:bCs/>
          <w:sz w:val="20"/>
          <w:szCs w:val="20"/>
          <w:u w:val="single"/>
        </w:rPr>
        <w:t>PEST Analysis:</w:t>
      </w:r>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3A79F4">
      <w:pPr>
        <w:pStyle w:val="ListParagraph"/>
        <w:spacing w:line="276" w:lineRule="auto"/>
        <w:ind w:left="-851" w:right="-22"/>
        <w:jc w:val="both"/>
        <w:rPr>
          <w:rFonts w:ascii="Arial" w:hAnsi="Arial" w:cs="Arial"/>
          <w:b/>
          <w:bCs/>
          <w:sz w:val="20"/>
          <w:szCs w:val="20"/>
          <w:u w:val="single"/>
        </w:rPr>
      </w:pPr>
      <w:r w:rsidRPr="00A12D41">
        <w:rPr>
          <w:rFonts w:ascii="Arial" w:hAnsi="Arial" w:cs="Arial"/>
          <w:b/>
          <w:bCs/>
          <w:sz w:val="20"/>
          <w:szCs w:val="20"/>
          <w:u w:val="single"/>
        </w:rPr>
        <w:t>Financial Guidance:</w:t>
      </w:r>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DC57AE" w:rsidRDefault="003A79F4" w:rsidP="003A79F4">
      <w:pPr>
        <w:pStyle w:val="ListParagraph"/>
        <w:spacing w:line="276" w:lineRule="auto"/>
        <w:ind w:left="-567" w:right="-22"/>
        <w:jc w:val="both"/>
        <w:rPr>
          <w:rFonts w:ascii="Arial" w:hAnsi="Arial" w:cs="Arial"/>
          <w:sz w:val="20"/>
          <w:szCs w:val="20"/>
          <w:highlight w:val="yellow"/>
        </w:rPr>
      </w:pPr>
      <w:r w:rsidRPr="00DC57AE">
        <w:rPr>
          <w:rFonts w:ascii="Arial" w:hAnsi="Arial" w:cs="Arial"/>
          <w:sz w:val="20"/>
          <w:szCs w:val="20"/>
          <w:highlight w:val="yellow"/>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DC57AE" w:rsidRDefault="003A79F4" w:rsidP="003A79F4">
      <w:pPr>
        <w:pStyle w:val="ListParagraph"/>
        <w:spacing w:line="276" w:lineRule="auto"/>
        <w:ind w:left="-567" w:right="-22"/>
        <w:jc w:val="both"/>
        <w:rPr>
          <w:rFonts w:ascii="Arial" w:hAnsi="Arial" w:cs="Arial"/>
          <w:sz w:val="20"/>
          <w:szCs w:val="20"/>
          <w:highlight w:val="yellow"/>
        </w:rPr>
      </w:pPr>
    </w:p>
    <w:p w14:paraId="0EAE241C" w14:textId="77777777" w:rsidR="003A79F4" w:rsidRPr="00DC57AE" w:rsidRDefault="003A79F4" w:rsidP="003A79F4">
      <w:pPr>
        <w:pStyle w:val="ListParagraph"/>
        <w:spacing w:line="276" w:lineRule="auto"/>
        <w:ind w:left="-567" w:right="-22"/>
        <w:jc w:val="both"/>
        <w:rPr>
          <w:rFonts w:ascii="Arial" w:hAnsi="Arial" w:cs="Arial"/>
          <w:sz w:val="20"/>
          <w:szCs w:val="20"/>
          <w:highlight w:val="yellow"/>
        </w:rPr>
      </w:pPr>
      <w:r w:rsidRPr="00DC57AE">
        <w:rPr>
          <w:rFonts w:ascii="Arial" w:hAnsi="Arial" w:cs="Arial"/>
          <w:sz w:val="20"/>
          <w:szCs w:val="20"/>
          <w:highlight w:val="yellow"/>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DC57AE" w:rsidRDefault="003A79F4" w:rsidP="003A79F4">
      <w:pPr>
        <w:pStyle w:val="ListParagraph"/>
        <w:spacing w:line="276" w:lineRule="auto"/>
        <w:ind w:left="-567" w:right="-22"/>
        <w:jc w:val="both"/>
        <w:rPr>
          <w:rFonts w:ascii="Arial" w:hAnsi="Arial" w:cs="Arial"/>
          <w:sz w:val="20"/>
          <w:szCs w:val="20"/>
          <w:highlight w:val="yellow"/>
        </w:rPr>
      </w:pPr>
    </w:p>
    <w:p w14:paraId="17C23599" w14:textId="3B70977B" w:rsidR="00421B3F" w:rsidRDefault="003A79F4" w:rsidP="00992CE1">
      <w:pPr>
        <w:pStyle w:val="ListParagraph"/>
        <w:spacing w:line="276" w:lineRule="auto"/>
        <w:ind w:left="-567" w:right="-22"/>
        <w:jc w:val="both"/>
        <w:rPr>
          <w:rFonts w:ascii="Arial" w:hAnsi="Arial" w:cs="Arial"/>
          <w:sz w:val="20"/>
          <w:szCs w:val="20"/>
        </w:rPr>
      </w:pPr>
      <w:r w:rsidRPr="00DC57AE">
        <w:rPr>
          <w:rFonts w:ascii="Arial" w:hAnsi="Arial" w:cs="Arial"/>
          <w:sz w:val="20"/>
          <w:szCs w:val="20"/>
          <w:highlight w:val="yellow"/>
        </w:rPr>
        <w:t>Looking ahead to Q3 2025, which includes two months post-</w:t>
      </w:r>
      <w:proofErr w:type="spellStart"/>
      <w:r w:rsidRPr="00DC57AE">
        <w:rPr>
          <w:rFonts w:ascii="Arial" w:hAnsi="Arial" w:cs="Arial"/>
          <w:sz w:val="20"/>
          <w:szCs w:val="20"/>
          <w:highlight w:val="yellow"/>
        </w:rPr>
        <w:t>Freenow</w:t>
      </w:r>
      <w:proofErr w:type="spellEnd"/>
      <w:r w:rsidRPr="00DC57AE">
        <w:rPr>
          <w:rFonts w:ascii="Arial" w:hAnsi="Arial" w:cs="Arial"/>
          <w:sz w:val="20"/>
          <w:szCs w:val="20"/>
          <w:highlight w:val="yellow"/>
        </w:rPr>
        <w:t xml:space="preserve">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7392DE56" w14:textId="77777777" w:rsidR="00B073D0" w:rsidRDefault="00B073D0" w:rsidP="00992CE1">
      <w:pPr>
        <w:pStyle w:val="ListParagraph"/>
        <w:spacing w:line="276" w:lineRule="auto"/>
        <w:ind w:left="-567" w:right="-22"/>
        <w:jc w:val="both"/>
        <w:rPr>
          <w:rFonts w:ascii="Arial" w:hAnsi="Arial" w:cs="Arial"/>
          <w:sz w:val="20"/>
          <w:szCs w:val="20"/>
        </w:rPr>
      </w:pPr>
    </w:p>
    <w:p w14:paraId="49F0E982" w14:textId="77777777" w:rsidR="00D41995" w:rsidRDefault="00D41995" w:rsidP="00992CE1">
      <w:pPr>
        <w:pStyle w:val="ListParagraph"/>
        <w:spacing w:line="276" w:lineRule="auto"/>
        <w:ind w:left="-567" w:right="-22"/>
        <w:jc w:val="both"/>
        <w:rPr>
          <w:rFonts w:ascii="Arial" w:hAnsi="Arial" w:cs="Arial"/>
          <w:sz w:val="20"/>
          <w:szCs w:val="20"/>
        </w:rPr>
      </w:pPr>
    </w:p>
    <w:p w14:paraId="022E0026" w14:textId="77777777" w:rsidR="00D41995" w:rsidRDefault="00D41995" w:rsidP="00992CE1">
      <w:pPr>
        <w:pStyle w:val="ListParagraph"/>
        <w:spacing w:line="276" w:lineRule="auto"/>
        <w:ind w:left="-567" w:right="-22"/>
        <w:jc w:val="both"/>
        <w:rPr>
          <w:rFonts w:ascii="Arial" w:hAnsi="Arial" w:cs="Arial"/>
          <w:sz w:val="20"/>
          <w:szCs w:val="20"/>
        </w:rPr>
      </w:pPr>
    </w:p>
    <w:p w14:paraId="5524EC63" w14:textId="77777777" w:rsidR="00D41995" w:rsidRDefault="00D41995" w:rsidP="00992CE1">
      <w:pPr>
        <w:pStyle w:val="ListParagraph"/>
        <w:spacing w:line="276" w:lineRule="auto"/>
        <w:ind w:left="-567" w:right="-22"/>
        <w:jc w:val="both"/>
        <w:rPr>
          <w:rFonts w:ascii="Arial" w:hAnsi="Arial" w:cs="Arial"/>
          <w:sz w:val="20"/>
          <w:szCs w:val="20"/>
        </w:rPr>
      </w:pPr>
    </w:p>
    <w:p w14:paraId="3F457CD4" w14:textId="77777777" w:rsidR="00D41995" w:rsidRDefault="00D41995" w:rsidP="00992CE1">
      <w:pPr>
        <w:pStyle w:val="ListParagraph"/>
        <w:spacing w:line="276" w:lineRule="auto"/>
        <w:ind w:left="-567" w:right="-22"/>
        <w:jc w:val="both"/>
        <w:rPr>
          <w:rFonts w:ascii="Arial" w:hAnsi="Arial" w:cs="Arial"/>
          <w:sz w:val="20"/>
          <w:szCs w:val="20"/>
        </w:rPr>
      </w:pPr>
    </w:p>
    <w:p w14:paraId="183F01BE" w14:textId="77777777" w:rsidR="00D41995" w:rsidRDefault="00D41995" w:rsidP="00992CE1">
      <w:pPr>
        <w:pStyle w:val="ListParagraph"/>
        <w:spacing w:line="276" w:lineRule="auto"/>
        <w:ind w:left="-567" w:right="-22"/>
        <w:jc w:val="both"/>
        <w:rPr>
          <w:rFonts w:ascii="Arial" w:hAnsi="Arial" w:cs="Arial"/>
          <w:sz w:val="20"/>
          <w:szCs w:val="20"/>
        </w:rPr>
      </w:pPr>
    </w:p>
    <w:p w14:paraId="62531F5A" w14:textId="77777777" w:rsidR="00D41995" w:rsidRDefault="00D41995" w:rsidP="00992CE1">
      <w:pPr>
        <w:pStyle w:val="ListParagraph"/>
        <w:spacing w:line="276" w:lineRule="auto"/>
        <w:ind w:left="-567" w:right="-22"/>
        <w:jc w:val="both"/>
        <w:rPr>
          <w:rFonts w:ascii="Arial" w:hAnsi="Arial" w:cs="Arial"/>
          <w:sz w:val="20"/>
          <w:szCs w:val="20"/>
        </w:rPr>
      </w:pPr>
    </w:p>
    <w:p w14:paraId="0F80043A" w14:textId="77777777" w:rsidR="00D41995" w:rsidRDefault="00D41995" w:rsidP="00992CE1">
      <w:pPr>
        <w:pStyle w:val="ListParagraph"/>
        <w:spacing w:line="276" w:lineRule="auto"/>
        <w:ind w:left="-567" w:right="-22"/>
        <w:jc w:val="both"/>
        <w:rPr>
          <w:rFonts w:ascii="Arial" w:hAnsi="Arial" w:cs="Arial"/>
          <w:sz w:val="20"/>
          <w:szCs w:val="20"/>
        </w:rPr>
      </w:pPr>
    </w:p>
    <w:p w14:paraId="4C19034B" w14:textId="77777777" w:rsidR="00D41995" w:rsidRDefault="00D41995" w:rsidP="00992CE1">
      <w:pPr>
        <w:pStyle w:val="ListParagraph"/>
        <w:spacing w:line="276" w:lineRule="auto"/>
        <w:ind w:left="-567" w:right="-22"/>
        <w:jc w:val="both"/>
        <w:rPr>
          <w:rFonts w:ascii="Arial" w:hAnsi="Arial" w:cs="Arial"/>
          <w:sz w:val="20"/>
          <w:szCs w:val="20"/>
        </w:rPr>
      </w:pPr>
    </w:p>
    <w:p w14:paraId="7C455A71" w14:textId="77777777" w:rsidR="00D41995" w:rsidRDefault="00D41995" w:rsidP="00992CE1">
      <w:pPr>
        <w:pStyle w:val="ListParagraph"/>
        <w:spacing w:line="276" w:lineRule="auto"/>
        <w:ind w:left="-567" w:right="-22"/>
        <w:jc w:val="both"/>
        <w:rPr>
          <w:rFonts w:ascii="Arial" w:hAnsi="Arial" w:cs="Arial"/>
          <w:sz w:val="20"/>
          <w:szCs w:val="20"/>
        </w:rPr>
      </w:pPr>
    </w:p>
    <w:p w14:paraId="52954984" w14:textId="77777777" w:rsidR="00D41995" w:rsidRDefault="00D41995" w:rsidP="00992CE1">
      <w:pPr>
        <w:pStyle w:val="ListParagraph"/>
        <w:spacing w:line="276" w:lineRule="auto"/>
        <w:ind w:left="-567" w:right="-22"/>
        <w:jc w:val="both"/>
        <w:rPr>
          <w:rFonts w:ascii="Arial" w:hAnsi="Arial" w:cs="Arial"/>
          <w:sz w:val="20"/>
          <w:szCs w:val="20"/>
        </w:rPr>
      </w:pPr>
    </w:p>
    <w:p w14:paraId="51EA7838" w14:textId="77777777" w:rsidR="00D41995" w:rsidRDefault="00D41995" w:rsidP="00992CE1">
      <w:pPr>
        <w:pStyle w:val="ListParagraph"/>
        <w:spacing w:line="276" w:lineRule="auto"/>
        <w:ind w:left="-567" w:right="-22"/>
        <w:jc w:val="both"/>
        <w:rPr>
          <w:rFonts w:ascii="Arial" w:hAnsi="Arial" w:cs="Arial"/>
          <w:sz w:val="20"/>
          <w:szCs w:val="20"/>
        </w:rPr>
      </w:pPr>
    </w:p>
    <w:p w14:paraId="1044917F" w14:textId="77777777" w:rsidR="00D41995" w:rsidRDefault="00D41995" w:rsidP="00992CE1">
      <w:pPr>
        <w:pStyle w:val="ListParagraph"/>
        <w:spacing w:line="276" w:lineRule="auto"/>
        <w:ind w:left="-567" w:right="-22"/>
        <w:jc w:val="both"/>
        <w:rPr>
          <w:rFonts w:ascii="Arial" w:hAnsi="Arial" w:cs="Arial"/>
          <w:sz w:val="20"/>
          <w:szCs w:val="20"/>
        </w:rPr>
      </w:pPr>
    </w:p>
    <w:p w14:paraId="3DB51333" w14:textId="77777777" w:rsidR="00D41995" w:rsidRDefault="00D41995" w:rsidP="00992CE1">
      <w:pPr>
        <w:pStyle w:val="ListParagraph"/>
        <w:spacing w:line="276" w:lineRule="auto"/>
        <w:ind w:left="-567" w:right="-22"/>
        <w:jc w:val="both"/>
        <w:rPr>
          <w:rFonts w:ascii="Arial" w:hAnsi="Arial" w:cs="Arial"/>
          <w:sz w:val="20"/>
          <w:szCs w:val="20"/>
        </w:rPr>
      </w:pPr>
    </w:p>
    <w:p w14:paraId="4D7621AC" w14:textId="77777777" w:rsidR="00D41995" w:rsidRDefault="00D41995" w:rsidP="00992CE1">
      <w:pPr>
        <w:pStyle w:val="ListParagraph"/>
        <w:spacing w:line="276" w:lineRule="auto"/>
        <w:ind w:left="-567" w:right="-22"/>
        <w:jc w:val="both"/>
        <w:rPr>
          <w:rFonts w:ascii="Arial" w:hAnsi="Arial" w:cs="Arial"/>
          <w:sz w:val="20"/>
          <w:szCs w:val="20"/>
        </w:rPr>
      </w:pPr>
    </w:p>
    <w:p w14:paraId="599CBABB" w14:textId="77777777" w:rsidR="00D41995" w:rsidRDefault="00D41995" w:rsidP="00992CE1">
      <w:pPr>
        <w:pStyle w:val="ListParagraph"/>
        <w:spacing w:line="276" w:lineRule="auto"/>
        <w:ind w:left="-567" w:right="-22"/>
        <w:jc w:val="both"/>
        <w:rPr>
          <w:rFonts w:ascii="Arial" w:hAnsi="Arial" w:cs="Arial"/>
          <w:sz w:val="20"/>
          <w:szCs w:val="20"/>
        </w:rPr>
      </w:pPr>
    </w:p>
    <w:p w14:paraId="62A59D47" w14:textId="77777777" w:rsidR="00D41995" w:rsidRPr="00992CE1" w:rsidRDefault="00D41995" w:rsidP="00992CE1">
      <w:pPr>
        <w:pStyle w:val="ListParagraph"/>
        <w:spacing w:line="276" w:lineRule="auto"/>
        <w:ind w:left="-567" w:right="-22"/>
        <w:jc w:val="both"/>
        <w:rPr>
          <w:rFonts w:ascii="Arial" w:hAnsi="Arial" w:cs="Arial"/>
          <w:sz w:val="20"/>
          <w:szCs w:val="20"/>
        </w:rPr>
      </w:pPr>
    </w:p>
    <w:p w14:paraId="157188F8" w14:textId="3FA0542E" w:rsidR="00665C10" w:rsidRPr="00A12D41" w:rsidRDefault="00421B3F" w:rsidP="00581196">
      <w:pPr>
        <w:pStyle w:val="Title"/>
        <w:ind w:left="-851"/>
        <w:jc w:val="both"/>
        <w:rPr>
          <w:rFonts w:eastAsia="Calibri"/>
          <w:b/>
          <w:bCs/>
          <w:sz w:val="50"/>
          <w:szCs w:val="50"/>
          <w:u w:val="single"/>
          <w:lang w:val="en-US"/>
        </w:rPr>
      </w:pPr>
      <w:r w:rsidRPr="00A12D41">
        <w:rPr>
          <w:rFonts w:eastAsia="Calibri"/>
          <w:b/>
          <w:bCs/>
          <w:sz w:val="50"/>
          <w:szCs w:val="50"/>
          <w:u w:val="single"/>
          <w:lang w:val="en-US"/>
        </w:rPr>
        <w:lastRenderedPageBreak/>
        <w:t>Fundamentals</w:t>
      </w:r>
    </w:p>
    <w:tbl>
      <w:tblPr>
        <w:tblW w:w="11586" w:type="dxa"/>
        <w:tblInd w:w="-1276" w:type="dxa"/>
        <w:tblLook w:val="04A0" w:firstRow="1" w:lastRow="0" w:firstColumn="1" w:lastColumn="0" w:noHBand="0" w:noVBand="1"/>
      </w:tblPr>
      <w:tblGrid>
        <w:gridCol w:w="2563"/>
        <w:gridCol w:w="1289"/>
        <w:gridCol w:w="1289"/>
        <w:gridCol w:w="1289"/>
        <w:gridCol w:w="1289"/>
        <w:gridCol w:w="1289"/>
        <w:gridCol w:w="1289"/>
        <w:gridCol w:w="1289"/>
      </w:tblGrid>
      <w:tr w:rsidR="00992CE1" w:rsidRPr="00992CE1" w14:paraId="7B437571" w14:textId="77777777" w:rsidTr="00992CE1">
        <w:trPr>
          <w:trHeight w:val="434"/>
        </w:trPr>
        <w:tc>
          <w:tcPr>
            <w:tcW w:w="2563" w:type="dxa"/>
            <w:tcBorders>
              <w:top w:val="nil"/>
              <w:left w:val="nil"/>
              <w:bottom w:val="nil"/>
              <w:right w:val="nil"/>
            </w:tcBorders>
            <w:shd w:val="clear" w:color="000000" w:fill="132E57"/>
            <w:noWrap/>
            <w:vAlign w:val="center"/>
            <w:hideMark/>
          </w:tcPr>
          <w:p w14:paraId="6D54EE24" w14:textId="77777777" w:rsidR="00992CE1" w:rsidRPr="00992CE1" w:rsidRDefault="00992CE1" w:rsidP="00992CE1">
            <w:pPr>
              <w:spacing w:after="0" w:line="240" w:lineRule="auto"/>
              <w:rPr>
                <w:rFonts w:ascii="Arial Narrow" w:eastAsia="Times New Roman" w:hAnsi="Arial Narrow" w:cs="Calibri"/>
                <w:b/>
                <w:bCs/>
                <w:color w:val="FFFFFF"/>
                <w:kern w:val="0"/>
                <w:sz w:val="22"/>
                <w:szCs w:val="22"/>
                <w:lang w:eastAsia="en-ZA"/>
                <w14:ligatures w14:val="none"/>
              </w:rPr>
            </w:pPr>
            <w:r w:rsidRPr="00992CE1">
              <w:rPr>
                <w:rFonts w:ascii="Arial Narrow" w:eastAsia="Times New Roman" w:hAnsi="Arial Narrow" w:cs="Calibri"/>
                <w:b/>
                <w:bCs/>
                <w:color w:val="FFFFFF"/>
                <w:kern w:val="0"/>
                <w:sz w:val="22"/>
                <w:szCs w:val="22"/>
                <w:lang w:eastAsia="en-ZA"/>
                <w14:ligatures w14:val="none"/>
              </w:rPr>
              <w:t>Financial (Thousands)</w:t>
            </w:r>
          </w:p>
        </w:tc>
        <w:tc>
          <w:tcPr>
            <w:tcW w:w="1289" w:type="dxa"/>
            <w:tcBorders>
              <w:top w:val="nil"/>
              <w:left w:val="nil"/>
              <w:bottom w:val="nil"/>
              <w:right w:val="nil"/>
            </w:tcBorders>
            <w:shd w:val="clear" w:color="000000" w:fill="002060"/>
            <w:noWrap/>
            <w:vAlign w:val="bottom"/>
            <w:hideMark/>
          </w:tcPr>
          <w:p w14:paraId="6E40CDA4"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2024A</w:t>
            </w:r>
          </w:p>
        </w:tc>
        <w:tc>
          <w:tcPr>
            <w:tcW w:w="1289" w:type="dxa"/>
            <w:tcBorders>
              <w:top w:val="nil"/>
              <w:left w:val="nil"/>
              <w:bottom w:val="nil"/>
              <w:right w:val="nil"/>
            </w:tcBorders>
            <w:shd w:val="clear" w:color="000000" w:fill="2F75B5"/>
            <w:noWrap/>
            <w:vAlign w:val="bottom"/>
            <w:hideMark/>
          </w:tcPr>
          <w:p w14:paraId="471E0271"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2025E</w:t>
            </w:r>
          </w:p>
        </w:tc>
        <w:tc>
          <w:tcPr>
            <w:tcW w:w="1289" w:type="dxa"/>
            <w:tcBorders>
              <w:top w:val="nil"/>
              <w:left w:val="nil"/>
              <w:bottom w:val="nil"/>
              <w:right w:val="nil"/>
            </w:tcBorders>
            <w:shd w:val="clear" w:color="000000" w:fill="2F75B5"/>
            <w:noWrap/>
            <w:vAlign w:val="bottom"/>
            <w:hideMark/>
          </w:tcPr>
          <w:p w14:paraId="6550783F"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2026E</w:t>
            </w:r>
          </w:p>
        </w:tc>
        <w:tc>
          <w:tcPr>
            <w:tcW w:w="1289" w:type="dxa"/>
            <w:tcBorders>
              <w:top w:val="nil"/>
              <w:left w:val="nil"/>
              <w:bottom w:val="nil"/>
              <w:right w:val="nil"/>
            </w:tcBorders>
            <w:shd w:val="clear" w:color="000000" w:fill="2F75B5"/>
            <w:noWrap/>
            <w:vAlign w:val="bottom"/>
            <w:hideMark/>
          </w:tcPr>
          <w:p w14:paraId="5B2208DD"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2027E</w:t>
            </w:r>
          </w:p>
        </w:tc>
        <w:tc>
          <w:tcPr>
            <w:tcW w:w="1289" w:type="dxa"/>
            <w:tcBorders>
              <w:top w:val="nil"/>
              <w:left w:val="nil"/>
              <w:bottom w:val="nil"/>
              <w:right w:val="nil"/>
            </w:tcBorders>
            <w:shd w:val="clear" w:color="000000" w:fill="2F75B5"/>
            <w:noWrap/>
            <w:vAlign w:val="bottom"/>
            <w:hideMark/>
          </w:tcPr>
          <w:p w14:paraId="43BAE96A"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2028E</w:t>
            </w:r>
          </w:p>
        </w:tc>
        <w:tc>
          <w:tcPr>
            <w:tcW w:w="1289" w:type="dxa"/>
            <w:tcBorders>
              <w:top w:val="nil"/>
              <w:left w:val="nil"/>
              <w:bottom w:val="nil"/>
              <w:right w:val="nil"/>
            </w:tcBorders>
            <w:shd w:val="clear" w:color="000000" w:fill="2F75B5"/>
            <w:noWrap/>
            <w:vAlign w:val="bottom"/>
            <w:hideMark/>
          </w:tcPr>
          <w:p w14:paraId="74996D42"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2029E</w:t>
            </w:r>
          </w:p>
        </w:tc>
        <w:tc>
          <w:tcPr>
            <w:tcW w:w="1289" w:type="dxa"/>
            <w:tcBorders>
              <w:top w:val="nil"/>
              <w:left w:val="nil"/>
              <w:bottom w:val="nil"/>
              <w:right w:val="nil"/>
            </w:tcBorders>
            <w:shd w:val="clear" w:color="000000" w:fill="2F75B5"/>
            <w:noWrap/>
            <w:vAlign w:val="bottom"/>
            <w:hideMark/>
          </w:tcPr>
          <w:p w14:paraId="3D017071" w14:textId="77777777" w:rsidR="00992CE1" w:rsidRPr="00992CE1" w:rsidRDefault="00992CE1" w:rsidP="00992CE1">
            <w:pPr>
              <w:spacing w:after="0" w:line="240" w:lineRule="auto"/>
              <w:jc w:val="right"/>
              <w:rPr>
                <w:rFonts w:ascii="Calibri" w:eastAsia="Times New Roman" w:hAnsi="Calibri" w:cs="Calibri"/>
                <w:b/>
                <w:bCs/>
                <w:color w:val="FFFFFF"/>
                <w:kern w:val="0"/>
                <w:sz w:val="22"/>
                <w:szCs w:val="22"/>
                <w:lang w:eastAsia="en-ZA"/>
                <w14:ligatures w14:val="none"/>
              </w:rPr>
            </w:pPr>
            <w:r w:rsidRPr="00992CE1">
              <w:rPr>
                <w:rFonts w:ascii="Calibri" w:eastAsia="Times New Roman" w:hAnsi="Calibri" w:cs="Calibri"/>
                <w:b/>
                <w:bCs/>
                <w:color w:val="FFFFFF"/>
                <w:kern w:val="0"/>
                <w:sz w:val="22"/>
                <w:szCs w:val="22"/>
                <w:lang w:eastAsia="en-ZA"/>
                <w14:ligatures w14:val="none"/>
              </w:rPr>
              <w:t>2030E</w:t>
            </w:r>
          </w:p>
        </w:tc>
      </w:tr>
      <w:tr w:rsidR="00992CE1" w:rsidRPr="00992CE1" w14:paraId="1D24FE23" w14:textId="77777777" w:rsidTr="00992CE1">
        <w:trPr>
          <w:trHeight w:val="395"/>
        </w:trPr>
        <w:tc>
          <w:tcPr>
            <w:tcW w:w="2563" w:type="dxa"/>
            <w:tcBorders>
              <w:top w:val="nil"/>
              <w:left w:val="nil"/>
              <w:bottom w:val="nil"/>
              <w:right w:val="nil"/>
            </w:tcBorders>
            <w:noWrap/>
            <w:vAlign w:val="bottom"/>
            <w:hideMark/>
          </w:tcPr>
          <w:p w14:paraId="65FD5A72"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Revenue</w:t>
            </w:r>
          </w:p>
        </w:tc>
        <w:tc>
          <w:tcPr>
            <w:tcW w:w="1289" w:type="dxa"/>
            <w:tcBorders>
              <w:top w:val="nil"/>
              <w:left w:val="nil"/>
              <w:bottom w:val="nil"/>
              <w:right w:val="nil"/>
            </w:tcBorders>
            <w:noWrap/>
            <w:vAlign w:val="bottom"/>
            <w:hideMark/>
          </w:tcPr>
          <w:p w14:paraId="4383C4EB"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5 786 016,0</w:t>
            </w:r>
          </w:p>
        </w:tc>
        <w:tc>
          <w:tcPr>
            <w:tcW w:w="1289" w:type="dxa"/>
            <w:tcBorders>
              <w:top w:val="nil"/>
              <w:left w:val="nil"/>
              <w:bottom w:val="nil"/>
              <w:right w:val="nil"/>
            </w:tcBorders>
            <w:noWrap/>
            <w:vAlign w:val="bottom"/>
            <w:hideMark/>
          </w:tcPr>
          <w:p w14:paraId="31264EB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5 988 679,4</w:t>
            </w:r>
          </w:p>
        </w:tc>
        <w:tc>
          <w:tcPr>
            <w:tcW w:w="1289" w:type="dxa"/>
            <w:tcBorders>
              <w:top w:val="nil"/>
              <w:left w:val="nil"/>
              <w:bottom w:val="nil"/>
              <w:right w:val="nil"/>
            </w:tcBorders>
            <w:noWrap/>
            <w:vAlign w:val="bottom"/>
            <w:hideMark/>
          </w:tcPr>
          <w:p w14:paraId="25A709D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6 148 195,3</w:t>
            </w:r>
          </w:p>
        </w:tc>
        <w:tc>
          <w:tcPr>
            <w:tcW w:w="1289" w:type="dxa"/>
            <w:tcBorders>
              <w:top w:val="nil"/>
              <w:left w:val="nil"/>
              <w:bottom w:val="nil"/>
              <w:right w:val="nil"/>
            </w:tcBorders>
            <w:noWrap/>
            <w:vAlign w:val="bottom"/>
            <w:hideMark/>
          </w:tcPr>
          <w:p w14:paraId="14324A6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6 468 328,0</w:t>
            </w:r>
          </w:p>
        </w:tc>
        <w:tc>
          <w:tcPr>
            <w:tcW w:w="1289" w:type="dxa"/>
            <w:tcBorders>
              <w:top w:val="nil"/>
              <w:left w:val="nil"/>
              <w:bottom w:val="nil"/>
              <w:right w:val="nil"/>
            </w:tcBorders>
            <w:noWrap/>
            <w:vAlign w:val="bottom"/>
            <w:hideMark/>
          </w:tcPr>
          <w:p w14:paraId="685C8F67"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6 798 064,7</w:t>
            </w:r>
          </w:p>
        </w:tc>
        <w:tc>
          <w:tcPr>
            <w:tcW w:w="1289" w:type="dxa"/>
            <w:tcBorders>
              <w:top w:val="nil"/>
              <w:left w:val="nil"/>
              <w:bottom w:val="nil"/>
              <w:right w:val="nil"/>
            </w:tcBorders>
            <w:noWrap/>
            <w:vAlign w:val="bottom"/>
            <w:hideMark/>
          </w:tcPr>
          <w:p w14:paraId="41F661A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7 137 693,5</w:t>
            </w:r>
          </w:p>
        </w:tc>
        <w:tc>
          <w:tcPr>
            <w:tcW w:w="1289" w:type="dxa"/>
            <w:tcBorders>
              <w:top w:val="nil"/>
              <w:left w:val="nil"/>
              <w:bottom w:val="nil"/>
              <w:right w:val="nil"/>
            </w:tcBorders>
            <w:noWrap/>
            <w:vAlign w:val="bottom"/>
            <w:hideMark/>
          </w:tcPr>
          <w:p w14:paraId="240CE11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7 487 511,2</w:t>
            </w:r>
          </w:p>
        </w:tc>
      </w:tr>
      <w:tr w:rsidR="00992CE1" w:rsidRPr="00992CE1" w14:paraId="23D8E07D" w14:textId="77777777" w:rsidTr="00992CE1">
        <w:trPr>
          <w:trHeight w:val="395"/>
        </w:trPr>
        <w:tc>
          <w:tcPr>
            <w:tcW w:w="2563" w:type="dxa"/>
            <w:tcBorders>
              <w:top w:val="nil"/>
              <w:left w:val="nil"/>
              <w:bottom w:val="nil"/>
              <w:right w:val="nil"/>
            </w:tcBorders>
            <w:noWrap/>
            <w:vAlign w:val="bottom"/>
            <w:hideMark/>
          </w:tcPr>
          <w:p w14:paraId="2F364E12"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Net Income</w:t>
            </w:r>
          </w:p>
        </w:tc>
        <w:tc>
          <w:tcPr>
            <w:tcW w:w="1289" w:type="dxa"/>
            <w:tcBorders>
              <w:top w:val="nil"/>
              <w:left w:val="nil"/>
              <w:bottom w:val="nil"/>
              <w:right w:val="nil"/>
            </w:tcBorders>
            <w:noWrap/>
            <w:vAlign w:val="bottom"/>
            <w:hideMark/>
          </w:tcPr>
          <w:p w14:paraId="515DDBB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22 784,0</w:t>
            </w:r>
          </w:p>
        </w:tc>
        <w:tc>
          <w:tcPr>
            <w:tcW w:w="1289" w:type="dxa"/>
            <w:tcBorders>
              <w:top w:val="nil"/>
              <w:left w:val="nil"/>
              <w:bottom w:val="nil"/>
              <w:right w:val="nil"/>
            </w:tcBorders>
            <w:noWrap/>
            <w:vAlign w:val="bottom"/>
            <w:hideMark/>
          </w:tcPr>
          <w:p w14:paraId="18C2A06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35 400,0</w:t>
            </w:r>
          </w:p>
        </w:tc>
        <w:tc>
          <w:tcPr>
            <w:tcW w:w="1289" w:type="dxa"/>
            <w:tcBorders>
              <w:top w:val="nil"/>
              <w:left w:val="nil"/>
              <w:bottom w:val="nil"/>
              <w:right w:val="nil"/>
            </w:tcBorders>
            <w:noWrap/>
            <w:vAlign w:val="bottom"/>
            <w:hideMark/>
          </w:tcPr>
          <w:p w14:paraId="7D9117C3"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52 244,7</w:t>
            </w:r>
          </w:p>
        </w:tc>
        <w:tc>
          <w:tcPr>
            <w:tcW w:w="1289" w:type="dxa"/>
            <w:tcBorders>
              <w:top w:val="nil"/>
              <w:left w:val="nil"/>
              <w:bottom w:val="nil"/>
              <w:right w:val="nil"/>
            </w:tcBorders>
            <w:noWrap/>
            <w:vAlign w:val="bottom"/>
            <w:hideMark/>
          </w:tcPr>
          <w:p w14:paraId="42498D73"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122 885,5</w:t>
            </w:r>
          </w:p>
        </w:tc>
        <w:tc>
          <w:tcPr>
            <w:tcW w:w="1289" w:type="dxa"/>
            <w:tcBorders>
              <w:top w:val="nil"/>
              <w:left w:val="nil"/>
              <w:bottom w:val="nil"/>
              <w:right w:val="nil"/>
            </w:tcBorders>
            <w:noWrap/>
            <w:vAlign w:val="bottom"/>
            <w:hideMark/>
          </w:tcPr>
          <w:p w14:paraId="1AC4472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191 149,2</w:t>
            </w:r>
          </w:p>
        </w:tc>
        <w:tc>
          <w:tcPr>
            <w:tcW w:w="1289" w:type="dxa"/>
            <w:tcBorders>
              <w:top w:val="nil"/>
              <w:left w:val="nil"/>
              <w:bottom w:val="nil"/>
              <w:right w:val="nil"/>
            </w:tcBorders>
            <w:noWrap/>
            <w:vAlign w:val="bottom"/>
            <w:hideMark/>
          </w:tcPr>
          <w:p w14:paraId="76E9620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246 148,6</w:t>
            </w:r>
          </w:p>
        </w:tc>
        <w:tc>
          <w:tcPr>
            <w:tcW w:w="1289" w:type="dxa"/>
            <w:tcBorders>
              <w:top w:val="nil"/>
              <w:left w:val="nil"/>
              <w:bottom w:val="nil"/>
              <w:right w:val="nil"/>
            </w:tcBorders>
            <w:noWrap/>
            <w:vAlign w:val="bottom"/>
            <w:hideMark/>
          </w:tcPr>
          <w:p w14:paraId="72618FD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251 153,4</w:t>
            </w:r>
          </w:p>
        </w:tc>
      </w:tr>
      <w:tr w:rsidR="00992CE1" w:rsidRPr="00992CE1" w14:paraId="3457E3E0" w14:textId="77777777" w:rsidTr="00992CE1">
        <w:trPr>
          <w:trHeight w:val="395"/>
        </w:trPr>
        <w:tc>
          <w:tcPr>
            <w:tcW w:w="2563" w:type="dxa"/>
            <w:tcBorders>
              <w:top w:val="nil"/>
              <w:left w:val="nil"/>
              <w:bottom w:val="nil"/>
              <w:right w:val="nil"/>
            </w:tcBorders>
            <w:noWrap/>
            <w:vAlign w:val="bottom"/>
            <w:hideMark/>
          </w:tcPr>
          <w:p w14:paraId="5228CEBC"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Adjusted EBITDA</w:t>
            </w:r>
          </w:p>
        </w:tc>
        <w:tc>
          <w:tcPr>
            <w:tcW w:w="1289" w:type="dxa"/>
            <w:tcBorders>
              <w:top w:val="nil"/>
              <w:left w:val="nil"/>
              <w:bottom w:val="nil"/>
              <w:right w:val="nil"/>
            </w:tcBorders>
            <w:noWrap/>
            <w:vAlign w:val="bottom"/>
            <w:hideMark/>
          </w:tcPr>
          <w:p w14:paraId="028FEC6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367 090,6</w:t>
            </w:r>
          </w:p>
        </w:tc>
        <w:tc>
          <w:tcPr>
            <w:tcW w:w="1289" w:type="dxa"/>
            <w:tcBorders>
              <w:top w:val="nil"/>
              <w:left w:val="nil"/>
              <w:bottom w:val="nil"/>
              <w:right w:val="nil"/>
            </w:tcBorders>
            <w:noWrap/>
            <w:vAlign w:val="bottom"/>
            <w:hideMark/>
          </w:tcPr>
          <w:p w14:paraId="666CC052"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379 051,4</w:t>
            </w:r>
          </w:p>
        </w:tc>
        <w:tc>
          <w:tcPr>
            <w:tcW w:w="1289" w:type="dxa"/>
            <w:tcBorders>
              <w:top w:val="nil"/>
              <w:left w:val="nil"/>
              <w:bottom w:val="nil"/>
              <w:right w:val="nil"/>
            </w:tcBorders>
            <w:noWrap/>
            <w:vAlign w:val="bottom"/>
            <w:hideMark/>
          </w:tcPr>
          <w:p w14:paraId="751AFDA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395 563,5</w:t>
            </w:r>
          </w:p>
        </w:tc>
        <w:tc>
          <w:tcPr>
            <w:tcW w:w="1289" w:type="dxa"/>
            <w:tcBorders>
              <w:top w:val="nil"/>
              <w:left w:val="nil"/>
              <w:bottom w:val="nil"/>
              <w:right w:val="nil"/>
            </w:tcBorders>
            <w:noWrap/>
            <w:vAlign w:val="bottom"/>
            <w:hideMark/>
          </w:tcPr>
          <w:p w14:paraId="2780F34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496 193,8</w:t>
            </w:r>
          </w:p>
        </w:tc>
        <w:tc>
          <w:tcPr>
            <w:tcW w:w="1289" w:type="dxa"/>
            <w:tcBorders>
              <w:top w:val="nil"/>
              <w:left w:val="nil"/>
              <w:bottom w:val="nil"/>
              <w:right w:val="nil"/>
            </w:tcBorders>
            <w:noWrap/>
            <w:vAlign w:val="bottom"/>
            <w:hideMark/>
          </w:tcPr>
          <w:p w14:paraId="190223A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624 598,2</w:t>
            </w:r>
          </w:p>
        </w:tc>
        <w:tc>
          <w:tcPr>
            <w:tcW w:w="1289" w:type="dxa"/>
            <w:tcBorders>
              <w:top w:val="nil"/>
              <w:left w:val="nil"/>
              <w:bottom w:val="nil"/>
              <w:right w:val="nil"/>
            </w:tcBorders>
            <w:noWrap/>
            <w:vAlign w:val="bottom"/>
            <w:hideMark/>
          </w:tcPr>
          <w:p w14:paraId="021E288B"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793 886,6</w:t>
            </w:r>
          </w:p>
        </w:tc>
        <w:tc>
          <w:tcPr>
            <w:tcW w:w="1289" w:type="dxa"/>
            <w:tcBorders>
              <w:top w:val="nil"/>
              <w:left w:val="nil"/>
              <w:bottom w:val="nil"/>
              <w:right w:val="nil"/>
            </w:tcBorders>
            <w:noWrap/>
            <w:vAlign w:val="bottom"/>
            <w:hideMark/>
          </w:tcPr>
          <w:p w14:paraId="5A06076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310 322,1</w:t>
            </w:r>
          </w:p>
        </w:tc>
      </w:tr>
      <w:tr w:rsidR="00992CE1" w:rsidRPr="00992CE1" w14:paraId="4E43C49B" w14:textId="77777777" w:rsidTr="00992CE1">
        <w:trPr>
          <w:trHeight w:val="395"/>
        </w:trPr>
        <w:tc>
          <w:tcPr>
            <w:tcW w:w="2563" w:type="dxa"/>
            <w:tcBorders>
              <w:top w:val="nil"/>
              <w:left w:val="nil"/>
              <w:bottom w:val="nil"/>
              <w:right w:val="nil"/>
            </w:tcBorders>
            <w:noWrap/>
            <w:vAlign w:val="bottom"/>
            <w:hideMark/>
          </w:tcPr>
          <w:p w14:paraId="2ACDDBD9"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Free Cash Flow</w:t>
            </w:r>
          </w:p>
        </w:tc>
        <w:tc>
          <w:tcPr>
            <w:tcW w:w="1289" w:type="dxa"/>
            <w:tcBorders>
              <w:top w:val="nil"/>
              <w:left w:val="nil"/>
              <w:bottom w:val="nil"/>
              <w:right w:val="nil"/>
            </w:tcBorders>
            <w:noWrap/>
            <w:vAlign w:val="bottom"/>
            <w:hideMark/>
          </w:tcPr>
          <w:p w14:paraId="3677D4A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743 442,9</w:t>
            </w:r>
          </w:p>
        </w:tc>
        <w:tc>
          <w:tcPr>
            <w:tcW w:w="1289" w:type="dxa"/>
            <w:tcBorders>
              <w:top w:val="nil"/>
              <w:left w:val="nil"/>
              <w:bottom w:val="nil"/>
              <w:right w:val="nil"/>
            </w:tcBorders>
            <w:noWrap/>
            <w:vAlign w:val="bottom"/>
            <w:hideMark/>
          </w:tcPr>
          <w:p w14:paraId="2E259C5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411 432,1</w:t>
            </w:r>
          </w:p>
        </w:tc>
        <w:tc>
          <w:tcPr>
            <w:tcW w:w="1289" w:type="dxa"/>
            <w:tcBorders>
              <w:top w:val="nil"/>
              <w:left w:val="nil"/>
              <w:bottom w:val="nil"/>
              <w:right w:val="nil"/>
            </w:tcBorders>
            <w:noWrap/>
            <w:vAlign w:val="bottom"/>
            <w:hideMark/>
          </w:tcPr>
          <w:p w14:paraId="73EBFD7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510 855,4</w:t>
            </w:r>
          </w:p>
        </w:tc>
        <w:tc>
          <w:tcPr>
            <w:tcW w:w="1289" w:type="dxa"/>
            <w:tcBorders>
              <w:top w:val="nil"/>
              <w:left w:val="nil"/>
              <w:bottom w:val="nil"/>
              <w:right w:val="nil"/>
            </w:tcBorders>
            <w:noWrap/>
            <w:vAlign w:val="bottom"/>
            <w:hideMark/>
          </w:tcPr>
          <w:p w14:paraId="3F669C3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637 147,4</w:t>
            </w:r>
          </w:p>
        </w:tc>
        <w:tc>
          <w:tcPr>
            <w:tcW w:w="1289" w:type="dxa"/>
            <w:tcBorders>
              <w:top w:val="nil"/>
              <w:left w:val="nil"/>
              <w:bottom w:val="nil"/>
              <w:right w:val="nil"/>
            </w:tcBorders>
            <w:noWrap/>
            <w:vAlign w:val="bottom"/>
            <w:hideMark/>
          </w:tcPr>
          <w:p w14:paraId="5E848F0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795 517,4</w:t>
            </w:r>
          </w:p>
        </w:tc>
        <w:tc>
          <w:tcPr>
            <w:tcW w:w="1289" w:type="dxa"/>
            <w:tcBorders>
              <w:top w:val="nil"/>
              <w:left w:val="nil"/>
              <w:bottom w:val="nil"/>
              <w:right w:val="nil"/>
            </w:tcBorders>
            <w:noWrap/>
            <w:vAlign w:val="bottom"/>
            <w:hideMark/>
          </w:tcPr>
          <w:p w14:paraId="1E6FC23B"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1 005 414,3</w:t>
            </w:r>
          </w:p>
        </w:tc>
        <w:tc>
          <w:tcPr>
            <w:tcW w:w="1289" w:type="dxa"/>
            <w:tcBorders>
              <w:top w:val="nil"/>
              <w:left w:val="nil"/>
              <w:bottom w:val="nil"/>
              <w:right w:val="nil"/>
            </w:tcBorders>
            <w:noWrap/>
            <w:vAlign w:val="bottom"/>
            <w:hideMark/>
          </w:tcPr>
          <w:p w14:paraId="407B1E3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1 311 248,4</w:t>
            </w:r>
          </w:p>
        </w:tc>
      </w:tr>
      <w:tr w:rsidR="00992CE1" w:rsidRPr="00992CE1" w14:paraId="53370D6C" w14:textId="77777777" w:rsidTr="00992CE1">
        <w:trPr>
          <w:trHeight w:val="395"/>
        </w:trPr>
        <w:tc>
          <w:tcPr>
            <w:tcW w:w="2563" w:type="dxa"/>
            <w:tcBorders>
              <w:top w:val="nil"/>
              <w:left w:val="nil"/>
              <w:bottom w:val="nil"/>
              <w:right w:val="nil"/>
            </w:tcBorders>
            <w:noWrap/>
            <w:vAlign w:val="center"/>
            <w:hideMark/>
          </w:tcPr>
          <w:p w14:paraId="18DA3BDD"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ROE</w:t>
            </w:r>
          </w:p>
        </w:tc>
        <w:tc>
          <w:tcPr>
            <w:tcW w:w="1289" w:type="dxa"/>
            <w:tcBorders>
              <w:top w:val="nil"/>
              <w:left w:val="nil"/>
              <w:bottom w:val="nil"/>
              <w:right w:val="nil"/>
            </w:tcBorders>
            <w:noWrap/>
            <w:vAlign w:val="bottom"/>
            <w:hideMark/>
          </w:tcPr>
          <w:p w14:paraId="073740B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2,97%</w:t>
            </w:r>
          </w:p>
        </w:tc>
        <w:tc>
          <w:tcPr>
            <w:tcW w:w="1289" w:type="dxa"/>
            <w:tcBorders>
              <w:top w:val="nil"/>
              <w:left w:val="nil"/>
              <w:bottom w:val="nil"/>
              <w:right w:val="nil"/>
            </w:tcBorders>
            <w:noWrap/>
            <w:vAlign w:val="bottom"/>
            <w:hideMark/>
          </w:tcPr>
          <w:p w14:paraId="6DB96AA3"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3,37%</w:t>
            </w:r>
          </w:p>
        </w:tc>
        <w:tc>
          <w:tcPr>
            <w:tcW w:w="1289" w:type="dxa"/>
            <w:tcBorders>
              <w:top w:val="nil"/>
              <w:left w:val="nil"/>
              <w:bottom w:val="nil"/>
              <w:right w:val="nil"/>
            </w:tcBorders>
            <w:noWrap/>
            <w:vAlign w:val="bottom"/>
            <w:hideMark/>
          </w:tcPr>
          <w:p w14:paraId="7D3CF31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3,97%</w:t>
            </w:r>
          </w:p>
        </w:tc>
        <w:tc>
          <w:tcPr>
            <w:tcW w:w="1289" w:type="dxa"/>
            <w:tcBorders>
              <w:top w:val="nil"/>
              <w:left w:val="nil"/>
              <w:bottom w:val="nil"/>
              <w:right w:val="nil"/>
            </w:tcBorders>
            <w:noWrap/>
            <w:vAlign w:val="bottom"/>
            <w:hideMark/>
          </w:tcPr>
          <w:p w14:paraId="2646873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7,64%</w:t>
            </w:r>
          </w:p>
        </w:tc>
        <w:tc>
          <w:tcPr>
            <w:tcW w:w="1289" w:type="dxa"/>
            <w:tcBorders>
              <w:top w:val="nil"/>
              <w:left w:val="nil"/>
              <w:bottom w:val="nil"/>
              <w:right w:val="nil"/>
            </w:tcBorders>
            <w:noWrap/>
            <w:vAlign w:val="bottom"/>
            <w:hideMark/>
          </w:tcPr>
          <w:p w14:paraId="7ABDCB9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10,01%</w:t>
            </w:r>
          </w:p>
        </w:tc>
        <w:tc>
          <w:tcPr>
            <w:tcW w:w="1289" w:type="dxa"/>
            <w:tcBorders>
              <w:top w:val="nil"/>
              <w:left w:val="nil"/>
              <w:bottom w:val="nil"/>
              <w:right w:val="nil"/>
            </w:tcBorders>
            <w:noWrap/>
            <w:vAlign w:val="bottom"/>
            <w:hideMark/>
          </w:tcPr>
          <w:p w14:paraId="5E38BA7F"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11,21%</w:t>
            </w:r>
          </w:p>
        </w:tc>
        <w:tc>
          <w:tcPr>
            <w:tcW w:w="1289" w:type="dxa"/>
            <w:tcBorders>
              <w:top w:val="nil"/>
              <w:left w:val="nil"/>
              <w:bottom w:val="nil"/>
              <w:right w:val="nil"/>
            </w:tcBorders>
            <w:noWrap/>
            <w:vAlign w:val="bottom"/>
            <w:hideMark/>
          </w:tcPr>
          <w:p w14:paraId="4157752D"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10,47%</w:t>
            </w:r>
          </w:p>
        </w:tc>
      </w:tr>
      <w:tr w:rsidR="00992CE1" w:rsidRPr="00992CE1" w14:paraId="0B80CE20" w14:textId="77777777" w:rsidTr="00992CE1">
        <w:trPr>
          <w:trHeight w:val="395"/>
        </w:trPr>
        <w:tc>
          <w:tcPr>
            <w:tcW w:w="2563" w:type="dxa"/>
            <w:tcBorders>
              <w:top w:val="nil"/>
              <w:left w:val="nil"/>
              <w:bottom w:val="nil"/>
              <w:right w:val="nil"/>
            </w:tcBorders>
            <w:noWrap/>
            <w:vAlign w:val="center"/>
            <w:hideMark/>
          </w:tcPr>
          <w:p w14:paraId="020ACC6B"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ROA</w:t>
            </w:r>
          </w:p>
        </w:tc>
        <w:tc>
          <w:tcPr>
            <w:tcW w:w="1289" w:type="dxa"/>
            <w:tcBorders>
              <w:top w:val="nil"/>
              <w:left w:val="nil"/>
              <w:bottom w:val="nil"/>
              <w:right w:val="nil"/>
            </w:tcBorders>
            <w:noWrap/>
            <w:vAlign w:val="bottom"/>
            <w:hideMark/>
          </w:tcPr>
          <w:p w14:paraId="7350D2B9"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0,42%</w:t>
            </w:r>
          </w:p>
        </w:tc>
        <w:tc>
          <w:tcPr>
            <w:tcW w:w="1289" w:type="dxa"/>
            <w:tcBorders>
              <w:top w:val="nil"/>
              <w:left w:val="nil"/>
              <w:bottom w:val="nil"/>
              <w:right w:val="nil"/>
            </w:tcBorders>
            <w:noWrap/>
            <w:vAlign w:val="bottom"/>
            <w:hideMark/>
          </w:tcPr>
          <w:p w14:paraId="7EB109B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0,59%</w:t>
            </w:r>
          </w:p>
        </w:tc>
        <w:tc>
          <w:tcPr>
            <w:tcW w:w="1289" w:type="dxa"/>
            <w:tcBorders>
              <w:top w:val="nil"/>
              <w:left w:val="nil"/>
              <w:bottom w:val="nil"/>
              <w:right w:val="nil"/>
            </w:tcBorders>
            <w:noWrap/>
            <w:vAlign w:val="bottom"/>
            <w:hideMark/>
          </w:tcPr>
          <w:p w14:paraId="68CE30F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0,80%</w:t>
            </w:r>
          </w:p>
        </w:tc>
        <w:tc>
          <w:tcPr>
            <w:tcW w:w="1289" w:type="dxa"/>
            <w:tcBorders>
              <w:top w:val="nil"/>
              <w:left w:val="nil"/>
              <w:bottom w:val="nil"/>
              <w:right w:val="nil"/>
            </w:tcBorders>
            <w:noWrap/>
            <w:vAlign w:val="bottom"/>
            <w:hideMark/>
          </w:tcPr>
          <w:p w14:paraId="4938F68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1,70%</w:t>
            </w:r>
          </w:p>
        </w:tc>
        <w:tc>
          <w:tcPr>
            <w:tcW w:w="1289" w:type="dxa"/>
            <w:tcBorders>
              <w:top w:val="nil"/>
              <w:left w:val="nil"/>
              <w:bottom w:val="nil"/>
              <w:right w:val="nil"/>
            </w:tcBorders>
            <w:noWrap/>
            <w:vAlign w:val="bottom"/>
            <w:hideMark/>
          </w:tcPr>
          <w:p w14:paraId="295581FD"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2,39%</w:t>
            </w:r>
          </w:p>
        </w:tc>
        <w:tc>
          <w:tcPr>
            <w:tcW w:w="1289" w:type="dxa"/>
            <w:tcBorders>
              <w:top w:val="nil"/>
              <w:left w:val="nil"/>
              <w:bottom w:val="nil"/>
              <w:right w:val="nil"/>
            </w:tcBorders>
            <w:noWrap/>
            <w:vAlign w:val="bottom"/>
            <w:hideMark/>
          </w:tcPr>
          <w:p w14:paraId="5068998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2,81%</w:t>
            </w:r>
          </w:p>
        </w:tc>
        <w:tc>
          <w:tcPr>
            <w:tcW w:w="1289" w:type="dxa"/>
            <w:tcBorders>
              <w:top w:val="nil"/>
              <w:left w:val="nil"/>
              <w:bottom w:val="nil"/>
              <w:right w:val="nil"/>
            </w:tcBorders>
            <w:noWrap/>
            <w:vAlign w:val="bottom"/>
            <w:hideMark/>
          </w:tcPr>
          <w:p w14:paraId="57D7C3D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2,74%</w:t>
            </w:r>
          </w:p>
        </w:tc>
      </w:tr>
      <w:tr w:rsidR="00992CE1" w:rsidRPr="00992CE1" w14:paraId="4381BFAB" w14:textId="77777777" w:rsidTr="00992CE1">
        <w:trPr>
          <w:trHeight w:val="395"/>
        </w:trPr>
        <w:tc>
          <w:tcPr>
            <w:tcW w:w="2563" w:type="dxa"/>
            <w:tcBorders>
              <w:top w:val="nil"/>
              <w:left w:val="nil"/>
              <w:bottom w:val="nil"/>
              <w:right w:val="nil"/>
            </w:tcBorders>
            <w:noWrap/>
            <w:vAlign w:val="center"/>
            <w:hideMark/>
          </w:tcPr>
          <w:p w14:paraId="67704BE2"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Debt/Equity</w:t>
            </w:r>
          </w:p>
        </w:tc>
        <w:tc>
          <w:tcPr>
            <w:tcW w:w="1289" w:type="dxa"/>
            <w:tcBorders>
              <w:top w:val="nil"/>
              <w:left w:val="nil"/>
              <w:bottom w:val="nil"/>
              <w:right w:val="nil"/>
            </w:tcBorders>
            <w:noWrap/>
            <w:vAlign w:val="bottom"/>
            <w:hideMark/>
          </w:tcPr>
          <w:p w14:paraId="5A1C080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0,7x</w:t>
            </w:r>
          </w:p>
        </w:tc>
        <w:tc>
          <w:tcPr>
            <w:tcW w:w="1289" w:type="dxa"/>
            <w:tcBorders>
              <w:top w:val="nil"/>
              <w:left w:val="nil"/>
              <w:bottom w:val="nil"/>
              <w:right w:val="nil"/>
            </w:tcBorders>
            <w:noWrap/>
            <w:vAlign w:val="bottom"/>
            <w:hideMark/>
          </w:tcPr>
          <w:p w14:paraId="006CAFBE"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0,5x</w:t>
            </w:r>
          </w:p>
        </w:tc>
        <w:tc>
          <w:tcPr>
            <w:tcW w:w="1289" w:type="dxa"/>
            <w:tcBorders>
              <w:top w:val="nil"/>
              <w:left w:val="nil"/>
              <w:bottom w:val="nil"/>
              <w:right w:val="nil"/>
            </w:tcBorders>
            <w:noWrap/>
            <w:vAlign w:val="bottom"/>
            <w:hideMark/>
          </w:tcPr>
          <w:p w14:paraId="649EAC2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0,4x</w:t>
            </w:r>
          </w:p>
        </w:tc>
        <w:tc>
          <w:tcPr>
            <w:tcW w:w="1289" w:type="dxa"/>
            <w:tcBorders>
              <w:top w:val="nil"/>
              <w:left w:val="nil"/>
              <w:bottom w:val="nil"/>
              <w:right w:val="nil"/>
            </w:tcBorders>
            <w:noWrap/>
            <w:vAlign w:val="bottom"/>
            <w:hideMark/>
          </w:tcPr>
          <w:p w14:paraId="363FC48A"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0,4x</w:t>
            </w:r>
          </w:p>
        </w:tc>
        <w:tc>
          <w:tcPr>
            <w:tcW w:w="1289" w:type="dxa"/>
            <w:tcBorders>
              <w:top w:val="nil"/>
              <w:left w:val="nil"/>
              <w:bottom w:val="nil"/>
              <w:right w:val="nil"/>
            </w:tcBorders>
            <w:noWrap/>
            <w:vAlign w:val="bottom"/>
            <w:hideMark/>
          </w:tcPr>
          <w:p w14:paraId="4763BC0C"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0,3x</w:t>
            </w:r>
          </w:p>
        </w:tc>
        <w:tc>
          <w:tcPr>
            <w:tcW w:w="1289" w:type="dxa"/>
            <w:tcBorders>
              <w:top w:val="nil"/>
              <w:left w:val="nil"/>
              <w:bottom w:val="nil"/>
              <w:right w:val="nil"/>
            </w:tcBorders>
            <w:noWrap/>
            <w:vAlign w:val="bottom"/>
            <w:hideMark/>
          </w:tcPr>
          <w:p w14:paraId="5831F10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0,3x</w:t>
            </w:r>
          </w:p>
        </w:tc>
        <w:tc>
          <w:tcPr>
            <w:tcW w:w="1289" w:type="dxa"/>
            <w:tcBorders>
              <w:top w:val="nil"/>
              <w:left w:val="nil"/>
              <w:bottom w:val="nil"/>
              <w:right w:val="nil"/>
            </w:tcBorders>
            <w:noWrap/>
            <w:vAlign w:val="bottom"/>
            <w:hideMark/>
          </w:tcPr>
          <w:p w14:paraId="0EF76246"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0,1x</w:t>
            </w:r>
          </w:p>
        </w:tc>
      </w:tr>
      <w:tr w:rsidR="00992CE1" w:rsidRPr="00992CE1" w14:paraId="50F2DE75" w14:textId="77777777" w:rsidTr="00992CE1">
        <w:trPr>
          <w:trHeight w:val="395"/>
        </w:trPr>
        <w:tc>
          <w:tcPr>
            <w:tcW w:w="2563" w:type="dxa"/>
            <w:tcBorders>
              <w:top w:val="nil"/>
              <w:left w:val="nil"/>
              <w:bottom w:val="nil"/>
              <w:right w:val="nil"/>
            </w:tcBorders>
            <w:noWrap/>
            <w:vAlign w:val="center"/>
            <w:hideMark/>
          </w:tcPr>
          <w:p w14:paraId="63A2CB5A" w14:textId="77777777" w:rsidR="00992CE1" w:rsidRPr="00992CE1" w:rsidRDefault="00992CE1" w:rsidP="00992CE1">
            <w:pPr>
              <w:spacing w:after="0" w:line="240" w:lineRule="auto"/>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Debt/EBITDA</w:t>
            </w:r>
          </w:p>
        </w:tc>
        <w:tc>
          <w:tcPr>
            <w:tcW w:w="1289" w:type="dxa"/>
            <w:tcBorders>
              <w:top w:val="nil"/>
              <w:left w:val="nil"/>
              <w:bottom w:val="nil"/>
              <w:right w:val="nil"/>
            </w:tcBorders>
            <w:noWrap/>
            <w:vAlign w:val="bottom"/>
            <w:hideMark/>
          </w:tcPr>
          <w:p w14:paraId="7760196D"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1,5x</w:t>
            </w:r>
          </w:p>
        </w:tc>
        <w:tc>
          <w:tcPr>
            <w:tcW w:w="1289" w:type="dxa"/>
            <w:tcBorders>
              <w:top w:val="nil"/>
              <w:left w:val="nil"/>
              <w:bottom w:val="nil"/>
              <w:right w:val="nil"/>
            </w:tcBorders>
            <w:noWrap/>
            <w:vAlign w:val="bottom"/>
            <w:hideMark/>
          </w:tcPr>
          <w:p w14:paraId="3CBC73B8"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1,5x</w:t>
            </w:r>
          </w:p>
        </w:tc>
        <w:tc>
          <w:tcPr>
            <w:tcW w:w="1289" w:type="dxa"/>
            <w:tcBorders>
              <w:top w:val="nil"/>
              <w:left w:val="nil"/>
              <w:bottom w:val="nil"/>
              <w:right w:val="nil"/>
            </w:tcBorders>
            <w:noWrap/>
            <w:vAlign w:val="bottom"/>
            <w:hideMark/>
          </w:tcPr>
          <w:p w14:paraId="24B01CE8"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1,4x</w:t>
            </w:r>
          </w:p>
        </w:tc>
        <w:tc>
          <w:tcPr>
            <w:tcW w:w="1289" w:type="dxa"/>
            <w:tcBorders>
              <w:top w:val="nil"/>
              <w:left w:val="nil"/>
              <w:bottom w:val="nil"/>
              <w:right w:val="nil"/>
            </w:tcBorders>
            <w:noWrap/>
            <w:vAlign w:val="bottom"/>
            <w:hideMark/>
          </w:tcPr>
          <w:p w14:paraId="1351B990"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1,2x</w:t>
            </w:r>
          </w:p>
        </w:tc>
        <w:tc>
          <w:tcPr>
            <w:tcW w:w="1289" w:type="dxa"/>
            <w:tcBorders>
              <w:top w:val="nil"/>
              <w:left w:val="nil"/>
              <w:bottom w:val="nil"/>
              <w:right w:val="nil"/>
            </w:tcBorders>
            <w:noWrap/>
            <w:vAlign w:val="bottom"/>
            <w:hideMark/>
          </w:tcPr>
          <w:p w14:paraId="41489584"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1,0x</w:t>
            </w:r>
          </w:p>
        </w:tc>
        <w:tc>
          <w:tcPr>
            <w:tcW w:w="1289" w:type="dxa"/>
            <w:tcBorders>
              <w:top w:val="nil"/>
              <w:left w:val="nil"/>
              <w:bottom w:val="nil"/>
              <w:right w:val="nil"/>
            </w:tcBorders>
            <w:noWrap/>
            <w:vAlign w:val="bottom"/>
            <w:hideMark/>
          </w:tcPr>
          <w:p w14:paraId="189CB861"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0,8x</w:t>
            </w:r>
          </w:p>
        </w:tc>
        <w:tc>
          <w:tcPr>
            <w:tcW w:w="1289" w:type="dxa"/>
            <w:tcBorders>
              <w:top w:val="nil"/>
              <w:left w:val="nil"/>
              <w:bottom w:val="nil"/>
              <w:right w:val="nil"/>
            </w:tcBorders>
            <w:noWrap/>
            <w:vAlign w:val="bottom"/>
            <w:hideMark/>
          </w:tcPr>
          <w:p w14:paraId="4F5A2965" w14:textId="77777777" w:rsidR="00992CE1" w:rsidRPr="00992CE1" w:rsidRDefault="00992CE1" w:rsidP="00992CE1">
            <w:pPr>
              <w:spacing w:after="0" w:line="240" w:lineRule="auto"/>
              <w:jc w:val="right"/>
              <w:rPr>
                <w:rFonts w:ascii="Calibri" w:eastAsia="Times New Roman" w:hAnsi="Calibri" w:cs="Calibri"/>
                <w:color w:val="000000"/>
                <w:kern w:val="0"/>
                <w:sz w:val="22"/>
                <w:szCs w:val="22"/>
                <w:lang w:eastAsia="en-ZA"/>
                <w14:ligatures w14:val="none"/>
              </w:rPr>
            </w:pPr>
            <w:r w:rsidRPr="00992CE1">
              <w:rPr>
                <w:rFonts w:ascii="Calibri" w:eastAsia="Times New Roman" w:hAnsi="Calibri" w:cs="Calibri"/>
                <w:color w:val="000000"/>
                <w:kern w:val="0"/>
                <w:sz w:val="22"/>
                <w:szCs w:val="22"/>
                <w:lang w:eastAsia="en-ZA"/>
                <w14:ligatures w14:val="none"/>
              </w:rPr>
              <w:t>0,9x</w:t>
            </w:r>
          </w:p>
        </w:tc>
      </w:tr>
    </w:tbl>
    <w:p w14:paraId="174EBFF6" w14:textId="0A6454DC" w:rsidR="00024707" w:rsidRDefault="00024707" w:rsidP="00581196">
      <w:pPr>
        <w:ind w:left="-851"/>
        <w:jc w:val="both"/>
        <w:rPr>
          <w:lang w:val="en-US"/>
        </w:rPr>
      </w:pPr>
    </w:p>
    <w:p w14:paraId="7B777792" w14:textId="208826F7" w:rsidR="00D41995" w:rsidRPr="00D41995"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We expect the company to deliver steady top-line growth, with revenue forecast to increase from $5.8 billion in 2024 to $7.5 billion by 2030, supported by structural industry tailwinds and continued market share gains. Net income is projected to expand more rapidly than revenues, rising from $22.8 million in 2024 to over $251 million by 2030, driven by operating leverage and disciplined cost management. Adjusted EBITDA is anticipated to grow strongly, reaching nearly $794 million in 2029, although we forecast a moderation to $310 million in 2030, which may reflect conservative assumptions or cyclical headwinds.</w:t>
      </w:r>
    </w:p>
    <w:p w14:paraId="31330610" w14:textId="77777777" w:rsidR="00D41995" w:rsidRPr="00D41995" w:rsidRDefault="00D41995" w:rsidP="00D41995">
      <w:pPr>
        <w:pStyle w:val="ListParagraph"/>
        <w:ind w:left="-709"/>
        <w:jc w:val="both"/>
        <w:rPr>
          <w:rFonts w:ascii="Arial" w:hAnsi="Arial" w:cs="Arial"/>
          <w:sz w:val="20"/>
          <w:szCs w:val="20"/>
          <w:lang w:val="en-US"/>
        </w:rPr>
      </w:pPr>
    </w:p>
    <w:p w14:paraId="0D7C6E8E" w14:textId="2500027A" w:rsidR="00D41995" w:rsidRPr="00D41995"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Free cash flow generation is expected to remain robust throughout the forecast horizon, increasing from $743 million in 2024 to over $1.3 billion by 2030. This positions the company to reinvest in growth while also strengthening balance sheet flexibility. We anticipate capital efficiency to improve, with Return on Equity (ROE) increasing from 2.97% in 2024 to 10.5–11.2% by 2028–2030 and Return on Assets (ROA) rising from 0.4% to around 2.7–2.8% over the same period.</w:t>
      </w:r>
    </w:p>
    <w:p w14:paraId="79A9EFC9" w14:textId="77777777" w:rsidR="00D41995" w:rsidRPr="00D41995" w:rsidRDefault="00D41995" w:rsidP="00D41995">
      <w:pPr>
        <w:pStyle w:val="ListParagraph"/>
        <w:ind w:left="-709"/>
        <w:jc w:val="both"/>
        <w:rPr>
          <w:rFonts w:ascii="Arial" w:hAnsi="Arial" w:cs="Arial"/>
          <w:sz w:val="20"/>
          <w:szCs w:val="20"/>
          <w:lang w:val="en-US"/>
        </w:rPr>
      </w:pPr>
    </w:p>
    <w:p w14:paraId="0760E6B0" w14:textId="77777777" w:rsidR="00D41995" w:rsidRPr="00D41995"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We also expect leverage metrics to improve materially, with Debt-to-Equity declining from 0.7x in 2024 to just 0.1x by 2030, and Debt-to-EBITDA falling from 1.5x in 2024 to below 1.0x by 2028. These trends indicate a strengthened credit profile, reduced balance sheet risk, and enhanced financial resilience.</w:t>
      </w:r>
    </w:p>
    <w:p w14:paraId="2B7E9A5F" w14:textId="77777777" w:rsidR="00D41995" w:rsidRPr="00D41995"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D41995">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5B5BE57C" w14:textId="77777777" w:rsidR="00021EEE" w:rsidRDefault="00021EEE" w:rsidP="00634C39">
      <w:pPr>
        <w:jc w:val="both"/>
        <w:rPr>
          <w:rFonts w:ascii="Arial" w:hAnsi="Arial" w:cs="Arial"/>
          <w:sz w:val="20"/>
          <w:szCs w:val="20"/>
          <w:lang w:val="en-US"/>
        </w:rPr>
      </w:pPr>
    </w:p>
    <w:p w14:paraId="104128CA" w14:textId="77777777" w:rsidR="00D41995" w:rsidRDefault="00D41995" w:rsidP="00634C39">
      <w:pPr>
        <w:jc w:val="both"/>
        <w:rPr>
          <w:rFonts w:ascii="Arial" w:hAnsi="Arial" w:cs="Arial"/>
          <w:sz w:val="20"/>
          <w:szCs w:val="20"/>
          <w:lang w:val="en-US"/>
        </w:rPr>
      </w:pPr>
    </w:p>
    <w:p w14:paraId="11279FA4" w14:textId="77777777" w:rsidR="00D41995" w:rsidRDefault="00D41995" w:rsidP="00634C39">
      <w:pPr>
        <w:jc w:val="both"/>
        <w:rPr>
          <w:rFonts w:ascii="Arial" w:hAnsi="Arial" w:cs="Arial"/>
          <w:sz w:val="20"/>
          <w:szCs w:val="20"/>
          <w:lang w:val="en-US"/>
        </w:rPr>
      </w:pPr>
    </w:p>
    <w:p w14:paraId="551E60B4" w14:textId="77777777" w:rsidR="00D41995" w:rsidRDefault="00D41995" w:rsidP="00634C39">
      <w:pPr>
        <w:jc w:val="both"/>
        <w:rPr>
          <w:rFonts w:ascii="Arial" w:hAnsi="Arial" w:cs="Arial"/>
          <w:sz w:val="20"/>
          <w:szCs w:val="20"/>
          <w:lang w:val="en-US"/>
        </w:rPr>
      </w:pPr>
    </w:p>
    <w:p w14:paraId="3FF651BF" w14:textId="77777777" w:rsidR="00D41995" w:rsidRDefault="00D41995" w:rsidP="00634C39">
      <w:pPr>
        <w:jc w:val="both"/>
        <w:rPr>
          <w:rFonts w:ascii="Arial" w:hAnsi="Arial" w:cs="Arial"/>
          <w:sz w:val="20"/>
          <w:szCs w:val="20"/>
          <w:lang w:val="en-US"/>
        </w:rPr>
      </w:pPr>
    </w:p>
    <w:p w14:paraId="58C9C634" w14:textId="77777777" w:rsidR="00D41995" w:rsidRDefault="00D41995" w:rsidP="00634C39">
      <w:pPr>
        <w:jc w:val="both"/>
        <w:rPr>
          <w:rFonts w:ascii="Arial" w:hAnsi="Arial" w:cs="Arial"/>
          <w:sz w:val="20"/>
          <w:szCs w:val="20"/>
          <w:lang w:val="en-US"/>
        </w:rPr>
      </w:pPr>
    </w:p>
    <w:p w14:paraId="00BE7C5F" w14:textId="77777777" w:rsidR="00D41995" w:rsidRDefault="00D41995" w:rsidP="00634C39">
      <w:pPr>
        <w:jc w:val="both"/>
        <w:rPr>
          <w:rFonts w:ascii="Arial" w:hAnsi="Arial" w:cs="Arial"/>
          <w:sz w:val="20"/>
          <w:szCs w:val="20"/>
          <w:lang w:val="en-US"/>
        </w:rPr>
      </w:pPr>
    </w:p>
    <w:p w14:paraId="55190BE2" w14:textId="77777777" w:rsidR="00D41995" w:rsidRDefault="00D41995" w:rsidP="00634C39">
      <w:pPr>
        <w:jc w:val="both"/>
        <w:rPr>
          <w:rFonts w:ascii="Arial" w:hAnsi="Arial" w:cs="Arial"/>
          <w:sz w:val="20"/>
          <w:szCs w:val="20"/>
          <w:lang w:val="en-US"/>
        </w:rPr>
      </w:pPr>
    </w:p>
    <w:p w14:paraId="51F14D8F" w14:textId="77777777" w:rsidR="00D41995" w:rsidRDefault="00D41995" w:rsidP="00634C39">
      <w:pPr>
        <w:jc w:val="both"/>
        <w:rPr>
          <w:rFonts w:ascii="Arial" w:hAnsi="Arial" w:cs="Arial"/>
          <w:sz w:val="20"/>
          <w:szCs w:val="20"/>
          <w:lang w:val="en-US"/>
        </w:rPr>
      </w:pPr>
    </w:p>
    <w:p w14:paraId="0C59A9E4" w14:textId="6F7FA8A6" w:rsidR="00021EEE" w:rsidRPr="0038647B" w:rsidRDefault="00F75419" w:rsidP="00581196">
      <w:pPr>
        <w:pStyle w:val="Title"/>
        <w:ind w:left="-851"/>
        <w:jc w:val="both"/>
        <w:rPr>
          <w:rFonts w:eastAsia="Calibri"/>
          <w:b/>
          <w:bCs/>
          <w:sz w:val="50"/>
          <w:szCs w:val="50"/>
          <w:u w:val="single"/>
          <w:lang w:val="en-US"/>
        </w:rPr>
      </w:pPr>
      <w:bookmarkStart w:id="0" w:name="_Hlk199157492"/>
      <w:r w:rsidRPr="0038647B">
        <w:rPr>
          <w:rFonts w:eastAsia="Calibri"/>
          <w:b/>
          <w:bCs/>
          <w:sz w:val="50"/>
          <w:szCs w:val="50"/>
          <w:u w:val="single"/>
          <w:lang w:val="en-US"/>
        </w:rPr>
        <w:lastRenderedPageBreak/>
        <w:t>Valuations</w:t>
      </w:r>
    </w:p>
    <w:bookmarkEnd w:id="0"/>
    <w:p w14:paraId="459C8F4C" w14:textId="2EE61DB9" w:rsidR="00F75419" w:rsidRDefault="003B5277" w:rsidP="0042010D">
      <w:pPr>
        <w:ind w:left="-993"/>
        <w:jc w:val="both"/>
        <w:rPr>
          <w:rFonts w:ascii="Arial" w:hAnsi="Arial" w:cs="Arial"/>
          <w:b/>
          <w:bCs/>
          <w:u w:val="single"/>
        </w:rPr>
      </w:pPr>
      <w:r w:rsidRPr="003946D2">
        <w:rPr>
          <w:rFonts w:ascii="Arial" w:hAnsi="Arial" w:cs="Arial"/>
          <w:b/>
          <w:bCs/>
          <w:u w:val="single"/>
        </w:rPr>
        <w:t>Di</w:t>
      </w:r>
      <w:r w:rsidR="00D239B0">
        <w:rPr>
          <w:rFonts w:ascii="Arial" w:hAnsi="Arial" w:cs="Arial"/>
          <w:b/>
          <w:bCs/>
          <w:u w:val="single"/>
        </w:rPr>
        <w:t>scounted Cashflows</w:t>
      </w:r>
    </w:p>
    <w:p w14:paraId="5368590A" w14:textId="58D139FD" w:rsidR="0042010D" w:rsidRDefault="00D41995" w:rsidP="00D41995">
      <w:pPr>
        <w:ind w:left="-1276"/>
        <w:jc w:val="both"/>
        <w:rPr>
          <w:rFonts w:ascii="Arial" w:hAnsi="Arial" w:cs="Arial"/>
          <w:b/>
          <w:bCs/>
          <w:u w:val="single"/>
        </w:rPr>
      </w:pPr>
      <w:r w:rsidRPr="00D41995">
        <w:rPr>
          <w:noProof/>
        </w:rPr>
        <w:drawing>
          <wp:inline distT="0" distB="0" distL="0" distR="0" wp14:anchorId="64E76A83" wp14:editId="197C3971">
            <wp:extent cx="7277100" cy="4724400"/>
            <wp:effectExtent l="0" t="0" r="0" b="0"/>
            <wp:docPr id="1206492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0295" cy="4732966"/>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3F62CEEA" w14:textId="77777777" w:rsid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Our discounted cash flow (DCF) analysis suggests a significant gap between Lyft’s intrinsic value and its current market value. Based on our assumptions, we derive an equity value per share of $8.51, which represents a ~50% downside relative to the current share price of $17.00. The implied equity value of ~$3.5 billion contrasts sharply with the market capitalization of ~$6.9 billion, suggesting that the market is pricing in more optimistic growth and profitability than our model supports.</w:t>
      </w:r>
    </w:p>
    <w:p w14:paraId="7F93C6AB" w14:textId="77777777" w:rsidR="00D41995" w:rsidRDefault="00D41995" w:rsidP="00D41995">
      <w:pPr>
        <w:spacing w:line="276" w:lineRule="auto"/>
        <w:ind w:left="-709"/>
        <w:jc w:val="both"/>
        <w:rPr>
          <w:rFonts w:ascii="Arial" w:hAnsi="Arial" w:cs="Arial"/>
          <w:sz w:val="20"/>
          <w:szCs w:val="20"/>
        </w:rPr>
      </w:pP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77777777" w:rsid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We assume a cost of equity of 40.7%, reflecting Lyft’s high beta (2.32) and substantial business risk relative to the market. Our discount rate of 38% incorporates this risk premium and aligns with the company’s volatile cash flows and competitive pressures. We use a perpetual growth rate of 3%, broadly in line with long-term U.S. GDP trends. The terminal value is estimated using both a perpetuity growth approach and an EV/EBITDA exit multiple (18.3x), producing a blended terminal value of ~$9.6 billion.</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lastRenderedPageBreak/>
        <w:t>Cash Flow Profile</w:t>
      </w:r>
    </w:p>
    <w:p w14:paraId="17002F4D" w14:textId="77777777" w:rsidR="00D41995" w:rsidRP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We forecast robust unlevered free cash flow (FCF) growth, increasing from ~$411 million in 2025 to ~$1.3 billion in 2030. This improvement is driven by expanding EBIT, strong D&amp;A addbacks, and gradually moderating working capital outflows, partially offset by rising capex requirements. Despite this strong FCF trajectory, the high discount rate substantially reduces the present value of cash flows, yielding an enterprise value of ~$3.3 billion, well below current trading levels.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236C5D40" w:rsidR="00D41995" w:rsidRDefault="00D41995" w:rsidP="00D41995">
      <w:pPr>
        <w:spacing w:line="276" w:lineRule="auto"/>
        <w:ind w:left="-709"/>
        <w:jc w:val="both"/>
        <w:rPr>
          <w:rFonts w:ascii="Arial" w:hAnsi="Arial" w:cs="Arial"/>
          <w:sz w:val="20"/>
          <w:szCs w:val="20"/>
        </w:rPr>
      </w:pPr>
      <w:r w:rsidRPr="00D41995">
        <w:rPr>
          <w:rFonts w:ascii="Arial" w:hAnsi="Arial" w:cs="Arial"/>
          <w:sz w:val="20"/>
          <w:szCs w:val="20"/>
        </w:rPr>
        <w:t xml:space="preserve">The implied IRR of ~17% suggests that, under our assumptions, Lyft’s intrinsic cash flow generation does not justify the current equity market valuation. The market appears to be assigning a much lower cost of capital, effectively </w:t>
      </w:r>
      <w:proofErr w:type="gramStart"/>
      <w:r w:rsidRPr="00D41995">
        <w:rPr>
          <w:rFonts w:ascii="Arial" w:hAnsi="Arial" w:cs="Arial"/>
          <w:sz w:val="20"/>
          <w:szCs w:val="20"/>
        </w:rPr>
        <w:t>assuming that</w:t>
      </w:r>
      <w:proofErr w:type="gramEnd"/>
      <w:r w:rsidRPr="00D41995">
        <w:rPr>
          <w:rFonts w:ascii="Arial" w:hAnsi="Arial" w:cs="Arial"/>
          <w:sz w:val="20"/>
          <w:szCs w:val="20"/>
        </w:rPr>
        <w:t xml:space="preserve"> Lyft will either (1) scale faster with greater operating leverage, or (2) materially de-risk its business model through improved competitive positioning and regulatory clarity.</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2459559B" w:rsidR="0042010D" w:rsidRDefault="00D41995" w:rsidP="00D41995">
      <w:pPr>
        <w:spacing w:line="276" w:lineRule="auto"/>
        <w:ind w:left="-709"/>
        <w:jc w:val="both"/>
        <w:rPr>
          <w:rFonts w:ascii="Arial" w:hAnsi="Arial" w:cs="Arial"/>
          <w:sz w:val="20"/>
          <w:szCs w:val="20"/>
        </w:rPr>
      </w:pPr>
      <w:r w:rsidRPr="00D41995">
        <w:rPr>
          <w:rFonts w:ascii="Arial" w:hAnsi="Arial" w:cs="Arial"/>
          <w:sz w:val="20"/>
          <w:szCs w:val="20"/>
        </w:rPr>
        <w:t xml:space="preserve">In our view, Lyft’s valuation is challenging to justify on a fundamental DCF basis. While cash flow growth is strong, the company’s elevated risk profile and high discount rate erode intrinsic value, producing a share price target materially below current trading </w:t>
      </w:r>
      <w:proofErr w:type="gramStart"/>
      <w:r w:rsidRPr="00D41995">
        <w:rPr>
          <w:rFonts w:ascii="Arial" w:hAnsi="Arial" w:cs="Arial"/>
          <w:sz w:val="20"/>
          <w:szCs w:val="20"/>
        </w:rPr>
        <w:t>levels</w:t>
      </w:r>
      <w:proofErr w:type="gramEnd"/>
      <w:r w:rsidRPr="00D41995">
        <w:rPr>
          <w:rFonts w:ascii="Arial" w:hAnsi="Arial" w:cs="Arial"/>
          <w:sz w:val="20"/>
          <w:szCs w:val="20"/>
        </w:rPr>
        <w:t>. We believe the stock’s premium valuation reflects market optimism on execution and industry dynamics that our base case does not fully support. Unless Lyft demonstrates faster-than-expected margin expansion or a reduction in business risk, we see limited upside on a cash flow–discounted basis.</w:t>
      </w:r>
    </w:p>
    <w:p w14:paraId="5768A7EB" w14:textId="77777777" w:rsidR="003A2836" w:rsidRPr="0042010D" w:rsidRDefault="003A2836" w:rsidP="00D41995">
      <w:pPr>
        <w:spacing w:line="276" w:lineRule="auto"/>
        <w:ind w:left="-709"/>
        <w:jc w:val="both"/>
        <w:rPr>
          <w:rFonts w:ascii="Arial" w:hAnsi="Arial" w:cs="Arial"/>
          <w:b/>
          <w:bCs/>
          <w:u w:val="single"/>
        </w:rPr>
      </w:pPr>
    </w:p>
    <w:p w14:paraId="79E09406" w14:textId="69E3AC61" w:rsidR="007A0AD7" w:rsidRDefault="004325F5" w:rsidP="00100A4D">
      <w:pPr>
        <w:ind w:left="-993"/>
        <w:jc w:val="both"/>
        <w:rPr>
          <w:rFonts w:ascii="Arial" w:hAnsi="Arial" w:cs="Arial"/>
          <w:b/>
          <w:bCs/>
          <w:u w:val="single"/>
        </w:rPr>
      </w:pPr>
      <w:r w:rsidRPr="004325F5">
        <w:rPr>
          <w:rFonts w:ascii="Arial" w:hAnsi="Arial" w:cs="Arial"/>
          <w:b/>
          <w:bCs/>
          <w:u w:val="single"/>
        </w:rPr>
        <w:t>Comparable Company Analysis (Comps)</w:t>
      </w:r>
    </w:p>
    <w:p w14:paraId="152D5484" w14:textId="64FEC25A" w:rsidR="00100A4D" w:rsidRPr="00100A4D" w:rsidRDefault="00100A4D" w:rsidP="00100A4D">
      <w:pPr>
        <w:ind w:left="-993"/>
        <w:jc w:val="both"/>
        <w:rPr>
          <w:rFonts w:ascii="Arial" w:hAnsi="Arial" w:cs="Arial"/>
          <w:b/>
          <w:bCs/>
          <w:u w:val="single"/>
        </w:rPr>
      </w:pPr>
    </w:p>
    <w:p w14:paraId="1E524E1D" w14:textId="77777777" w:rsidR="007A0AD7" w:rsidRDefault="007A0AD7" w:rsidP="007A0AD7">
      <w:pPr>
        <w:jc w:val="both"/>
        <w:rPr>
          <w:rFonts w:ascii="Arial" w:hAnsi="Arial" w:cs="Arial"/>
          <w:sz w:val="20"/>
          <w:szCs w:val="20"/>
          <w:lang w:val="en-US"/>
        </w:rPr>
      </w:pPr>
    </w:p>
    <w:p w14:paraId="32E43E81" w14:textId="77777777" w:rsidR="00100A4D" w:rsidRPr="00100A4D" w:rsidRDefault="00100A4D" w:rsidP="005239A0">
      <w:pPr>
        <w:ind w:left="-851"/>
        <w:jc w:val="both"/>
        <w:rPr>
          <w:rFonts w:ascii="Arial" w:hAnsi="Arial" w:cs="Arial"/>
          <w:sz w:val="20"/>
          <w:szCs w:val="20"/>
        </w:rPr>
      </w:pPr>
      <w:r w:rsidRPr="00100A4D">
        <w:rPr>
          <w:rFonts w:ascii="Arial" w:hAnsi="Arial" w:cs="Arial"/>
          <w:sz w:val="20"/>
          <w:szCs w:val="20"/>
        </w:rPr>
        <w:t>I conducted a relative valuation of Nasdaq using a peer group of leading market operators, including S&amp;P Global, Intercontinental Exchange (ICE), CME Group, and Moody’s Corporation. Nasdaq currently trades at $95.57 per share, with a market capitalization of $54.8 billion and enterprise value of $63.7 billion.</w:t>
      </w:r>
    </w:p>
    <w:p w14:paraId="793EB8F8" w14:textId="77777777" w:rsidR="00100A4D" w:rsidRPr="00100A4D" w:rsidRDefault="00100A4D" w:rsidP="005239A0">
      <w:pPr>
        <w:ind w:left="-851"/>
        <w:jc w:val="both"/>
        <w:rPr>
          <w:rFonts w:ascii="Arial" w:hAnsi="Arial" w:cs="Arial"/>
          <w:sz w:val="20"/>
          <w:szCs w:val="20"/>
        </w:rPr>
      </w:pPr>
      <w:r w:rsidRPr="00100A4D">
        <w:rPr>
          <w:rFonts w:ascii="Arial" w:hAnsi="Arial" w:cs="Arial"/>
          <w:sz w:val="20"/>
          <w:szCs w:val="20"/>
        </w:rPr>
        <w:t>Looking at valuation multiples, Nasdaq’s EV/Revenue of 8.6x is below the peer group average of 12.7x and median of 12.8x, suggesting the company is relatively inexpensive on a revenue basis. However, its EV/EBITDA multiple of 26.4x is slightly above the median of 22.2x, reflecting lower EBITDA margins compared to peers such as CME (18.8x) and ICE (19.0x). Nasdaq’s EV/EBIT of 35.4x and P/E of 49.1x are above the peer medians of 27.9x and 38.7x respectively, indicating market expectations of higher future earnings growth or premium positioning despite current profitability being lower than some peers.</w:t>
      </w:r>
    </w:p>
    <w:p w14:paraId="764B07B0" w14:textId="77777777" w:rsidR="00100A4D" w:rsidRPr="00100A4D" w:rsidRDefault="00100A4D" w:rsidP="005239A0">
      <w:pPr>
        <w:ind w:left="-851"/>
        <w:jc w:val="both"/>
        <w:rPr>
          <w:rFonts w:ascii="Arial" w:hAnsi="Arial" w:cs="Arial"/>
          <w:sz w:val="20"/>
          <w:szCs w:val="20"/>
        </w:rPr>
      </w:pPr>
      <w:r w:rsidRPr="00100A4D">
        <w:rPr>
          <w:rFonts w:ascii="Arial" w:hAnsi="Arial" w:cs="Arial"/>
          <w:sz w:val="20"/>
          <w:szCs w:val="20"/>
        </w:rPr>
        <w:t>Overall, Nasdaq appears undervalued on a top-line basis but premium priced on earnings multiples, reflecting the market’s confidence in its growth potential and margin expansion. This mixed picture complements the DCF analysis, suggesting that while the company may offer upside on revenue growth, its current earnings multiples already price in optimistic forward expectations.</w:t>
      </w: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D360CA" w:rsidRDefault="00D360CA" w:rsidP="00C72653">
      <w:pPr>
        <w:ind w:left="-851" w:right="-22"/>
        <w:jc w:val="both"/>
        <w:rPr>
          <w:rFonts w:ascii="Arial" w:hAnsi="Arial" w:cs="Arial"/>
          <w:b/>
          <w:bCs/>
          <w:u w:val="single"/>
        </w:rPr>
      </w:pPr>
      <w:r w:rsidRPr="00D360CA">
        <w:rPr>
          <w:rFonts w:ascii="Arial" w:hAnsi="Arial" w:cs="Arial"/>
          <w:b/>
          <w:bCs/>
          <w:u w:val="single"/>
        </w:rPr>
        <w:t>Valuation and Target Price Analysis</w:t>
      </w:r>
    </w:p>
    <w:p w14:paraId="59B1E363" w14:textId="77777777" w:rsidR="005239A0" w:rsidRPr="005239A0" w:rsidRDefault="005239A0" w:rsidP="005239A0">
      <w:pPr>
        <w:ind w:left="-851" w:right="-22"/>
        <w:jc w:val="both"/>
        <w:rPr>
          <w:rFonts w:ascii="Arial" w:hAnsi="Arial" w:cs="Arial"/>
          <w:sz w:val="20"/>
          <w:szCs w:val="20"/>
        </w:rPr>
      </w:pPr>
      <w:r w:rsidRPr="005239A0">
        <w:rPr>
          <w:rFonts w:ascii="Arial" w:hAnsi="Arial" w:cs="Arial"/>
          <w:sz w:val="20"/>
          <w:szCs w:val="20"/>
        </w:rPr>
        <w:t>I valued Nasdaq using two approaches: a Discounted Cash Flow (DCF) analysis and a comparable company (multiples) analysis.</w:t>
      </w:r>
    </w:p>
    <w:p w14:paraId="186D2A1A" w14:textId="1CB62CD3" w:rsidR="005239A0" w:rsidRPr="005239A0" w:rsidRDefault="005239A0" w:rsidP="005239A0">
      <w:pPr>
        <w:ind w:left="-851" w:right="-22"/>
        <w:jc w:val="both"/>
        <w:rPr>
          <w:rFonts w:ascii="Arial" w:hAnsi="Arial" w:cs="Arial"/>
          <w:sz w:val="20"/>
          <w:szCs w:val="20"/>
        </w:rPr>
      </w:pPr>
      <w:r w:rsidRPr="005239A0">
        <w:rPr>
          <w:rFonts w:ascii="Arial" w:hAnsi="Arial" w:cs="Arial"/>
          <w:sz w:val="20"/>
          <w:szCs w:val="20"/>
        </w:rPr>
        <w:lastRenderedPageBreak/>
        <w:t>The DCF analysis yields an intrinsic value of approximately $</w:t>
      </w:r>
      <w:r w:rsidR="00616C7D">
        <w:rPr>
          <w:rFonts w:ascii="Arial" w:hAnsi="Arial" w:cs="Arial"/>
          <w:sz w:val="20"/>
          <w:szCs w:val="20"/>
        </w:rPr>
        <w:t>145.52</w:t>
      </w:r>
      <w:r w:rsidRPr="005239A0">
        <w:rPr>
          <w:rFonts w:ascii="Arial" w:hAnsi="Arial" w:cs="Arial"/>
          <w:sz w:val="20"/>
          <w:szCs w:val="20"/>
        </w:rPr>
        <w:t xml:space="preserve"> per share, modestly above the current market price of $95.57. This valuation reflects projected unlevered free cash flows growing from $3.50 billion in 2025 to $5.25 billion in 2029, and a blended terminal value based on a 3% perpetual growth rate and an EV/EBITDA multiple of 26.4x. The model assumes a WACC of 11%, disciplined capital expenditures, and stable margin expansion, producing an enterprise value that, after net debt adjustment, supports the intrinsic share price.</w:t>
      </w:r>
    </w:p>
    <w:p w14:paraId="2EF4F8D2" w14:textId="77777777" w:rsidR="005239A0" w:rsidRPr="005239A0" w:rsidRDefault="005239A0" w:rsidP="005239A0">
      <w:pPr>
        <w:ind w:left="-851" w:right="-22"/>
        <w:jc w:val="both"/>
        <w:rPr>
          <w:rFonts w:ascii="Arial" w:hAnsi="Arial" w:cs="Arial"/>
          <w:sz w:val="20"/>
          <w:szCs w:val="20"/>
        </w:rPr>
      </w:pPr>
      <w:r w:rsidRPr="005239A0">
        <w:rPr>
          <w:rFonts w:ascii="Arial" w:hAnsi="Arial" w:cs="Arial"/>
          <w:sz w:val="20"/>
          <w:szCs w:val="20"/>
        </w:rPr>
        <w:t>The comparable company analysis shows that Nasdaq trades at an EV/Revenue multiple of 8.6x, below the peer median of 12.8x, suggesting undervaluation on a revenue basis. However, its EV/EBITDA (26.4x), EV/EBIT (35.4x), and P/E (49.1x) multiples are above peer medians, indicating that the market prices in expectations of margin improvement and earnings growth.</w:t>
      </w:r>
    </w:p>
    <w:p w14:paraId="06FA4DCF" w14:textId="30B4E86D" w:rsidR="005239A0" w:rsidRPr="005239A0" w:rsidRDefault="005239A0" w:rsidP="005239A0">
      <w:pPr>
        <w:ind w:left="-851" w:right="-22"/>
        <w:jc w:val="both"/>
        <w:rPr>
          <w:rFonts w:ascii="Arial" w:hAnsi="Arial" w:cs="Arial"/>
          <w:sz w:val="20"/>
          <w:szCs w:val="20"/>
        </w:rPr>
      </w:pPr>
      <w:r w:rsidRPr="005239A0">
        <w:rPr>
          <w:rFonts w:ascii="Arial" w:hAnsi="Arial" w:cs="Arial"/>
          <w:b/>
          <w:bCs/>
          <w:sz w:val="20"/>
          <w:szCs w:val="20"/>
        </w:rPr>
        <w:t>Target Price and Recommendation:</w:t>
      </w:r>
      <w:r w:rsidRPr="005239A0">
        <w:rPr>
          <w:rFonts w:ascii="Arial" w:hAnsi="Arial" w:cs="Arial"/>
          <w:sz w:val="20"/>
          <w:szCs w:val="20"/>
        </w:rPr>
        <w:t> Based on the DCF-derived intrinsic value, I set a target price of $</w:t>
      </w:r>
      <w:r w:rsidR="00616C7D">
        <w:rPr>
          <w:rFonts w:ascii="Arial" w:hAnsi="Arial" w:cs="Arial"/>
          <w:sz w:val="20"/>
          <w:szCs w:val="20"/>
        </w:rPr>
        <w:t>145</w:t>
      </w:r>
      <w:r w:rsidRPr="005239A0">
        <w:rPr>
          <w:rFonts w:ascii="Arial" w:hAnsi="Arial" w:cs="Arial"/>
          <w:sz w:val="20"/>
          <w:szCs w:val="20"/>
        </w:rPr>
        <w:t xml:space="preserve"> per share. This implies a upside of ~</w:t>
      </w:r>
      <w:r w:rsidR="00616C7D">
        <w:rPr>
          <w:rFonts w:ascii="Arial" w:hAnsi="Arial" w:cs="Arial"/>
          <w:sz w:val="20"/>
          <w:szCs w:val="20"/>
        </w:rPr>
        <w:t>52,27</w:t>
      </w:r>
      <w:r w:rsidRPr="005239A0">
        <w:rPr>
          <w:rFonts w:ascii="Arial" w:hAnsi="Arial" w:cs="Arial"/>
          <w:sz w:val="20"/>
          <w:szCs w:val="20"/>
        </w:rPr>
        <w:t>% from the current market price, reflecting fair value under current assumptions. While revenue multiples suggest some relative undervaluation, premium earnings multiples indicate that market expectations for growth and margin expansion are already priced in. Overall, Nasdaq appears </w:t>
      </w:r>
      <w:proofErr w:type="gramStart"/>
      <w:r w:rsidRPr="005239A0">
        <w:rPr>
          <w:rFonts w:ascii="Arial" w:hAnsi="Arial" w:cs="Arial"/>
          <w:sz w:val="20"/>
          <w:szCs w:val="20"/>
        </w:rPr>
        <w:t>fairly valued</w:t>
      </w:r>
      <w:proofErr w:type="gramEnd"/>
      <w:r w:rsidRPr="005239A0">
        <w:rPr>
          <w:rFonts w:ascii="Arial" w:hAnsi="Arial" w:cs="Arial"/>
          <w:sz w:val="20"/>
          <w:szCs w:val="20"/>
        </w:rPr>
        <w:t>, with limited near-term upside but strong fundamental support from cash flow growth, operational efficiency, and deleveraging.</w:t>
      </w:r>
    </w:p>
    <w:p w14:paraId="6539959B" w14:textId="77777777" w:rsidR="005E3590" w:rsidRDefault="005E3590" w:rsidP="005E3590">
      <w:pPr>
        <w:ind w:left="-851" w:right="-613"/>
        <w:jc w:val="both"/>
        <w:rPr>
          <w:rFonts w:ascii="Arial" w:hAnsi="Arial" w:cs="Arial"/>
          <w:sz w:val="20"/>
          <w:szCs w:val="20"/>
        </w:rPr>
      </w:pPr>
    </w:p>
    <w:p w14:paraId="5626EDB5" w14:textId="2E7A0EFF" w:rsidR="005E3590" w:rsidRPr="00484229" w:rsidRDefault="005E3590" w:rsidP="005E3590">
      <w:pPr>
        <w:pStyle w:val="Title"/>
        <w:ind w:left="-851"/>
        <w:jc w:val="both"/>
        <w:rPr>
          <w:rFonts w:eastAsia="Calibri"/>
          <w:b/>
          <w:bCs/>
          <w:sz w:val="50"/>
          <w:szCs w:val="50"/>
          <w:u w:val="single"/>
        </w:rPr>
      </w:pPr>
      <w:r w:rsidRPr="00484229">
        <w:rPr>
          <w:rFonts w:eastAsia="Calibri"/>
          <w:b/>
          <w:bCs/>
          <w:sz w:val="50"/>
          <w:szCs w:val="50"/>
          <w:u w:val="single"/>
        </w:rPr>
        <w:t>Technical Analysis</w:t>
      </w:r>
    </w:p>
    <w:p w14:paraId="7B8CBDC9" w14:textId="77777777" w:rsidR="00484229" w:rsidRPr="00484229" w:rsidRDefault="00484229" w:rsidP="00484229">
      <w:pPr>
        <w:ind w:left="-851"/>
        <w:rPr>
          <w:rFonts w:ascii="Arial" w:hAnsi="Arial" w:cs="Arial"/>
          <w:sz w:val="20"/>
          <w:szCs w:val="20"/>
        </w:rPr>
      </w:pPr>
      <w:r w:rsidRPr="00484229">
        <w:rPr>
          <w:rFonts w:ascii="Arial" w:hAnsi="Arial" w:cs="Arial"/>
          <w:b/>
          <w:bCs/>
          <w:sz w:val="20"/>
          <w:szCs w:val="20"/>
        </w:rPr>
        <w:t>Price Action and Gaps</w:t>
      </w:r>
      <w:r w:rsidRPr="00484229">
        <w:rPr>
          <w:rFonts w:ascii="Arial" w:hAnsi="Arial" w:cs="Arial"/>
          <w:sz w:val="20"/>
          <w:szCs w:val="20"/>
        </w:rPr>
        <w:br/>
        <w:t>On the daily chart, there is a fair value gap between approximately $89–$90 that has not yet been retested. This gap may act as a short-term support zone if the stock pulls back, providing a potential entry point for investors seeking to add to positions near value-support levels.</w:t>
      </w:r>
    </w:p>
    <w:p w14:paraId="6159BD48" w14:textId="77777777" w:rsidR="00484229" w:rsidRPr="00484229" w:rsidRDefault="00484229" w:rsidP="00484229">
      <w:pPr>
        <w:ind w:left="-851"/>
        <w:rPr>
          <w:rFonts w:ascii="Arial" w:hAnsi="Arial" w:cs="Arial"/>
          <w:sz w:val="20"/>
          <w:szCs w:val="20"/>
        </w:rPr>
      </w:pPr>
      <w:r w:rsidRPr="00484229">
        <w:rPr>
          <w:rFonts w:ascii="Arial" w:hAnsi="Arial" w:cs="Arial"/>
          <w:b/>
          <w:sz w:val="20"/>
          <w:szCs w:val="20"/>
        </w:rPr>
        <w:t>Moving Averages</w:t>
      </w:r>
      <w:r w:rsidRPr="00484229">
        <w:rPr>
          <w:rFonts w:ascii="Arial" w:hAnsi="Arial" w:cs="Arial"/>
          <w:sz w:val="20"/>
          <w:szCs w:val="20"/>
        </w:rPr>
        <w:br/>
        <w:t>NDAQ is trading above both the 50-day and 200-day moving averages on daily and weekly charts, indicating that the long-term trend remains bullish. On the daily chart, the 50-day MA is closer to the current price, suggesting that shorter-term momentum is still supportive, though near-term consolidation could occur.</w:t>
      </w:r>
    </w:p>
    <w:p w14:paraId="4ABF5756" w14:textId="77777777" w:rsidR="00484229" w:rsidRPr="00484229" w:rsidRDefault="00484229" w:rsidP="00484229">
      <w:pPr>
        <w:ind w:left="-851"/>
        <w:rPr>
          <w:rFonts w:ascii="Arial" w:hAnsi="Arial" w:cs="Arial"/>
          <w:b/>
          <w:bCs/>
          <w:sz w:val="20"/>
          <w:szCs w:val="20"/>
        </w:rPr>
      </w:pPr>
      <w:r w:rsidRPr="00484229">
        <w:rPr>
          <w:rFonts w:ascii="Arial" w:hAnsi="Arial" w:cs="Arial"/>
          <w:b/>
          <w:bCs/>
          <w:sz w:val="20"/>
          <w:szCs w:val="20"/>
        </w:rPr>
        <w:t>MACD</w:t>
      </w:r>
    </w:p>
    <w:p w14:paraId="29865277" w14:textId="77777777" w:rsidR="00484229" w:rsidRPr="00484229" w:rsidRDefault="00484229" w:rsidP="00484229">
      <w:pPr>
        <w:numPr>
          <w:ilvl w:val="0"/>
          <w:numId w:val="10"/>
        </w:numPr>
        <w:tabs>
          <w:tab w:val="clear" w:pos="720"/>
          <w:tab w:val="num" w:pos="426"/>
        </w:tabs>
        <w:ind w:left="-142"/>
        <w:rPr>
          <w:rFonts w:ascii="Arial" w:hAnsi="Arial" w:cs="Arial"/>
          <w:sz w:val="20"/>
          <w:szCs w:val="20"/>
        </w:rPr>
      </w:pPr>
      <w:r w:rsidRPr="00484229">
        <w:rPr>
          <w:rFonts w:ascii="Arial" w:hAnsi="Arial" w:cs="Arial"/>
          <w:sz w:val="20"/>
          <w:szCs w:val="20"/>
        </w:rPr>
        <w:t>Weekly chart: The MACD (4.47) remains above the signal line (3.84), indicating ongoing upward momentum and no immediate trend reversal.</w:t>
      </w:r>
    </w:p>
    <w:p w14:paraId="21165901" w14:textId="77777777" w:rsidR="00484229" w:rsidRPr="00484229" w:rsidRDefault="00484229" w:rsidP="00484229">
      <w:pPr>
        <w:numPr>
          <w:ilvl w:val="0"/>
          <w:numId w:val="10"/>
        </w:numPr>
        <w:tabs>
          <w:tab w:val="clear" w:pos="720"/>
          <w:tab w:val="num" w:pos="426"/>
        </w:tabs>
        <w:ind w:left="-142"/>
        <w:rPr>
          <w:rFonts w:ascii="Arial" w:hAnsi="Arial" w:cs="Arial"/>
          <w:sz w:val="20"/>
          <w:szCs w:val="20"/>
        </w:rPr>
      </w:pPr>
      <w:r w:rsidRPr="00484229">
        <w:rPr>
          <w:rFonts w:ascii="Arial" w:hAnsi="Arial" w:cs="Arial"/>
          <w:sz w:val="20"/>
          <w:szCs w:val="20"/>
        </w:rPr>
        <w:t>Daily chart: A bearish crossover around the 2.20 level signals short-term momentum weakening, which may coincide with minor price corrections.</w:t>
      </w:r>
    </w:p>
    <w:p w14:paraId="7161308F" w14:textId="77777777" w:rsidR="00484229" w:rsidRPr="00484229" w:rsidRDefault="00484229" w:rsidP="00484229">
      <w:pPr>
        <w:ind w:left="-851"/>
        <w:rPr>
          <w:rFonts w:ascii="Arial" w:hAnsi="Arial" w:cs="Arial"/>
          <w:b/>
          <w:bCs/>
          <w:sz w:val="20"/>
          <w:szCs w:val="20"/>
        </w:rPr>
      </w:pPr>
      <w:r w:rsidRPr="00484229">
        <w:rPr>
          <w:rFonts w:ascii="Arial" w:hAnsi="Arial" w:cs="Arial"/>
          <w:b/>
          <w:bCs/>
          <w:sz w:val="20"/>
          <w:szCs w:val="20"/>
        </w:rPr>
        <w:t>RSI</w:t>
      </w:r>
    </w:p>
    <w:p w14:paraId="3890DCCE" w14:textId="77777777" w:rsidR="00484229" w:rsidRPr="00484229" w:rsidRDefault="00484229" w:rsidP="00484229">
      <w:pPr>
        <w:numPr>
          <w:ilvl w:val="0"/>
          <w:numId w:val="11"/>
        </w:numPr>
        <w:tabs>
          <w:tab w:val="clear" w:pos="720"/>
          <w:tab w:val="num" w:pos="426"/>
        </w:tabs>
        <w:ind w:left="-142"/>
        <w:rPr>
          <w:rFonts w:ascii="Arial" w:hAnsi="Arial" w:cs="Arial"/>
          <w:sz w:val="20"/>
          <w:szCs w:val="20"/>
        </w:rPr>
      </w:pPr>
      <w:r w:rsidRPr="00484229">
        <w:rPr>
          <w:rFonts w:ascii="Arial" w:hAnsi="Arial" w:cs="Arial"/>
          <w:sz w:val="20"/>
          <w:szCs w:val="20"/>
        </w:rPr>
        <w:t>Weekly chart: The RSI is around 73.16, above the RSI-based moving average of 68.39, indicating the stock is in an overbought condition in the medium term.</w:t>
      </w:r>
    </w:p>
    <w:p w14:paraId="2873923F" w14:textId="77777777" w:rsidR="00484229" w:rsidRPr="00484229" w:rsidRDefault="00484229" w:rsidP="00484229">
      <w:pPr>
        <w:numPr>
          <w:ilvl w:val="0"/>
          <w:numId w:val="11"/>
        </w:numPr>
        <w:tabs>
          <w:tab w:val="clear" w:pos="720"/>
          <w:tab w:val="num" w:pos="426"/>
        </w:tabs>
        <w:ind w:left="-142"/>
        <w:rPr>
          <w:rFonts w:ascii="Arial" w:hAnsi="Arial" w:cs="Arial"/>
          <w:sz w:val="20"/>
          <w:szCs w:val="20"/>
        </w:rPr>
      </w:pPr>
      <w:r w:rsidRPr="00484229">
        <w:rPr>
          <w:rFonts w:ascii="Arial" w:hAnsi="Arial" w:cs="Arial"/>
          <w:sz w:val="20"/>
          <w:szCs w:val="20"/>
        </w:rPr>
        <w:t>Daily chart: A bearish crossover at the 70 level suggests near-term price pressure, reinforcing the possibility of a short-term pullback.</w:t>
      </w:r>
    </w:p>
    <w:p w14:paraId="74BE3255" w14:textId="77777777" w:rsidR="00484229" w:rsidRPr="00484229" w:rsidRDefault="00484229" w:rsidP="00484229">
      <w:pPr>
        <w:ind w:left="-851"/>
        <w:rPr>
          <w:rFonts w:ascii="Arial" w:hAnsi="Arial" w:cs="Arial"/>
          <w:sz w:val="20"/>
          <w:szCs w:val="20"/>
        </w:rPr>
      </w:pPr>
      <w:r w:rsidRPr="00484229">
        <w:rPr>
          <w:rFonts w:ascii="Arial" w:hAnsi="Arial" w:cs="Arial"/>
          <w:b/>
          <w:bCs/>
          <w:sz w:val="20"/>
          <w:szCs w:val="20"/>
        </w:rPr>
        <w:t>Fibonacci Retracement Levels</w:t>
      </w:r>
      <w:r w:rsidRPr="00484229">
        <w:rPr>
          <w:rFonts w:ascii="Arial" w:hAnsi="Arial" w:cs="Arial"/>
          <w:sz w:val="20"/>
          <w:szCs w:val="20"/>
        </w:rPr>
        <w:br/>
        <w:t>Key retracement levels to watch are $94, $92.80, and $91.70, which could serve as support zones during any short-term correction. These levels align closely with the fair value gap and moving average support, providing multiple confluences for potential buying interest.</w:t>
      </w:r>
    </w:p>
    <w:p w14:paraId="3F9DD09A" w14:textId="250F3B76" w:rsidR="00484229" w:rsidRPr="00484229" w:rsidRDefault="00484229" w:rsidP="00484229">
      <w:pPr>
        <w:ind w:left="-851"/>
        <w:rPr>
          <w:rFonts w:ascii="Arial" w:hAnsi="Arial" w:cs="Arial"/>
          <w:sz w:val="20"/>
          <w:szCs w:val="20"/>
        </w:rPr>
      </w:pPr>
      <w:r w:rsidRPr="00484229">
        <w:rPr>
          <w:rFonts w:ascii="Arial" w:hAnsi="Arial" w:cs="Arial"/>
          <w:b/>
          <w:bCs/>
          <w:sz w:val="20"/>
          <w:szCs w:val="20"/>
        </w:rPr>
        <w:t>Summary</w:t>
      </w:r>
      <w:r w:rsidRPr="00484229">
        <w:rPr>
          <w:rFonts w:ascii="Arial" w:hAnsi="Arial" w:cs="Arial"/>
          <w:sz w:val="20"/>
          <w:szCs w:val="20"/>
        </w:rPr>
        <w:br/>
        <w:t>Overall, Nasdaq remains in a long-term uptrend, supported by both weekly moving averages and positive MACD momentum. However, near-term indicators on daily charts</w:t>
      </w:r>
      <w:r>
        <w:rPr>
          <w:rFonts w:ascii="Arial" w:hAnsi="Arial" w:cs="Arial"/>
          <w:sz w:val="20"/>
          <w:szCs w:val="20"/>
        </w:rPr>
        <w:t xml:space="preserve">, </w:t>
      </w:r>
      <w:r w:rsidRPr="00484229">
        <w:rPr>
          <w:rFonts w:ascii="Arial" w:hAnsi="Arial" w:cs="Arial"/>
          <w:sz w:val="20"/>
          <w:szCs w:val="20"/>
        </w:rPr>
        <w:t>including bearish MACD and RSI crossovers</w:t>
      </w:r>
      <w:r>
        <w:rPr>
          <w:rFonts w:ascii="Arial" w:hAnsi="Arial" w:cs="Arial"/>
          <w:sz w:val="20"/>
          <w:szCs w:val="20"/>
        </w:rPr>
        <w:t xml:space="preserve">, </w:t>
      </w:r>
      <w:r w:rsidRPr="00484229">
        <w:rPr>
          <w:rFonts w:ascii="Arial" w:hAnsi="Arial" w:cs="Arial"/>
          <w:sz w:val="20"/>
          <w:szCs w:val="20"/>
        </w:rPr>
        <w:t>suggest the possibility of a short-term pullback toward the $9</w:t>
      </w:r>
      <w:r>
        <w:rPr>
          <w:rFonts w:ascii="Arial" w:hAnsi="Arial" w:cs="Arial"/>
          <w:sz w:val="20"/>
          <w:szCs w:val="20"/>
        </w:rPr>
        <w:t>1</w:t>
      </w:r>
      <w:r w:rsidRPr="00484229">
        <w:rPr>
          <w:rFonts w:ascii="Arial" w:hAnsi="Arial" w:cs="Arial"/>
          <w:sz w:val="20"/>
          <w:szCs w:val="20"/>
        </w:rPr>
        <w:t>–$9</w:t>
      </w:r>
      <w:r>
        <w:rPr>
          <w:rFonts w:ascii="Arial" w:hAnsi="Arial" w:cs="Arial"/>
          <w:sz w:val="20"/>
          <w:szCs w:val="20"/>
        </w:rPr>
        <w:t>2</w:t>
      </w:r>
      <w:r w:rsidRPr="00484229">
        <w:rPr>
          <w:rFonts w:ascii="Arial" w:hAnsi="Arial" w:cs="Arial"/>
          <w:sz w:val="20"/>
          <w:szCs w:val="20"/>
        </w:rPr>
        <w:t xml:space="preserve"> price zone</w:t>
      </w:r>
    </w:p>
    <w:p w14:paraId="1D9B8378" w14:textId="77777777" w:rsidR="005E3590" w:rsidRPr="005E3590" w:rsidRDefault="005E3590" w:rsidP="005E3590">
      <w:pPr>
        <w:ind w:left="-851"/>
      </w:pPr>
    </w:p>
    <w:p w14:paraId="7B4599FF" w14:textId="77777777" w:rsidR="005E3590" w:rsidRDefault="005E3590" w:rsidP="005E3590">
      <w:pPr>
        <w:ind w:left="-851" w:right="-613"/>
        <w:jc w:val="both"/>
        <w:rPr>
          <w:rFonts w:ascii="Arial" w:hAnsi="Arial" w:cs="Arial"/>
          <w:sz w:val="20"/>
          <w:szCs w:val="20"/>
        </w:rPr>
      </w:pPr>
    </w:p>
    <w:p w14:paraId="56C0539C" w14:textId="77777777" w:rsidR="002F5512" w:rsidRDefault="002F5512" w:rsidP="005E3590">
      <w:pPr>
        <w:ind w:left="-851" w:right="-613"/>
        <w:jc w:val="both"/>
        <w:rPr>
          <w:rFonts w:ascii="Arial" w:hAnsi="Arial" w:cs="Arial"/>
          <w:sz w:val="20"/>
          <w:szCs w:val="20"/>
        </w:rPr>
      </w:pPr>
    </w:p>
    <w:p w14:paraId="5E1C9C8C" w14:textId="77777777" w:rsidR="002F5512" w:rsidRDefault="002F5512" w:rsidP="005E3590">
      <w:pPr>
        <w:ind w:left="-851" w:right="-613"/>
        <w:jc w:val="both"/>
        <w:rPr>
          <w:rFonts w:ascii="Arial" w:hAnsi="Arial" w:cs="Arial"/>
          <w:sz w:val="20"/>
          <w:szCs w:val="20"/>
        </w:rPr>
      </w:pPr>
    </w:p>
    <w:p w14:paraId="64A8B7E5" w14:textId="77777777" w:rsidR="002F5512" w:rsidRPr="005E3590" w:rsidRDefault="002F5512" w:rsidP="005E3590">
      <w:pPr>
        <w:ind w:left="-851" w:right="-613"/>
        <w:jc w:val="both"/>
        <w:rPr>
          <w:rFonts w:ascii="Arial" w:hAnsi="Arial" w:cs="Arial"/>
          <w:sz w:val="20"/>
          <w:szCs w:val="20"/>
        </w:rPr>
      </w:pPr>
    </w:p>
    <w:p w14:paraId="74D34E7C" w14:textId="6B817E16" w:rsidR="0038647B" w:rsidRDefault="0038647B" w:rsidP="00581196">
      <w:pPr>
        <w:pStyle w:val="Title"/>
        <w:ind w:left="-851"/>
        <w:jc w:val="both"/>
        <w:rPr>
          <w:rFonts w:eastAsia="Calibri"/>
          <w:b/>
          <w:bCs/>
          <w:sz w:val="50"/>
          <w:szCs w:val="50"/>
          <w:u w:val="single"/>
        </w:rPr>
      </w:pPr>
      <w:r w:rsidRPr="0038647B">
        <w:rPr>
          <w:rFonts w:eastAsia="Calibri"/>
          <w:b/>
          <w:bCs/>
          <w:sz w:val="50"/>
          <w:szCs w:val="50"/>
          <w:u w:val="single"/>
        </w:rPr>
        <w:t>Risk Management Analysis</w:t>
      </w:r>
    </w:p>
    <w:p w14:paraId="4081FB08" w14:textId="77777777" w:rsidR="0038647B" w:rsidRPr="0038647B" w:rsidRDefault="0038647B" w:rsidP="009A7DB0">
      <w:pPr>
        <w:ind w:right="-755"/>
        <w:jc w:val="both"/>
      </w:pPr>
    </w:p>
    <w:p w14:paraId="7300FBAB" w14:textId="77777777" w:rsidR="00C37CE3" w:rsidRPr="00C37CE3" w:rsidRDefault="00C37CE3" w:rsidP="00C37CE3">
      <w:pPr>
        <w:ind w:left="-851" w:right="-22"/>
        <w:jc w:val="both"/>
        <w:rPr>
          <w:rFonts w:ascii="Arial" w:hAnsi="Arial" w:cs="Arial"/>
          <w:b/>
          <w:bCs/>
          <w:sz w:val="20"/>
          <w:szCs w:val="20"/>
        </w:rPr>
      </w:pPr>
      <w:r w:rsidRPr="00C37CE3">
        <w:rPr>
          <w:rFonts w:ascii="Arial" w:hAnsi="Arial" w:cs="Arial"/>
          <w:b/>
          <w:bCs/>
          <w:sz w:val="20"/>
          <w:szCs w:val="20"/>
        </w:rPr>
        <w:t>Macroeconomic &amp; Market Sensitivity</w:t>
      </w:r>
    </w:p>
    <w:p w14:paraId="20B17158" w14:textId="2119B9FE"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Nasdaq's performance is highly correlated to global economic conditions (recessions, inflation, interest rates, market volatility). Downturns reduce trading/clearing volumes, listings activity (IPOs, SPACs), and demand for data, analytics, and technology solutions, directly pressuring revenue. Geopolitical instability further exacerbates this risk.</w:t>
      </w:r>
    </w:p>
    <w:p w14:paraId="52560DF7" w14:textId="77777777" w:rsidR="00C37CE3" w:rsidRPr="00C37CE3" w:rsidRDefault="00C37CE3" w:rsidP="00C37CE3">
      <w:pPr>
        <w:ind w:left="-851" w:right="-22"/>
        <w:jc w:val="both"/>
        <w:rPr>
          <w:rFonts w:ascii="Arial" w:hAnsi="Arial" w:cs="Arial"/>
          <w:sz w:val="20"/>
          <w:szCs w:val="20"/>
        </w:rPr>
      </w:pPr>
    </w:p>
    <w:p w14:paraId="7C60ABA8"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Intense Competition &amp; Pricing Pressure</w:t>
      </w:r>
    </w:p>
    <w:p w14:paraId="4A62A422" w14:textId="096B81D6"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Nasdaq faces fierce competition across all segments (Market Services, Capital Access Platforms, FinTech) from global exchanges, ATSs, MTFs, and new entrants. The industry is characterized by significant price competition, particularly in trading (including rebates), and rapid technological change. Failure to compete effectively threatens market share, pricing power, and margins.</w:t>
      </w:r>
    </w:p>
    <w:p w14:paraId="453F794E" w14:textId="77777777" w:rsidR="00C37CE3" w:rsidRPr="00C37CE3" w:rsidRDefault="00C37CE3" w:rsidP="00C37CE3">
      <w:pPr>
        <w:ind w:left="-851" w:right="-22"/>
        <w:jc w:val="both"/>
        <w:rPr>
          <w:rFonts w:ascii="Arial" w:hAnsi="Arial" w:cs="Arial"/>
          <w:sz w:val="20"/>
          <w:szCs w:val="20"/>
        </w:rPr>
      </w:pPr>
    </w:p>
    <w:p w14:paraId="72A746E8"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Technology &amp; Operational Risk</w:t>
      </w:r>
    </w:p>
    <w:p w14:paraId="2F1D6DB8" w14:textId="3683A03E"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Business continuity and reputation depend on complex, high-volume technology systems. Failures (cyberattacks, capacity issues, third-party provider outages - notably AWS cloud dependency) or implementation delays can cause significant disruption, financial loss, and reputational damage. Heavy investment in innovation (AI, cloud migration) carries execution and obsolescence risk. Clearing operations expose Nasdaq to counterparty default risk.</w:t>
      </w:r>
    </w:p>
    <w:p w14:paraId="1706F128" w14:textId="77777777" w:rsidR="00C37CE3" w:rsidRPr="00C37CE3" w:rsidRDefault="00C37CE3" w:rsidP="00C37CE3">
      <w:pPr>
        <w:ind w:left="-851" w:right="-22"/>
        <w:jc w:val="both"/>
        <w:rPr>
          <w:rFonts w:ascii="Arial" w:hAnsi="Arial" w:cs="Arial"/>
          <w:sz w:val="20"/>
          <w:szCs w:val="20"/>
        </w:rPr>
      </w:pPr>
    </w:p>
    <w:p w14:paraId="5AE1242B"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Stringent &amp; Evolving Regulation</w:t>
      </w:r>
    </w:p>
    <w:p w14:paraId="005E3FB0" w14:textId="65A3E04F"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As a global exchange operator and SRO, Nasdaq faces complex, changing regulations (SEC, ESMA, OSC). Compliance is costly, and rule changes (e.g., SEC access fee/rebate model - under litigation, CAT costs, EU MiFID data pricing, DORA) can materially disrupt business models and revenue streams (data, transaction fees). Regulatory failures or conflicts between for-profit and regulatory roles invite fines and reputational harm.</w:t>
      </w:r>
    </w:p>
    <w:p w14:paraId="3ABDE03C" w14:textId="77777777" w:rsidR="00C37CE3" w:rsidRPr="00C37CE3" w:rsidRDefault="00C37CE3" w:rsidP="00C37CE3">
      <w:pPr>
        <w:ind w:left="-851" w:right="-22"/>
        <w:jc w:val="both"/>
        <w:rPr>
          <w:rFonts w:ascii="Arial" w:hAnsi="Arial" w:cs="Arial"/>
          <w:sz w:val="20"/>
          <w:szCs w:val="20"/>
        </w:rPr>
      </w:pPr>
    </w:p>
    <w:p w14:paraId="6E96C009"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Financial &amp; Strategic Execution Risk</w:t>
      </w:r>
    </w:p>
    <w:p w14:paraId="21503877" w14:textId="6B56736B"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t xml:space="preserve">High leverage ($9.5B debt) limits flexibility and increases sensitivity to interest rates/economic downturns. Credit rating downgrades would raise funding costs. Integrating large acquisitions (e.g., </w:t>
      </w:r>
      <w:proofErr w:type="spellStart"/>
      <w:r w:rsidRPr="00C37CE3">
        <w:rPr>
          <w:rFonts w:ascii="Arial" w:hAnsi="Arial" w:cs="Arial"/>
          <w:sz w:val="20"/>
          <w:szCs w:val="20"/>
        </w:rPr>
        <w:t>Adenza</w:t>
      </w:r>
      <w:proofErr w:type="spellEnd"/>
      <w:r w:rsidRPr="00C37CE3">
        <w:rPr>
          <w:rFonts w:ascii="Arial" w:hAnsi="Arial" w:cs="Arial"/>
          <w:sz w:val="20"/>
          <w:szCs w:val="20"/>
        </w:rPr>
        <w:t>) is complex and costly, with significant execution risk to realizing synergies. Future M&amp;A, investments, or divestitures carry inherent financial and operational risks. Dividend payments are discretionary.</w:t>
      </w:r>
    </w:p>
    <w:p w14:paraId="1D92E6DA" w14:textId="77777777" w:rsidR="00C37CE3" w:rsidRPr="00C37CE3" w:rsidRDefault="00C37CE3" w:rsidP="00C37CE3">
      <w:pPr>
        <w:ind w:left="-851" w:right="-22"/>
        <w:jc w:val="both"/>
        <w:rPr>
          <w:rFonts w:ascii="Arial" w:hAnsi="Arial" w:cs="Arial"/>
          <w:sz w:val="20"/>
          <w:szCs w:val="20"/>
        </w:rPr>
      </w:pPr>
    </w:p>
    <w:p w14:paraId="522A8456" w14:textId="77777777" w:rsidR="007637C4" w:rsidRPr="007637C4" w:rsidRDefault="00C37CE3" w:rsidP="00C37CE3">
      <w:pPr>
        <w:ind w:left="-851" w:right="-22"/>
        <w:jc w:val="both"/>
        <w:rPr>
          <w:rFonts w:ascii="Arial" w:hAnsi="Arial" w:cs="Arial"/>
          <w:b/>
          <w:bCs/>
          <w:sz w:val="20"/>
          <w:szCs w:val="20"/>
        </w:rPr>
      </w:pPr>
      <w:r w:rsidRPr="007637C4">
        <w:rPr>
          <w:rFonts w:ascii="Arial" w:hAnsi="Arial" w:cs="Arial"/>
          <w:b/>
          <w:bCs/>
          <w:sz w:val="20"/>
          <w:szCs w:val="20"/>
        </w:rPr>
        <w:t>Reputational &amp; Structural Risks</w:t>
      </w:r>
    </w:p>
    <w:p w14:paraId="27AF06D3" w14:textId="61D56257" w:rsidR="00C37CE3" w:rsidRPr="00C37CE3" w:rsidRDefault="00C37CE3" w:rsidP="00C37CE3">
      <w:pPr>
        <w:ind w:left="-851" w:right="-22"/>
        <w:jc w:val="both"/>
        <w:rPr>
          <w:rFonts w:ascii="Arial" w:hAnsi="Arial" w:cs="Arial"/>
          <w:sz w:val="20"/>
          <w:szCs w:val="20"/>
        </w:rPr>
      </w:pPr>
      <w:r w:rsidRPr="00C37CE3">
        <w:rPr>
          <w:rFonts w:ascii="Arial" w:hAnsi="Arial" w:cs="Arial"/>
          <w:sz w:val="20"/>
          <w:szCs w:val="20"/>
        </w:rPr>
        <w:lastRenderedPageBreak/>
        <w:t>Damage to Nasdaq's brand from operational failures, compliance issues, cybersecurity breaches, or sustainability reporting shortfalls could impair customer relationships and listings appeal. The holding company structure relies on regulated subsidiaries' ability to upstream dividends, which can be restricted. Ownership and voting rules (5% cap, SEC approval for &gt;20% by members) and anti-takeover provisions limit shareholder influence.</w:t>
      </w:r>
    </w:p>
    <w:p w14:paraId="0925EA40" w14:textId="77777777" w:rsidR="009A7DB0" w:rsidRDefault="009A7DB0" w:rsidP="009A7DB0">
      <w:pPr>
        <w:ind w:left="-851" w:right="-755"/>
        <w:jc w:val="both"/>
        <w:rPr>
          <w:rFonts w:ascii="Arial" w:hAnsi="Arial" w:cs="Arial"/>
          <w:sz w:val="20"/>
          <w:szCs w:val="20"/>
        </w:rPr>
      </w:pPr>
    </w:p>
    <w:p w14:paraId="0567FA5D" w14:textId="77777777" w:rsidR="009A7DB0" w:rsidRDefault="009A7DB0" w:rsidP="009A7DB0">
      <w:pPr>
        <w:ind w:left="-851" w:right="-755"/>
        <w:jc w:val="both"/>
        <w:rPr>
          <w:rFonts w:ascii="Arial" w:hAnsi="Arial" w:cs="Arial"/>
          <w:sz w:val="20"/>
          <w:szCs w:val="20"/>
        </w:rPr>
      </w:pPr>
    </w:p>
    <w:p w14:paraId="4CF7BEFF" w14:textId="4027A43F" w:rsidR="009A7DB0" w:rsidRDefault="009A7DB0" w:rsidP="009A7DB0">
      <w:pPr>
        <w:pStyle w:val="Title"/>
        <w:ind w:left="-851"/>
        <w:jc w:val="both"/>
        <w:rPr>
          <w:rFonts w:eastAsia="Calibri"/>
          <w:b/>
          <w:bCs/>
          <w:sz w:val="50"/>
          <w:szCs w:val="50"/>
          <w:u w:val="single"/>
        </w:rPr>
      </w:pPr>
      <w:r w:rsidRPr="0038647B">
        <w:rPr>
          <w:rFonts w:eastAsia="Calibri"/>
          <w:b/>
          <w:bCs/>
          <w:sz w:val="50"/>
          <w:szCs w:val="50"/>
          <w:u w:val="single"/>
        </w:rPr>
        <w:t>R</w:t>
      </w:r>
      <w:r>
        <w:rPr>
          <w:rFonts w:eastAsia="Calibri"/>
          <w:b/>
          <w:bCs/>
          <w:sz w:val="50"/>
          <w:szCs w:val="50"/>
          <w:u w:val="single"/>
        </w:rPr>
        <w:t>ecommendations</w:t>
      </w:r>
    </w:p>
    <w:p w14:paraId="71EBC8D6" w14:textId="77777777" w:rsidR="009A7DB0" w:rsidRDefault="009A7DB0" w:rsidP="00823CD2">
      <w:pPr>
        <w:ind w:right="-755"/>
        <w:jc w:val="both"/>
        <w:rPr>
          <w:rFonts w:ascii="Arial" w:hAnsi="Arial" w:cs="Arial"/>
          <w:sz w:val="20"/>
          <w:szCs w:val="20"/>
        </w:rPr>
      </w:pPr>
    </w:p>
    <w:p w14:paraId="7628C42C" w14:textId="77777777" w:rsidR="009A7DB0" w:rsidRDefault="009A7DB0" w:rsidP="009A7DB0">
      <w:pPr>
        <w:ind w:left="-851" w:right="-755"/>
        <w:jc w:val="both"/>
        <w:rPr>
          <w:rFonts w:ascii="Arial" w:hAnsi="Arial" w:cs="Arial"/>
          <w:b/>
          <w:bCs/>
          <w:sz w:val="20"/>
          <w:szCs w:val="20"/>
        </w:rPr>
      </w:pPr>
      <w:r w:rsidRPr="009A7DB0">
        <w:rPr>
          <w:rFonts w:ascii="Arial" w:hAnsi="Arial" w:cs="Arial"/>
          <w:b/>
          <w:bCs/>
          <w:sz w:val="20"/>
          <w:szCs w:val="20"/>
        </w:rPr>
        <w:t xml:space="preserve">Investment Rating: </w:t>
      </w:r>
      <w:r w:rsidRPr="00D17081">
        <w:rPr>
          <w:rFonts w:ascii="Arial" w:hAnsi="Arial" w:cs="Arial"/>
          <w:sz w:val="20"/>
          <w:szCs w:val="20"/>
        </w:rPr>
        <w:t>Buy</w:t>
      </w:r>
    </w:p>
    <w:p w14:paraId="7ED54510" w14:textId="1EB10C99" w:rsidR="00D17081" w:rsidRDefault="00D17081" w:rsidP="009A7DB0">
      <w:pPr>
        <w:ind w:left="-851" w:right="-755"/>
        <w:jc w:val="both"/>
        <w:rPr>
          <w:rFonts w:ascii="Arial" w:hAnsi="Arial" w:cs="Arial"/>
          <w:sz w:val="20"/>
          <w:szCs w:val="20"/>
        </w:rPr>
      </w:pPr>
      <w:r>
        <w:rPr>
          <w:rFonts w:ascii="Arial" w:hAnsi="Arial" w:cs="Arial"/>
          <w:b/>
          <w:bCs/>
          <w:sz w:val="20"/>
          <w:szCs w:val="20"/>
        </w:rPr>
        <w:t xml:space="preserve">Entry Price: </w:t>
      </w:r>
      <w:r w:rsidRPr="00D17081">
        <w:rPr>
          <w:rFonts w:ascii="Arial" w:hAnsi="Arial" w:cs="Arial"/>
          <w:sz w:val="20"/>
          <w:szCs w:val="20"/>
        </w:rPr>
        <w:t>$91 - $92</w:t>
      </w:r>
    </w:p>
    <w:p w14:paraId="595E2391" w14:textId="6C28EE30" w:rsidR="009A7DB0" w:rsidRDefault="007F724C" w:rsidP="009A7DB0">
      <w:pPr>
        <w:ind w:left="-851" w:right="-755"/>
        <w:jc w:val="both"/>
        <w:rPr>
          <w:rFonts w:ascii="Arial" w:hAnsi="Arial" w:cs="Arial"/>
          <w:sz w:val="20"/>
          <w:szCs w:val="20"/>
        </w:rPr>
      </w:pPr>
      <w:r>
        <w:rPr>
          <w:rFonts w:ascii="Arial" w:hAnsi="Arial" w:cs="Arial"/>
          <w:b/>
          <w:bCs/>
          <w:sz w:val="20"/>
          <w:szCs w:val="20"/>
        </w:rPr>
        <w:t xml:space="preserve">Exit </w:t>
      </w:r>
      <w:r w:rsidR="009A7DB0" w:rsidRPr="009A7DB0">
        <w:rPr>
          <w:rFonts w:ascii="Arial" w:hAnsi="Arial" w:cs="Arial"/>
          <w:b/>
          <w:bCs/>
          <w:sz w:val="20"/>
          <w:szCs w:val="20"/>
        </w:rPr>
        <w:t xml:space="preserve">Target Price: </w:t>
      </w:r>
      <w:r w:rsidR="009A7DB0" w:rsidRPr="00AB05FF">
        <w:rPr>
          <w:rFonts w:ascii="Arial" w:hAnsi="Arial" w:cs="Arial"/>
          <w:sz w:val="20"/>
          <w:szCs w:val="20"/>
        </w:rPr>
        <w:t>$</w:t>
      </w:r>
      <w:r w:rsidR="00D17081" w:rsidRPr="000B1E89">
        <w:rPr>
          <w:spacing w:val="-4"/>
          <w:sz w:val="20"/>
          <w:szCs w:val="20"/>
        </w:rPr>
        <w:t>145</w:t>
      </w:r>
      <w:r w:rsidR="00D17081">
        <w:rPr>
          <w:spacing w:val="-4"/>
          <w:sz w:val="20"/>
          <w:szCs w:val="20"/>
        </w:rPr>
        <w:t>,46</w:t>
      </w:r>
    </w:p>
    <w:p w14:paraId="72008354" w14:textId="78BAB634" w:rsidR="009A7DB0" w:rsidRDefault="009A7DB0" w:rsidP="009A7DB0">
      <w:pPr>
        <w:ind w:left="-851" w:right="-755"/>
        <w:jc w:val="both"/>
        <w:rPr>
          <w:rFonts w:ascii="Arial" w:hAnsi="Arial" w:cs="Arial"/>
          <w:sz w:val="20"/>
          <w:szCs w:val="20"/>
        </w:rPr>
      </w:pPr>
      <w:r w:rsidRPr="009A7DB0">
        <w:rPr>
          <w:rFonts w:ascii="Arial" w:hAnsi="Arial" w:cs="Arial"/>
          <w:b/>
          <w:bCs/>
          <w:sz w:val="20"/>
          <w:szCs w:val="20"/>
        </w:rPr>
        <w:t>Current Price (</w:t>
      </w:r>
      <w:r w:rsidR="00F6220F">
        <w:rPr>
          <w:rFonts w:ascii="Arial" w:hAnsi="Arial" w:cs="Arial"/>
          <w:b/>
          <w:bCs/>
          <w:sz w:val="20"/>
          <w:szCs w:val="20"/>
        </w:rPr>
        <w:t xml:space="preserve">August </w:t>
      </w:r>
      <w:r w:rsidRPr="009A7DB0">
        <w:rPr>
          <w:rFonts w:ascii="Arial" w:hAnsi="Arial" w:cs="Arial"/>
          <w:b/>
          <w:bCs/>
          <w:sz w:val="20"/>
          <w:szCs w:val="20"/>
        </w:rPr>
        <w:t xml:space="preserve">2025): </w:t>
      </w:r>
      <w:r w:rsidRPr="00AB05FF">
        <w:rPr>
          <w:rFonts w:ascii="Arial" w:hAnsi="Arial" w:cs="Arial"/>
          <w:sz w:val="20"/>
          <w:szCs w:val="20"/>
        </w:rPr>
        <w:t>$</w:t>
      </w:r>
      <w:r w:rsidR="00F6220F" w:rsidRPr="00AB05FF">
        <w:rPr>
          <w:rFonts w:ascii="Arial" w:hAnsi="Arial" w:cs="Arial"/>
          <w:sz w:val="20"/>
          <w:szCs w:val="20"/>
        </w:rPr>
        <w:t>95.62</w:t>
      </w:r>
    </w:p>
    <w:p w14:paraId="620735A5" w14:textId="1FFCAD9B" w:rsidR="009A7DB0" w:rsidRPr="009A7DB0" w:rsidRDefault="009A7DB0" w:rsidP="009A7DB0">
      <w:pPr>
        <w:ind w:left="-851" w:right="-755"/>
        <w:jc w:val="both"/>
        <w:rPr>
          <w:rFonts w:ascii="Arial" w:hAnsi="Arial" w:cs="Arial"/>
          <w:sz w:val="20"/>
          <w:szCs w:val="20"/>
        </w:rPr>
      </w:pPr>
      <w:r w:rsidRPr="009A7DB0">
        <w:rPr>
          <w:rFonts w:ascii="Arial" w:hAnsi="Arial" w:cs="Arial"/>
          <w:b/>
          <w:bCs/>
          <w:sz w:val="20"/>
          <w:szCs w:val="20"/>
        </w:rPr>
        <w:t xml:space="preserve">Implied Upside: </w:t>
      </w:r>
      <w:r w:rsidRPr="00534161">
        <w:rPr>
          <w:rFonts w:ascii="Arial" w:hAnsi="Arial" w:cs="Arial"/>
          <w:b/>
          <w:bCs/>
          <w:sz w:val="20"/>
          <w:szCs w:val="20"/>
        </w:rPr>
        <w:t>~</w:t>
      </w:r>
      <w:r w:rsidR="00480261" w:rsidRPr="00534161">
        <w:rPr>
          <w:rFonts w:ascii="Arial" w:hAnsi="Arial" w:cs="Arial"/>
          <w:sz w:val="20"/>
          <w:szCs w:val="20"/>
        </w:rPr>
        <w:t>58,11</w:t>
      </w:r>
      <w:r w:rsidRPr="00534161">
        <w:rPr>
          <w:rFonts w:ascii="Arial" w:hAnsi="Arial" w:cs="Arial"/>
          <w:sz w:val="20"/>
          <w:szCs w:val="20"/>
        </w:rPr>
        <w:t>%</w:t>
      </w:r>
    </w:p>
    <w:p w14:paraId="49A1D993" w14:textId="23C71BAC" w:rsidR="009A7DB0" w:rsidRPr="009A7DB0" w:rsidRDefault="009A7DB0" w:rsidP="00C72653">
      <w:pPr>
        <w:ind w:left="-851" w:right="-22"/>
        <w:jc w:val="both"/>
        <w:rPr>
          <w:rFonts w:ascii="Arial" w:hAnsi="Arial" w:cs="Arial"/>
          <w:sz w:val="20"/>
          <w:szCs w:val="20"/>
        </w:rPr>
      </w:pPr>
      <w:r w:rsidRPr="009A7DB0">
        <w:rPr>
          <w:rFonts w:ascii="Arial" w:hAnsi="Arial" w:cs="Arial"/>
          <w:sz w:val="20"/>
          <w:szCs w:val="20"/>
        </w:rPr>
        <w:t xml:space="preserve">Based on comprehensive valuation and financial analysis, I recommend a </w:t>
      </w:r>
      <w:r w:rsidRPr="0081020D">
        <w:rPr>
          <w:rFonts w:ascii="Arial" w:hAnsi="Arial" w:cs="Arial"/>
          <w:sz w:val="20"/>
          <w:szCs w:val="20"/>
        </w:rPr>
        <w:t>Buy</w:t>
      </w:r>
      <w:r w:rsidRPr="009A7DB0">
        <w:rPr>
          <w:rFonts w:ascii="Arial" w:hAnsi="Arial" w:cs="Arial"/>
          <w:sz w:val="20"/>
          <w:szCs w:val="20"/>
        </w:rPr>
        <w:t xml:space="preserve"> rating for </w:t>
      </w:r>
      <w:r w:rsidR="006D5EAD">
        <w:rPr>
          <w:rFonts w:ascii="Arial" w:hAnsi="Arial" w:cs="Arial"/>
          <w:i/>
          <w:iCs/>
          <w:sz w:val="20"/>
          <w:szCs w:val="20"/>
        </w:rPr>
        <w:t>NASDAQ</w:t>
      </w:r>
      <w:r w:rsidRPr="009A7DB0">
        <w:rPr>
          <w:rFonts w:ascii="Arial" w:hAnsi="Arial" w:cs="Arial"/>
          <w:i/>
          <w:iCs/>
          <w:sz w:val="20"/>
          <w:szCs w:val="20"/>
        </w:rPr>
        <w:t>, Inc.</w:t>
      </w:r>
      <w:r w:rsidRPr="009A7DB0">
        <w:rPr>
          <w:rFonts w:ascii="Arial" w:hAnsi="Arial" w:cs="Arial"/>
          <w:sz w:val="20"/>
          <w:szCs w:val="20"/>
        </w:rPr>
        <w:t xml:space="preserve"> (N</w:t>
      </w:r>
      <w:r w:rsidR="002E1CFB">
        <w:rPr>
          <w:rFonts w:ascii="Arial" w:hAnsi="Arial" w:cs="Arial"/>
          <w:sz w:val="20"/>
          <w:szCs w:val="20"/>
        </w:rPr>
        <w:t>ASDAQ</w:t>
      </w:r>
      <w:r w:rsidRPr="009A7DB0">
        <w:rPr>
          <w:rFonts w:ascii="Arial" w:hAnsi="Arial" w:cs="Arial"/>
          <w:sz w:val="20"/>
          <w:szCs w:val="20"/>
        </w:rPr>
        <w:t xml:space="preserve">: </w:t>
      </w:r>
      <w:r w:rsidR="002E1CFB">
        <w:rPr>
          <w:rFonts w:ascii="Arial" w:hAnsi="Arial" w:cs="Arial"/>
          <w:sz w:val="20"/>
          <w:szCs w:val="20"/>
        </w:rPr>
        <w:t>NDAQ</w:t>
      </w:r>
      <w:r w:rsidRPr="009A7DB0">
        <w:rPr>
          <w:rFonts w:ascii="Arial" w:hAnsi="Arial" w:cs="Arial"/>
          <w:sz w:val="20"/>
          <w:szCs w:val="20"/>
        </w:rPr>
        <w:t xml:space="preserve">). The stock presents a compelling investment opportunity driven by strong fundamentals, </w:t>
      </w:r>
      <w:proofErr w:type="spellStart"/>
      <w:r w:rsidRPr="009A7DB0">
        <w:rPr>
          <w:rFonts w:ascii="Arial" w:hAnsi="Arial" w:cs="Arial"/>
          <w:sz w:val="20"/>
          <w:szCs w:val="20"/>
        </w:rPr>
        <w:t>favorable</w:t>
      </w:r>
      <w:proofErr w:type="spellEnd"/>
      <w:r w:rsidRPr="009A7DB0">
        <w:rPr>
          <w:rFonts w:ascii="Arial" w:hAnsi="Arial" w:cs="Arial"/>
          <w:sz w:val="20"/>
          <w:szCs w:val="20"/>
        </w:rPr>
        <w:t xml:space="preserve"> valuation, resilient earnings capacity, and upside technical positioning.</w:t>
      </w:r>
    </w:p>
    <w:p w14:paraId="6371C927" w14:textId="77777777" w:rsidR="009A7DB0" w:rsidRPr="0038647B" w:rsidRDefault="009A7DB0" w:rsidP="009A7DB0">
      <w:pPr>
        <w:ind w:left="-851" w:right="-755"/>
        <w:jc w:val="both"/>
        <w:rPr>
          <w:rFonts w:ascii="Arial" w:hAnsi="Arial" w:cs="Arial"/>
          <w:sz w:val="20"/>
          <w:szCs w:val="20"/>
        </w:rPr>
      </w:pPr>
    </w:p>
    <w:p w14:paraId="3B16BB7D" w14:textId="77777777" w:rsidR="0038647B" w:rsidRPr="0038647B" w:rsidRDefault="0038647B" w:rsidP="00581196">
      <w:pPr>
        <w:ind w:left="-851"/>
        <w:jc w:val="both"/>
      </w:pPr>
    </w:p>
    <w:p w14:paraId="32B68518" w14:textId="6976EF85" w:rsidR="0038647B" w:rsidRPr="0038647B" w:rsidRDefault="0038647B" w:rsidP="00581196">
      <w:pPr>
        <w:pStyle w:val="Title"/>
        <w:ind w:left="-851"/>
        <w:jc w:val="both"/>
        <w:rPr>
          <w:rFonts w:eastAsia="Calibri"/>
          <w:b/>
          <w:bCs/>
          <w:sz w:val="50"/>
          <w:szCs w:val="50"/>
          <w:u w:val="single"/>
          <w:lang w:val="en-US"/>
        </w:rPr>
      </w:pPr>
    </w:p>
    <w:p w14:paraId="22B9112B" w14:textId="1F1CB82C" w:rsidR="0038647B" w:rsidRPr="00541289" w:rsidRDefault="0038647B" w:rsidP="00581196">
      <w:pPr>
        <w:ind w:left="-851" w:right="-613"/>
        <w:jc w:val="both"/>
        <w:rPr>
          <w:rFonts w:ascii="Arial" w:hAnsi="Arial" w:cs="Arial"/>
          <w:sz w:val="20"/>
          <w:szCs w:val="20"/>
          <w:lang w:val="en-US"/>
        </w:rPr>
      </w:pPr>
    </w:p>
    <w:sectPr w:rsidR="0038647B" w:rsidRPr="00541289"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0CB59" w14:textId="77777777" w:rsidR="007B251A" w:rsidRDefault="007B251A" w:rsidP="00AD687E">
      <w:pPr>
        <w:spacing w:after="0" w:line="240" w:lineRule="auto"/>
      </w:pPr>
      <w:r>
        <w:separator/>
      </w:r>
    </w:p>
  </w:endnote>
  <w:endnote w:type="continuationSeparator" w:id="0">
    <w:p w14:paraId="652DF739" w14:textId="77777777" w:rsidR="007B251A" w:rsidRDefault="007B251A"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95A46" w14:textId="77777777" w:rsidR="007B251A" w:rsidRDefault="007B251A" w:rsidP="00AD687E">
      <w:pPr>
        <w:spacing w:after="0" w:line="240" w:lineRule="auto"/>
      </w:pPr>
      <w:r>
        <w:separator/>
      </w:r>
    </w:p>
  </w:footnote>
  <w:footnote w:type="continuationSeparator" w:id="0">
    <w:p w14:paraId="5EE6EF2D" w14:textId="77777777" w:rsidR="007B251A" w:rsidRDefault="007B251A"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05883"/>
    <w:rsid w:val="00021EEE"/>
    <w:rsid w:val="00024707"/>
    <w:rsid w:val="000405BC"/>
    <w:rsid w:val="000675A3"/>
    <w:rsid w:val="000B1E89"/>
    <w:rsid w:val="000B4BB2"/>
    <w:rsid w:val="000B7580"/>
    <w:rsid w:val="00100A4D"/>
    <w:rsid w:val="001015EF"/>
    <w:rsid w:val="00106938"/>
    <w:rsid w:val="00110853"/>
    <w:rsid w:val="001139AE"/>
    <w:rsid w:val="001220AD"/>
    <w:rsid w:val="00124A54"/>
    <w:rsid w:val="00136AF5"/>
    <w:rsid w:val="00136B47"/>
    <w:rsid w:val="001625A7"/>
    <w:rsid w:val="00171CA4"/>
    <w:rsid w:val="001C710C"/>
    <w:rsid w:val="0027066E"/>
    <w:rsid w:val="00281D54"/>
    <w:rsid w:val="002B2561"/>
    <w:rsid w:val="002E1CFB"/>
    <w:rsid w:val="002F27BC"/>
    <w:rsid w:val="002F3350"/>
    <w:rsid w:val="002F5512"/>
    <w:rsid w:val="003333A2"/>
    <w:rsid w:val="0038647B"/>
    <w:rsid w:val="003946D2"/>
    <w:rsid w:val="003A2836"/>
    <w:rsid w:val="003A79F4"/>
    <w:rsid w:val="003B5277"/>
    <w:rsid w:val="003D28A3"/>
    <w:rsid w:val="003F085E"/>
    <w:rsid w:val="0042010D"/>
    <w:rsid w:val="00421B3F"/>
    <w:rsid w:val="0043105A"/>
    <w:rsid w:val="004325F5"/>
    <w:rsid w:val="00451041"/>
    <w:rsid w:val="00480261"/>
    <w:rsid w:val="004837EF"/>
    <w:rsid w:val="00484229"/>
    <w:rsid w:val="004C4DF1"/>
    <w:rsid w:val="004F52F2"/>
    <w:rsid w:val="00502A49"/>
    <w:rsid w:val="005221DE"/>
    <w:rsid w:val="005239A0"/>
    <w:rsid w:val="005309A2"/>
    <w:rsid w:val="00534161"/>
    <w:rsid w:val="00541289"/>
    <w:rsid w:val="00581196"/>
    <w:rsid w:val="005C08CB"/>
    <w:rsid w:val="005E3590"/>
    <w:rsid w:val="005E57E2"/>
    <w:rsid w:val="00616C7D"/>
    <w:rsid w:val="00634C39"/>
    <w:rsid w:val="00635CD5"/>
    <w:rsid w:val="00652193"/>
    <w:rsid w:val="00665C10"/>
    <w:rsid w:val="006B5993"/>
    <w:rsid w:val="006D5EAD"/>
    <w:rsid w:val="006F2927"/>
    <w:rsid w:val="006F582E"/>
    <w:rsid w:val="00705ADB"/>
    <w:rsid w:val="0071599D"/>
    <w:rsid w:val="00723EF2"/>
    <w:rsid w:val="00750B92"/>
    <w:rsid w:val="007637C4"/>
    <w:rsid w:val="00764D2C"/>
    <w:rsid w:val="007A0AD7"/>
    <w:rsid w:val="007A4AF2"/>
    <w:rsid w:val="007B16EA"/>
    <w:rsid w:val="007B251A"/>
    <w:rsid w:val="007D2956"/>
    <w:rsid w:val="007E7641"/>
    <w:rsid w:val="007F724C"/>
    <w:rsid w:val="00803590"/>
    <w:rsid w:val="0081020D"/>
    <w:rsid w:val="008107BF"/>
    <w:rsid w:val="008158B5"/>
    <w:rsid w:val="008172BC"/>
    <w:rsid w:val="00820728"/>
    <w:rsid w:val="00823CD2"/>
    <w:rsid w:val="008715DA"/>
    <w:rsid w:val="00890A5A"/>
    <w:rsid w:val="00904D1C"/>
    <w:rsid w:val="00922101"/>
    <w:rsid w:val="00926062"/>
    <w:rsid w:val="009368CE"/>
    <w:rsid w:val="00992CE1"/>
    <w:rsid w:val="00995220"/>
    <w:rsid w:val="009A3C0B"/>
    <w:rsid w:val="009A7DB0"/>
    <w:rsid w:val="009C5D90"/>
    <w:rsid w:val="009F0A63"/>
    <w:rsid w:val="00A12D41"/>
    <w:rsid w:val="00A1779E"/>
    <w:rsid w:val="00A86B37"/>
    <w:rsid w:val="00AB05FF"/>
    <w:rsid w:val="00AB6306"/>
    <w:rsid w:val="00AD687E"/>
    <w:rsid w:val="00B073D0"/>
    <w:rsid w:val="00B10218"/>
    <w:rsid w:val="00B9076D"/>
    <w:rsid w:val="00B97D5F"/>
    <w:rsid w:val="00BE3B54"/>
    <w:rsid w:val="00C00771"/>
    <w:rsid w:val="00C37CE3"/>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DC57AE"/>
    <w:rsid w:val="00E1536B"/>
    <w:rsid w:val="00E30F2F"/>
    <w:rsid w:val="00E33B31"/>
    <w:rsid w:val="00EB07DB"/>
    <w:rsid w:val="00EE5BA3"/>
    <w:rsid w:val="00F20098"/>
    <w:rsid w:val="00F22939"/>
    <w:rsid w:val="00F6220F"/>
    <w:rsid w:val="00F75419"/>
    <w:rsid w:val="00F75530"/>
    <w:rsid w:val="00F7758A"/>
    <w:rsid w:val="00F917F4"/>
    <w:rsid w:val="00F93798"/>
    <w:rsid w:val="00FB7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Equity_Research\Lyft\LYFT_Historical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1426071741031"/>
          <c:y val="0.17171296296296298"/>
          <c:w val="0.85847462817147857"/>
          <c:h val="0.72125801983085447"/>
        </c:manualLayout>
      </c:layout>
      <c:lineChart>
        <c:grouping val="standard"/>
        <c:varyColors val="0"/>
        <c:ser>
          <c:idx val="0"/>
          <c:order val="0"/>
          <c:tx>
            <c:strRef>
              <c:f>Sheet2!$B$1</c:f>
              <c:strCache>
                <c:ptCount val="1"/>
                <c:pt idx="0">
                  <c:v>Close/Last</c:v>
                </c:pt>
              </c:strCache>
            </c:strRef>
          </c:tx>
          <c:spPr>
            <a:ln w="28575" cap="rnd">
              <a:solidFill>
                <a:schemeClr val="accent1"/>
              </a:solidFill>
              <a:round/>
            </a:ln>
            <a:effectLst/>
          </c:spPr>
          <c:marker>
            <c:symbol val="none"/>
          </c:marker>
          <c:dLbls>
            <c:dLbl>
              <c:idx val="3"/>
              <c:layout>
                <c:manualLayout>
                  <c:x val="-6.6305555555555562E-2"/>
                  <c:y val="5.2245552639253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C7-4065-B6CA-C41944DECBE0}"/>
                </c:ext>
              </c:extLst>
            </c:dLbl>
            <c:numFmt formatCode="&quot;$&quot;#,##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2025</c:v>
                </c:pt>
                <c:pt idx="1">
                  <c:v>2024</c:v>
                </c:pt>
                <c:pt idx="2">
                  <c:v>2023</c:v>
                </c:pt>
                <c:pt idx="3">
                  <c:v>2022</c:v>
                </c:pt>
                <c:pt idx="4">
                  <c:v>2021</c:v>
                </c:pt>
                <c:pt idx="5">
                  <c:v>2020</c:v>
                </c:pt>
                <c:pt idx="6">
                  <c:v>2019</c:v>
                </c:pt>
              </c:numCache>
            </c:numRef>
          </c:cat>
          <c:val>
            <c:numRef>
              <c:f>Sheet2!$B$2:$B$8</c:f>
              <c:numCache>
                <c:formatCode>General</c:formatCode>
                <c:ptCount val="7"/>
                <c:pt idx="0">
                  <c:v>18.32</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1-51C7-4065-B6CA-C41944DECBE0}"/>
            </c:ext>
          </c:extLst>
        </c:ser>
        <c:dLbls>
          <c:dLblPos val="t"/>
          <c:showLegendKey val="0"/>
          <c:showVal val="1"/>
          <c:showCatName val="0"/>
          <c:showSerName val="0"/>
          <c:showPercent val="0"/>
          <c:showBubbleSize val="0"/>
        </c:dLbls>
        <c:smooth val="0"/>
        <c:axId val="392491856"/>
        <c:axId val="392492816"/>
      </c:lineChart>
      <c:dateAx>
        <c:axId val="3924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2816"/>
        <c:crosses val="autoZero"/>
        <c:auto val="0"/>
        <c:lblOffset val="100"/>
        <c:baseTimeUnit val="days"/>
      </c:dateAx>
      <c:valAx>
        <c:axId val="392492816"/>
        <c:scaling>
          <c:orientation val="minMax"/>
        </c:scaling>
        <c:delete val="0"/>
        <c:axPos val="l"/>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3391</TotalTime>
  <Pages>8</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79</cp:revision>
  <cp:lastPrinted>2025-08-14T12:22:00Z</cp:lastPrinted>
  <dcterms:created xsi:type="dcterms:W3CDTF">2025-05-19T11:48:00Z</dcterms:created>
  <dcterms:modified xsi:type="dcterms:W3CDTF">2025-09-12T20:58:00Z</dcterms:modified>
</cp:coreProperties>
</file>