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18E544B0" w14:textId="53D3A8D0" w:rsidR="009303D9" w:rsidRDefault="00946973" w:rsidP="006347CF">
      <w:pPr>
        <w:pStyle w:val="papertitle"/>
        <w:spacing w:before="5pt" w:beforeAutospacing="1" w:after="5pt" w:afterAutospacing="1"/>
      </w:pPr>
      <w:r>
        <w:rPr>
          <w:i/>
          <w:iCs/>
        </w:rPr>
        <w:t>S</w:t>
      </w:r>
      <w:r w:rsidR="009303D9">
        <w:rPr>
          <w:i/>
          <w:iCs/>
        </w:rPr>
        <w:t>p</w:t>
      </w:r>
      <w:r>
        <w:rPr>
          <w:i/>
          <w:iCs/>
        </w:rPr>
        <w:t>ace Invaders</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53B284A1" w14:textId="77777777" w:rsidR="00CA4392" w:rsidRDefault="00CA4392" w:rsidP="00CA4392">
      <w:pPr>
        <w:pStyle w:val="Author"/>
        <w:spacing w:before="5pt" w:beforeAutospacing="1"/>
        <w:contextualSpacing/>
        <w:rPr>
          <w:sz w:val="18"/>
          <w:szCs w:val="18"/>
        </w:rPr>
      </w:pPr>
    </w:p>
    <w:p w14:paraId="0296F7C6" w14:textId="77777777" w:rsidR="00CA4392" w:rsidRDefault="00CA4392" w:rsidP="00CA4392">
      <w:pPr>
        <w:pStyle w:val="Author"/>
        <w:spacing w:before="5pt" w:beforeAutospacing="1"/>
        <w:contextualSpacing/>
        <w:rPr>
          <w:sz w:val="18"/>
          <w:szCs w:val="18"/>
        </w:rPr>
      </w:pPr>
    </w:p>
    <w:p w14:paraId="74AC0DE4" w14:textId="1AF9B67C" w:rsidR="00CA4392" w:rsidRDefault="00946973" w:rsidP="00CA4392">
      <w:pPr>
        <w:pStyle w:val="Author"/>
        <w:spacing w:before="5pt" w:beforeAutospacing="1"/>
        <w:contextualSpacing/>
        <w:rPr>
          <w:sz w:val="18"/>
          <w:szCs w:val="18"/>
        </w:rPr>
      </w:pPr>
      <w:r>
        <w:rPr>
          <w:sz w:val="18"/>
          <w:szCs w:val="18"/>
        </w:rPr>
        <w:t xml:space="preserve">Imran Kochi – </w:t>
      </w:r>
      <w:r w:rsidRPr="00946973">
        <w:rPr>
          <w:sz w:val="18"/>
          <w:szCs w:val="18"/>
        </w:rPr>
        <w:t>ikochi1@aum.edu</w:t>
      </w:r>
    </w:p>
    <w:p w14:paraId="608E0F10" w14:textId="6D6556CE" w:rsidR="00946973" w:rsidRDefault="00946973" w:rsidP="00946973">
      <w:pPr>
        <w:pStyle w:val="Author"/>
        <w:spacing w:before="5pt" w:beforeAutospacing="1"/>
        <w:contextualSpacing/>
        <w:rPr>
          <w:sz w:val="18"/>
          <w:szCs w:val="18"/>
        </w:rPr>
      </w:pPr>
      <w:r>
        <w:rPr>
          <w:sz w:val="18"/>
          <w:szCs w:val="18"/>
        </w:rPr>
        <w:t>Nigel Muchena – nmuchena@aum.edu</w:t>
      </w:r>
    </w:p>
    <w:p w14:paraId="079DCF0E" w14:textId="77777777" w:rsidR="00CA4392" w:rsidRDefault="00CA4392" w:rsidP="00CA4392">
      <w:pPr>
        <w:pStyle w:val="Author"/>
        <w:spacing w:before="5pt" w:beforeAutospacing="1"/>
        <w:contextualSpacing/>
        <w:rPr>
          <w:sz w:val="18"/>
          <w:szCs w:val="18"/>
        </w:rPr>
      </w:pPr>
    </w:p>
    <w:p w14:paraId="4C1D13CB" w14:textId="77777777" w:rsidR="00CA4392" w:rsidRDefault="00CA4392" w:rsidP="00CA4392">
      <w:pPr>
        <w:pStyle w:val="Author"/>
        <w:spacing w:before="5pt" w:beforeAutospacing="1"/>
        <w:contextualSpacing/>
        <w:rPr>
          <w:sz w:val="18"/>
          <w:szCs w:val="18"/>
        </w:rPr>
      </w:pPr>
    </w:p>
    <w:p w14:paraId="128D2612"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Default="006347CF" w:rsidP="00CA4392">
      <w:pPr>
        <w:pStyle w:val="Author"/>
        <w:spacing w:before="5pt" w:beforeAutospacing="1"/>
        <w:jc w:val="both"/>
        <w:rPr>
          <w:sz w:val="16"/>
          <w:szCs w:val="16"/>
        </w:r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67708E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3F9CDE0E"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FFFA702" w14:textId="63C01E3C" w:rsidR="009303D9" w:rsidRDefault="009303D9" w:rsidP="006B6B66">
      <w:pPr>
        <w:pStyle w:val="Heading1"/>
      </w:pPr>
      <w:r w:rsidRPr="00D632BE">
        <w:t xml:space="preserve">Introduction </w:t>
      </w:r>
    </w:p>
    <w:p w14:paraId="76A5A27C" w14:textId="482FF6AC" w:rsidR="00946973" w:rsidRPr="00946973" w:rsidRDefault="00946973" w:rsidP="00946973">
      <w:r w:rsidRPr="00946973">
        <w:t xml:space="preserve">The "Space Invaders" project is a 2D arcade-style shooting game developed using the Qt framework. Inspired by the classic gameplay mechanics of </w:t>
      </w:r>
      <w:r w:rsidRPr="00946973">
        <w:rPr>
          <w:i/>
          <w:iCs/>
        </w:rPr>
        <w:t>Galaga</w:t>
      </w:r>
      <w:r w:rsidRPr="00946973">
        <w:t xml:space="preserve"> and the original </w:t>
      </w:r>
      <w:r w:rsidRPr="00946973">
        <w:rPr>
          <w:i/>
          <w:iCs/>
        </w:rPr>
        <w:t>Space Invaders</w:t>
      </w:r>
      <w:r w:rsidRPr="00946973">
        <w:t>, this project aims to recreate the fast-paced, retro gaming experience where players control a spaceship and defend Earth from waves of descending alien enemies. The game combines simple controls, dynamic enemy behavior, and increasing difficulty to keep players engaged. Built with Qt’s powerful GUI and graphics tools, the project emphasizes modular design, smooth animations, and responsive input handling. This project not only serves as a tribute to vintage arcade games but also demonstrates the use of modern C++ and Qt techniques in game development.</w:t>
      </w:r>
    </w:p>
    <w:p w14:paraId="3EF35B8D" w14:textId="21B8A80A" w:rsidR="009303D9" w:rsidRDefault="009303D9" w:rsidP="006B6B66">
      <w:pPr>
        <w:pStyle w:val="Heading1"/>
      </w:pPr>
      <w:r w:rsidRPr="006B6B66">
        <w:t>Ease of Use</w:t>
      </w:r>
    </w:p>
    <w:p w14:paraId="103CEFA8" w14:textId="77777777" w:rsidR="00360811" w:rsidRDefault="00360811" w:rsidP="00360811">
      <w:r>
        <w:t>Classic arcade games like Space Invaders and Galaga have had a lasting impact on game design, introducing fundamental mechanics such as wave-based enemies, simple controls, and progressively increasing difficulty. These elements have been widely studied and replicated due to their effectiveness in creating engaging gameplay. The success of these early games continues to influence modern recreations, with developers often using them as a foundation for learning or prototyping. Key design principles—such as predictable enemy patterns and escalating challenge—will be incorporated into this project to capture the original arcade feel.</w:t>
      </w:r>
    </w:p>
    <w:p w14:paraId="0CC2C3FF" w14:textId="77777777" w:rsidR="00360811" w:rsidRDefault="00360811" w:rsidP="00360811"/>
    <w:p w14:paraId="44135E40" w14:textId="26E5B773" w:rsidR="00360811" w:rsidRPr="00360811" w:rsidRDefault="00360811" w:rsidP="00360811">
      <w:r>
        <w:t xml:space="preserve">From a technical standpoint, the Qt framework offers a practical environment for developing 2D games, especially for projects that prioritize cross-platform support and simplicity over complex 3D rendering. Although not a dedicated game engine, Qt provides essential tools like </w:t>
      </w:r>
      <w:proofErr w:type="spellStart"/>
      <w:r>
        <w:t>QGraphicsScene</w:t>
      </w:r>
      <w:proofErr w:type="spellEnd"/>
      <w:r>
        <w:t xml:space="preserve"> and </w:t>
      </w:r>
      <w:proofErr w:type="spellStart"/>
      <w:r>
        <w:t>QTimer</w:t>
      </w:r>
      <w:proofErr w:type="spellEnd"/>
      <w:r>
        <w:t xml:space="preserve"> that are well-suited for handling graphics, animation, and input in smaller-scale games. Previous projects recreating games like Tetris and Pong in Qt demonstrate its viability for similar retro-style games. This project leverages Qt’s capabilities to build a modern take on Space Invaders, focusing on core gameplay mechanics while exploring features like sound integration and user interface design.</w:t>
      </w:r>
    </w:p>
    <w:p w14:paraId="65313B9F" w14:textId="77777777" w:rsidR="009303D9" w:rsidRDefault="009303D9" w:rsidP="006B6B66">
      <w:pPr>
        <w:pStyle w:val="Heading1"/>
      </w:pPr>
      <w:r>
        <w:t xml:space="preserve">Prepare Your Paper </w:t>
      </w:r>
      <w:r w:rsidRPr="005B520E">
        <w:t>Before</w:t>
      </w:r>
      <w:r>
        <w:t xml:space="preserve"> Styling</w:t>
      </w:r>
    </w:p>
    <w:p w14:paraId="2CC923C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B6F053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D27694B" w14:textId="77777777" w:rsidR="009303D9" w:rsidRDefault="009303D9" w:rsidP="00ED0149">
      <w:pPr>
        <w:pStyle w:val="Heading2"/>
      </w:pPr>
      <w:r w:rsidRPr="00ED0149">
        <w:t>Abbreviations</w:t>
      </w:r>
      <w:r>
        <w:t xml:space="preserve"> and Acronyms</w:t>
      </w:r>
    </w:p>
    <w:p w14:paraId="5BFF2E1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79761D9" w14:textId="77777777" w:rsidR="009303D9" w:rsidRDefault="009303D9" w:rsidP="00ED0149">
      <w:pPr>
        <w:pStyle w:val="Heading2"/>
      </w:pPr>
      <w:r>
        <w:t>Units</w:t>
      </w:r>
    </w:p>
    <w:p w14:paraId="35919E9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E7E021D"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323E4A8"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0307DDD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FD76982" w14:textId="77777777" w:rsidR="009303D9" w:rsidRPr="005B520E" w:rsidRDefault="009303D9" w:rsidP="00ED0149">
      <w:pPr>
        <w:pStyle w:val="Heading2"/>
      </w:pPr>
      <w:r w:rsidRPr="005B520E">
        <w:t>Equations</w:t>
      </w:r>
    </w:p>
    <w:p w14:paraId="65F79497"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60C5911" w14:textId="77777777"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exp function, or appropriate exponents. Italicize </w:t>
      </w:r>
      <w:r w:rsidRPr="005B520E">
        <w:lastRenderedPageBreak/>
        <w:t>Roman symbols for quantities and variables, but not Greek symbols. Use a long dash rather than a hyphen for a minus sign. Punctuate equations with commas or periods when they are part of a sentence, as in</w:t>
      </w:r>
      <w:r w:rsidR="00D7522C">
        <w:rPr>
          <w:lang w:val="en-US"/>
        </w:rPr>
        <w:t>:</w:t>
      </w:r>
    </w:p>
    <w:p w14:paraId="02C1D6D1"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15ACA2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309CC73" w14:textId="77777777" w:rsidR="009303D9" w:rsidRDefault="009303D9" w:rsidP="00ED0149">
      <w:pPr>
        <w:pStyle w:val="Heading2"/>
      </w:pPr>
      <w:r>
        <w:t>Some Common Mistakes</w:t>
      </w:r>
    </w:p>
    <w:p w14:paraId="59F554E8" w14:textId="77777777" w:rsidR="009303D9" w:rsidRPr="005B520E" w:rsidRDefault="009303D9" w:rsidP="00E7596C">
      <w:pPr>
        <w:pStyle w:val="bulletlist"/>
      </w:pPr>
      <w:r w:rsidRPr="005B520E">
        <w:t>The word “data” is plural, not singular.</w:t>
      </w:r>
    </w:p>
    <w:p w14:paraId="33C72F4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B6EBA2B"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1E906F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3BD41F8" w14:textId="77777777" w:rsidR="009303D9" w:rsidRPr="005B520E" w:rsidRDefault="009303D9" w:rsidP="00E7596C">
      <w:pPr>
        <w:pStyle w:val="bulletlist"/>
      </w:pPr>
      <w:r w:rsidRPr="005B520E">
        <w:t>Do not use the word “essentially” to mean “approximately” or “effectively”.</w:t>
      </w:r>
    </w:p>
    <w:p w14:paraId="4E9893D2"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E6BB92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5A9F8AA" w14:textId="77777777" w:rsidR="009303D9" w:rsidRPr="005B520E" w:rsidRDefault="009303D9" w:rsidP="00E7596C">
      <w:pPr>
        <w:pStyle w:val="bulletlist"/>
      </w:pPr>
      <w:r w:rsidRPr="005B520E">
        <w:t>Do not confuse “imply” and “infer”.</w:t>
      </w:r>
    </w:p>
    <w:p w14:paraId="34B544C9" w14:textId="77777777" w:rsidR="009303D9" w:rsidRPr="005B520E" w:rsidRDefault="009303D9" w:rsidP="00E7596C">
      <w:pPr>
        <w:pStyle w:val="bulletlist"/>
      </w:pPr>
      <w:r w:rsidRPr="005B520E">
        <w:t>The prefix “non” is not a word; it should be joined to the word it modifies, usually without a hyphen.</w:t>
      </w:r>
    </w:p>
    <w:p w14:paraId="291CA13F" w14:textId="77777777" w:rsidR="009303D9" w:rsidRPr="005B520E" w:rsidRDefault="009303D9" w:rsidP="00E7596C">
      <w:pPr>
        <w:pStyle w:val="bulletlist"/>
      </w:pPr>
      <w:r w:rsidRPr="005B520E">
        <w:t>There is no period after the “et” in the Latin abbreviation “et al.”.</w:t>
      </w:r>
    </w:p>
    <w:p w14:paraId="4A62B9A4" w14:textId="77777777" w:rsidR="009303D9" w:rsidRPr="005B520E" w:rsidRDefault="009303D9" w:rsidP="00E7596C">
      <w:pPr>
        <w:pStyle w:val="bulletlist"/>
      </w:pPr>
      <w:r w:rsidRPr="005B520E">
        <w:t>The abbreviation “i.e.” means “that is”, and the abbreviation “e.g.” means “for example”.</w:t>
      </w:r>
    </w:p>
    <w:p w14:paraId="4878948E" w14:textId="77777777" w:rsidR="009303D9" w:rsidRPr="005B520E" w:rsidRDefault="009303D9" w:rsidP="00E7596C">
      <w:pPr>
        <w:pStyle w:val="BodyText"/>
      </w:pPr>
      <w:r w:rsidRPr="005B520E">
        <w:t>An excellent style manual for science writers is [7].</w:t>
      </w:r>
    </w:p>
    <w:p w14:paraId="54E7EC78" w14:textId="77777777" w:rsidR="009303D9" w:rsidRDefault="009303D9" w:rsidP="006B6B66">
      <w:pPr>
        <w:pStyle w:val="Heading1"/>
      </w:pPr>
      <w:r>
        <w:t xml:space="preserve">Using the </w:t>
      </w:r>
      <w:r w:rsidRPr="005B520E">
        <w:t>Template</w:t>
      </w:r>
    </w:p>
    <w:p w14:paraId="60678C1C" w14:textId="77777777" w:rsidR="009303D9" w:rsidRPr="005B520E" w:rsidRDefault="009303D9" w:rsidP="00E7596C">
      <w:pPr>
        <w:pStyle w:val="BodyText"/>
      </w:pPr>
      <w:r w:rsidRPr="005B520E">
        <w:t xml:space="preserve">After the text edit has been completed, the paper is ready for the template. Duplicate the template file by using the Save As command, and use the naming convention prescribed by your conference for the name of your paper. In this newly created file, </w:t>
      </w:r>
      <w:r w:rsidRPr="005B520E">
        <w:t>highlight all of the contents and import your prepared text file. You are now ready to style your paper; use the scroll down window on the left of the MS Word Formatting toolbar.</w:t>
      </w:r>
    </w:p>
    <w:p w14:paraId="7F770A2D" w14:textId="77777777" w:rsidR="009303D9" w:rsidRDefault="009303D9" w:rsidP="00ED0149">
      <w:pPr>
        <w:pStyle w:val="Heading2"/>
      </w:pPr>
      <w:r w:rsidRPr="005B520E">
        <w:t>Authors</w:t>
      </w:r>
      <w:r>
        <w:t xml:space="preserve"> and Affiliations</w:t>
      </w:r>
    </w:p>
    <w:p w14:paraId="14CE51C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A248C8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72FB7D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CAD623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29CC19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BBF5A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FCBF72A" w14:textId="77777777" w:rsidR="006F6D3D" w:rsidRDefault="006F6D3D" w:rsidP="006F6D3D">
      <w:pPr>
        <w:jc w:val="start"/>
        <w:rPr>
          <w:i/>
          <w:iCs/>
          <w:noProof/>
        </w:rPr>
      </w:pPr>
    </w:p>
    <w:p w14:paraId="3ED5C486" w14:textId="77777777" w:rsidR="009303D9" w:rsidRDefault="009303D9" w:rsidP="00ED0149">
      <w:pPr>
        <w:pStyle w:val="Heading2"/>
      </w:pPr>
      <w:r w:rsidRPr="005B520E">
        <w:t>Identify</w:t>
      </w:r>
      <w:r>
        <w:t xml:space="preserve"> the Headings</w:t>
      </w:r>
    </w:p>
    <w:p w14:paraId="29E1205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CA2BDB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55D97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A84BA51" w14:textId="77777777" w:rsidR="009303D9" w:rsidRDefault="009303D9" w:rsidP="00ED0149">
      <w:pPr>
        <w:pStyle w:val="Heading2"/>
      </w:pPr>
      <w:r>
        <w:t>Figures and Tables</w:t>
      </w:r>
    </w:p>
    <w:p w14:paraId="30EC9A9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FF301D8" w14:textId="77777777" w:rsidR="009303D9" w:rsidRPr="005B520E" w:rsidRDefault="009303D9">
      <w:pPr>
        <w:pStyle w:val="tablehead"/>
      </w:pPr>
      <w:r>
        <w:lastRenderedPageBreak/>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278A9EF" w14:textId="77777777">
        <w:trPr>
          <w:cantSplit/>
          <w:trHeight w:val="240"/>
          <w:tblHeader/>
          <w:jc w:val="center"/>
        </w:trPr>
        <w:tc>
          <w:tcPr>
            <w:tcW w:w="36pt" w:type="dxa"/>
            <w:vMerge w:val="restart"/>
            <w:vAlign w:val="center"/>
          </w:tcPr>
          <w:p w14:paraId="289AB2C2" w14:textId="77777777" w:rsidR="009303D9" w:rsidRDefault="009303D9">
            <w:pPr>
              <w:pStyle w:val="tablecolhead"/>
            </w:pPr>
            <w:r>
              <w:t>Table Head</w:t>
            </w:r>
          </w:p>
        </w:tc>
        <w:tc>
          <w:tcPr>
            <w:tcW w:w="207pt" w:type="dxa"/>
            <w:gridSpan w:val="3"/>
            <w:vAlign w:val="center"/>
          </w:tcPr>
          <w:p w14:paraId="51C8768C" w14:textId="77777777" w:rsidR="009303D9" w:rsidRDefault="009303D9">
            <w:pPr>
              <w:pStyle w:val="tablecolhead"/>
            </w:pPr>
            <w:r>
              <w:t>Table Column Head</w:t>
            </w:r>
          </w:p>
        </w:tc>
      </w:tr>
      <w:tr w:rsidR="009303D9" w14:paraId="6C4244AA" w14:textId="77777777">
        <w:trPr>
          <w:cantSplit/>
          <w:trHeight w:val="240"/>
          <w:tblHeader/>
          <w:jc w:val="center"/>
        </w:trPr>
        <w:tc>
          <w:tcPr>
            <w:tcW w:w="36pt" w:type="dxa"/>
            <w:vMerge/>
          </w:tcPr>
          <w:p w14:paraId="3A1BFDD5" w14:textId="77777777" w:rsidR="009303D9" w:rsidRDefault="009303D9">
            <w:pPr>
              <w:rPr>
                <w:sz w:val="16"/>
                <w:szCs w:val="16"/>
              </w:rPr>
            </w:pPr>
          </w:p>
        </w:tc>
        <w:tc>
          <w:tcPr>
            <w:tcW w:w="117pt" w:type="dxa"/>
            <w:vAlign w:val="center"/>
          </w:tcPr>
          <w:p w14:paraId="5EE59D35" w14:textId="77777777" w:rsidR="009303D9" w:rsidRDefault="009303D9">
            <w:pPr>
              <w:pStyle w:val="tablecolsubhead"/>
            </w:pPr>
            <w:r>
              <w:t>Table column subhead</w:t>
            </w:r>
          </w:p>
        </w:tc>
        <w:tc>
          <w:tcPr>
            <w:tcW w:w="45pt" w:type="dxa"/>
            <w:vAlign w:val="center"/>
          </w:tcPr>
          <w:p w14:paraId="29CCE960" w14:textId="77777777" w:rsidR="009303D9" w:rsidRDefault="009303D9">
            <w:pPr>
              <w:pStyle w:val="tablecolsubhead"/>
            </w:pPr>
            <w:r>
              <w:t>Subhead</w:t>
            </w:r>
          </w:p>
        </w:tc>
        <w:tc>
          <w:tcPr>
            <w:tcW w:w="45pt" w:type="dxa"/>
            <w:vAlign w:val="center"/>
          </w:tcPr>
          <w:p w14:paraId="3521C9AA" w14:textId="77777777" w:rsidR="009303D9" w:rsidRDefault="009303D9">
            <w:pPr>
              <w:pStyle w:val="tablecolsubhead"/>
            </w:pPr>
            <w:r>
              <w:t>Subhead</w:t>
            </w:r>
          </w:p>
        </w:tc>
      </w:tr>
      <w:tr w:rsidR="009303D9" w14:paraId="2694D18A" w14:textId="77777777">
        <w:trPr>
          <w:trHeight w:val="320"/>
          <w:jc w:val="center"/>
        </w:trPr>
        <w:tc>
          <w:tcPr>
            <w:tcW w:w="36pt" w:type="dxa"/>
            <w:vAlign w:val="center"/>
          </w:tcPr>
          <w:p w14:paraId="455119A8" w14:textId="77777777" w:rsidR="009303D9" w:rsidRDefault="009303D9">
            <w:pPr>
              <w:pStyle w:val="tablecopy"/>
              <w:rPr>
                <w:sz w:val="8"/>
                <w:szCs w:val="8"/>
              </w:rPr>
            </w:pPr>
            <w:r>
              <w:t>copy</w:t>
            </w:r>
          </w:p>
        </w:tc>
        <w:tc>
          <w:tcPr>
            <w:tcW w:w="117pt" w:type="dxa"/>
            <w:vAlign w:val="center"/>
          </w:tcPr>
          <w:p w14:paraId="53520B16" w14:textId="77777777" w:rsidR="009303D9" w:rsidRDefault="009303D9">
            <w:pPr>
              <w:pStyle w:val="tablecopy"/>
            </w:pPr>
            <w:r>
              <w:t>More table copy</w:t>
            </w:r>
            <w:r>
              <w:rPr>
                <w:vertAlign w:val="superscript"/>
              </w:rPr>
              <w:t>a</w:t>
            </w:r>
          </w:p>
        </w:tc>
        <w:tc>
          <w:tcPr>
            <w:tcW w:w="45pt" w:type="dxa"/>
            <w:vAlign w:val="center"/>
          </w:tcPr>
          <w:p w14:paraId="0D8028A8" w14:textId="77777777" w:rsidR="009303D9" w:rsidRDefault="009303D9">
            <w:pPr>
              <w:rPr>
                <w:sz w:val="16"/>
                <w:szCs w:val="16"/>
              </w:rPr>
            </w:pPr>
          </w:p>
        </w:tc>
        <w:tc>
          <w:tcPr>
            <w:tcW w:w="45pt" w:type="dxa"/>
            <w:vAlign w:val="center"/>
          </w:tcPr>
          <w:p w14:paraId="08A46A75" w14:textId="77777777" w:rsidR="009303D9" w:rsidRDefault="009303D9">
            <w:pPr>
              <w:rPr>
                <w:sz w:val="16"/>
                <w:szCs w:val="16"/>
              </w:rPr>
            </w:pPr>
          </w:p>
        </w:tc>
      </w:tr>
    </w:tbl>
    <w:p w14:paraId="3637561A"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381BB491" wp14:editId="19EAE50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3EEFB6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22FCE6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0EF8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7060F5"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E448512" w14:textId="77777777" w:rsidR="009303D9" w:rsidRDefault="009303D9" w:rsidP="00A059B3">
      <w:pPr>
        <w:pStyle w:val="Heading5"/>
      </w:pPr>
      <w:r w:rsidRPr="005B520E">
        <w:t>References</w:t>
      </w:r>
    </w:p>
    <w:p w14:paraId="25B1FD4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84F2CE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07A105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D136C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62EC548" w14:textId="77777777" w:rsidR="009303D9" w:rsidRPr="005B520E" w:rsidRDefault="009303D9"/>
    <w:p w14:paraId="7B535177"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6693B3D" w14:textId="77777777" w:rsidR="009303D9" w:rsidRDefault="009303D9" w:rsidP="0004781E">
      <w:pPr>
        <w:pStyle w:val="references"/>
        <w:ind w:start="17.70pt" w:hanging="17.70pt"/>
      </w:pPr>
      <w:r>
        <w:t>J. Clerk Maxwell, A Treatise on Electricity and Magnetism, 3rd ed., vol. 2. Oxford: Clarendon, 1892, pp.68–73.</w:t>
      </w:r>
    </w:p>
    <w:p w14:paraId="4E127A7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5F1D365" w14:textId="77777777" w:rsidR="009303D9" w:rsidRDefault="009303D9" w:rsidP="0004781E">
      <w:pPr>
        <w:pStyle w:val="references"/>
        <w:ind w:start="17.70pt" w:hanging="17.70pt"/>
      </w:pPr>
      <w:r>
        <w:t>K. Elissa, “Title of paper if known,” unpublished.</w:t>
      </w:r>
    </w:p>
    <w:p w14:paraId="19479632" w14:textId="77777777" w:rsidR="009303D9" w:rsidRDefault="009303D9" w:rsidP="0004781E">
      <w:pPr>
        <w:pStyle w:val="references"/>
        <w:ind w:start="17.70pt" w:hanging="17.70pt"/>
      </w:pPr>
      <w:r>
        <w:t>R. Nicole, “Title of paper with only first word capitalized,” J. Name Stand. Abbrev., in press.</w:t>
      </w:r>
    </w:p>
    <w:p w14:paraId="6A59C11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3CAF9EC" w14:textId="77777777" w:rsidR="00156B74" w:rsidRDefault="009303D9" w:rsidP="00156B74">
      <w:pPr>
        <w:pStyle w:val="references"/>
        <w:ind w:start="17.70pt" w:hanging="17.70pt"/>
      </w:pPr>
      <w:r>
        <w:t>M. Young, The Technical Writer</w:t>
      </w:r>
      <w:r w:rsidR="00E7596C">
        <w:t>’</w:t>
      </w:r>
      <w:r>
        <w:t>s Handbook. Mill Valley, CA: University Science, 1989.</w:t>
      </w:r>
    </w:p>
    <w:p w14:paraId="095CD6D1" w14:textId="77777777" w:rsidR="00156B74" w:rsidRPr="00156B74" w:rsidRDefault="00156B74" w:rsidP="00156B74">
      <w:pPr>
        <w:pStyle w:val="references"/>
        <w:ind w:start="17.70pt" w:hanging="17.70pt"/>
        <w:rPr>
          <w:rFonts w:ascii="NimbusRomNo9L-Regu" w:eastAsia="NimbusRomNo9L-Regu" w:cs="NimbusRomNo9L-Regu"/>
        </w:rPr>
      </w:pPr>
      <w:r w:rsidRPr="00156B74">
        <w:rPr>
          <w:rFonts w:ascii="NimbusRomNo9L-Regu" w:eastAsia="NimbusRomNo9L-Regu" w:cs="NimbusRomNo9L-Regu"/>
        </w:rPr>
        <w:t xml:space="preserve"> </w:t>
      </w: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02A693BF" w14:textId="77777777" w:rsidR="00156B74" w:rsidRDefault="00156B74" w:rsidP="00156B74">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2E399E5B" w14:textId="78F18DC4" w:rsidR="00156B74" w:rsidRDefault="00156B74" w:rsidP="00156B74">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3B8DFCE8" w14:textId="7921C274" w:rsidR="00156B74" w:rsidRPr="00156B74" w:rsidRDefault="00156B74" w:rsidP="00156B74">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2A5DE92A"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4EA059EC" w14:textId="77777777" w:rsidR="000E0FCC" w:rsidRDefault="000E0FCC" w:rsidP="001A3B3D">
      <w:r>
        <w:separator/>
      </w:r>
    </w:p>
  </w:endnote>
  <w:endnote w:type="continuationSeparator" w:id="0">
    <w:p w14:paraId="2AA1FB99" w14:textId="77777777" w:rsidR="000E0FCC" w:rsidRDefault="000E0FC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2E87A87D" w14:textId="77777777" w:rsidR="000E0FCC" w:rsidRDefault="000E0FCC" w:rsidP="001A3B3D">
      <w:r>
        <w:separator/>
      </w:r>
    </w:p>
  </w:footnote>
  <w:footnote w:type="continuationSeparator" w:id="0">
    <w:p w14:paraId="29757D3F" w14:textId="77777777" w:rsidR="000E0FCC" w:rsidRDefault="000E0FC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29.5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72pt"/>
        </w:tabs>
        <w:ind w:start="68.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E0FCC"/>
    <w:rsid w:val="0015079E"/>
    <w:rsid w:val="00156B74"/>
    <w:rsid w:val="001A2EFD"/>
    <w:rsid w:val="001A3B3D"/>
    <w:rsid w:val="001A42EA"/>
    <w:rsid w:val="001B67DC"/>
    <w:rsid w:val="001D7BCF"/>
    <w:rsid w:val="002254A9"/>
    <w:rsid w:val="00233D97"/>
    <w:rsid w:val="002850E3"/>
    <w:rsid w:val="00354FCF"/>
    <w:rsid w:val="00360811"/>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46973"/>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12284"/>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13437260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63957C2-DCCF-4BE8-B837-5756497988F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3</Pages>
  <Words>2137</Words>
  <Characters>12182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IKOCHI1</cp:lastModifiedBy>
  <cp:revision>2</cp:revision>
  <dcterms:created xsi:type="dcterms:W3CDTF">2025-10-15T21:02:00Z</dcterms:created>
  <dcterms:modified xsi:type="dcterms:W3CDTF">2025-10-15T21:02:00Z</dcterms:modified>
</cp:coreProperties>
</file>