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NMFC: Corruption Risk &amp; Integrity Guardrails</w:t>
      </w:r>
    </w:p>
    <w:p>
      <w:r>
        <w:t>Breakdown of NMFC's vulnerability and protective safeguards:</w:t>
      </w:r>
    </w:p>
    <w:p>
      <w:r>
        <w:t>1. Single Point of Control: LOW RISK. Power is distributed and limited by design.</w:t>
      </w:r>
    </w:p>
    <w:p>
      <w:r>
        <w:t>2. Financial Capture: MEDIUM RISK. Mitigated by Council vote, locked BTC bonuses, and deep bench.</w:t>
      </w:r>
    </w:p>
    <w:p>
      <w:r>
        <w:t>3. Cultural Dilution: MEDIUM-HIGH RISK. Prevented through Codex, storytelling, murals, onboarding.</w:t>
      </w:r>
    </w:p>
    <w:p>
      <w:r>
        <w:t>4. Governance Drift: LOW-MEDIUM RISK. Prevented through term checks and 66% Council vote.</w:t>
      </w:r>
    </w:p>
    <w:p>
      <w:r>
        <w:t>5. Mission Capture: MEDIUM RISK. Prevented through growth caps and surplus gating.</w:t>
      </w:r>
    </w:p>
    <w:p>
      <w:r>
        <w:t>Final Integrity Rating: 7.5–8.5/10. Most risk lies in cultural erosion, not structure.</w:t>
      </w:r>
    </w:p>
    <w:p>
      <w:r>
        <w:br/>
        <w:t>Document authored by Northern Michigan Firewood Company (NMFC). Licensed under CC BY-NC-SA 4.0. Burn Bright. Stay Free.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