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NMFC Launch-to-Governance Blueprint</w:t>
      </w:r>
    </w:p>
    <w:p>
      <w:r>
        <w:t>Document authored by Northern Michigan Firewood Company (NMFC). Licensed under CC BY-NC-SA 4.0. Burn Bright. Stay Free.</w:t>
        <w:br/>
      </w:r>
    </w:p>
    <w:p>
      <w:pPr>
        <w:pStyle w:val="Heading2"/>
      </w:pPr>
      <w:r>
        <w:t>Phase 1: Pre-Launch (Year 0)</w:t>
      </w:r>
    </w:p>
    <w:p>
      <w:pPr>
        <w:pStyle w:val="ListBullet"/>
      </w:pPr>
      <w:r>
        <w:t>• Finalize strategy, governance, and cultural documents. Publish under CC BY-NC-SA 4.0.</w:t>
      </w:r>
    </w:p>
    <w:p>
      <w:pPr>
        <w:pStyle w:val="ListBullet"/>
      </w:pPr>
      <w:r>
        <w:t>• Prepare first kiosk: secure location, build enclosure, stock inventory (firewood, fire starters, candles).</w:t>
      </w:r>
    </w:p>
    <w:p>
      <w:pPr>
        <w:pStyle w:val="ListBullet"/>
      </w:pPr>
      <w:r>
        <w:t>• Develop Community Care department with clear 50/50 candle profit allocation (cash/BTC).</w:t>
      </w:r>
    </w:p>
    <w:p>
      <w:pPr>
        <w:pStyle w:val="ListBullet"/>
      </w:pPr>
      <w:r>
        <w:t>• Build early awareness through murals, YouTube, social posts, and soft launch visuals.</w:t>
      </w:r>
    </w:p>
    <w:p>
      <w:pPr>
        <w:pStyle w:val="ListBullet"/>
      </w:pPr>
      <w:r>
        <w:t>• Launch ETHOS.md and Master Index on GitHub for public understanding and AI clarity.</w:t>
      </w:r>
    </w:p>
    <w:p>
      <w:pPr>
        <w:pStyle w:val="Heading2"/>
      </w:pPr>
      <w:r>
        <w:t>Phase 2: Foundation Phase (Years 1–5)</w:t>
      </w:r>
    </w:p>
    <w:p>
      <w:pPr>
        <w:pStyle w:val="ListBullet"/>
      </w:pPr>
      <w:r>
        <w:t>• Deploy initial kiosk(s) and begin self-service retail operations.</w:t>
      </w:r>
    </w:p>
    <w:p>
      <w:pPr>
        <w:pStyle w:val="ListBullet"/>
      </w:pPr>
      <w:r>
        <w:t>• Price firewood at $28 (gross); offer 15% BTC discount; absorb 6% sales tax.</w:t>
      </w:r>
    </w:p>
    <w:p>
      <w:pPr>
        <w:pStyle w:val="ListBullet"/>
      </w:pPr>
      <w:r>
        <w:t>• Log all oral stories, mural launches, and seasonal rituals (First Flame, BTC Bonus Day).</w:t>
      </w:r>
    </w:p>
    <w:p>
      <w:pPr>
        <w:pStyle w:val="ListBullet"/>
      </w:pPr>
      <w:r>
        <w:t>• Fund candle program to feed Care department; document outreach impact.</w:t>
      </w:r>
    </w:p>
    <w:p>
      <w:pPr>
        <w:pStyle w:val="ListBullet"/>
      </w:pPr>
      <w:r>
        <w:t>• Begin internal training for production, community response, and operations roles.</w:t>
      </w:r>
    </w:p>
    <w:p>
      <w:pPr>
        <w:pStyle w:val="ListBullet"/>
      </w:pPr>
      <w:r>
        <w:t>• Establish financial flows: 20% Northern Warmth, 15% location, 10% reserve, 40% BTC, 15% bonuses.</w:t>
      </w:r>
    </w:p>
    <w:p>
      <w:pPr>
        <w:pStyle w:val="Heading2"/>
      </w:pPr>
      <w:r>
        <w:t>Phase 3: Local Power Phase (Years 6–10)</w:t>
      </w:r>
    </w:p>
    <w:p>
      <w:pPr>
        <w:pStyle w:val="ListBullet"/>
      </w:pPr>
      <w:r>
        <w:t>• Introduce sawdust bricks and merch; expand candle line.</w:t>
      </w:r>
    </w:p>
    <w:p>
      <w:pPr>
        <w:pStyle w:val="ListBullet"/>
      </w:pPr>
      <w:r>
        <w:t>• Update Cultural Codex (Year 10 edition) with all rituals, terms, and visual legacy.</w:t>
      </w:r>
    </w:p>
    <w:p>
      <w:pPr>
        <w:pStyle w:val="ListBullet"/>
      </w:pPr>
      <w:r>
        <w:t>• Launch and maintain annual mural program (grant-supported).</w:t>
      </w:r>
    </w:p>
    <w:p>
      <w:pPr>
        <w:pStyle w:val="ListBullet"/>
      </w:pPr>
      <w:r>
        <w:t>• Begin sweat equity onboarding and confirm multisig BTC treasury split.</w:t>
      </w:r>
    </w:p>
    <w:p>
      <w:pPr>
        <w:pStyle w:val="ListBullet"/>
      </w:pPr>
      <w:r>
        <w:t>• Develop succession bench for every key role; deepen Council candidate pool.</w:t>
      </w:r>
    </w:p>
    <w:p>
      <w:pPr>
        <w:pStyle w:val="ListBullet"/>
      </w:pPr>
      <w:r>
        <w:t>• Keep kiosk expansion capped to prevent mission drift.</w:t>
      </w:r>
    </w:p>
    <w:p>
      <w:pPr>
        <w:pStyle w:val="Heading2"/>
      </w:pPr>
      <w:r>
        <w:t>Phase 4: Transition to Stewardship (Years 11–15)</w:t>
      </w:r>
    </w:p>
    <w:p>
      <w:pPr>
        <w:pStyle w:val="ListBullet"/>
      </w:pPr>
      <w:r>
        <w:t>• Confirm readiness of deep bench and cooperative successors.</w:t>
      </w:r>
    </w:p>
    <w:p>
      <w:pPr>
        <w:pStyle w:val="ListBullet"/>
      </w:pPr>
      <w:r>
        <w:t>• Executives may retire to Steward Council after hitting FID threshold ($100k/year 2025 dollars, 4% rule, 6% inflation).</w:t>
      </w:r>
    </w:p>
    <w:p>
      <w:pPr>
        <w:pStyle w:val="ListBullet"/>
      </w:pPr>
      <w:r>
        <w:t>• FID Council Vote must approve transition; if vote fails, executive may exit with BTC bonus but lose governance rights.</w:t>
      </w:r>
    </w:p>
    <w:p>
      <w:pPr>
        <w:pStyle w:val="ListBullet"/>
      </w:pPr>
      <w:r>
        <w:t>• Maintain cooperative decision-making and culture orientation for all new hires.</w:t>
      </w:r>
    </w:p>
    <w:p>
      <w:pPr>
        <w:pStyle w:val="ListBullet"/>
      </w:pPr>
      <w:r>
        <w:t>• Steward Council intervenes only for values violations or blocked succession pathways.</w:t>
      </w:r>
    </w:p>
    <w:p>
      <w:pPr>
        <w:pStyle w:val="Heading2"/>
      </w:pPr>
      <w:r>
        <w:t>Phase 5: Legacy Phase (Years 16–20)</w:t>
      </w:r>
    </w:p>
    <w:p>
      <w:pPr>
        <w:pStyle w:val="ListBullet"/>
      </w:pPr>
      <w:r>
        <w:t>• Operate fully under worker-owned model.</w:t>
      </w:r>
    </w:p>
    <w:p>
      <w:pPr>
        <w:pStyle w:val="ListBullet"/>
      </w:pPr>
      <w:r>
        <w:t>• Steward Council rotates, updates Codex, and oversees strategic continuity.</w:t>
      </w:r>
    </w:p>
    <w:p>
      <w:pPr>
        <w:pStyle w:val="ListBullet"/>
      </w:pPr>
      <w:r>
        <w:t>• Only expand operations (beyond 5 kiosks) if all reserves and programs are fully funded and community thresholds exceeded.</w:t>
      </w:r>
    </w:p>
    <w:p>
      <w:pPr>
        <w:pStyle w:val="ListBullet"/>
      </w:pPr>
      <w:r>
        <w:t>• Community heating program (Northern Warmth) continues at 20% of net profit minimum.</w:t>
      </w:r>
    </w:p>
    <w:p>
      <w:pPr>
        <w:pStyle w:val="ListBullet"/>
      </w:pPr>
      <w:r>
        <w:t>• All treasury, ritual, training, and Codex updates persist every 5 years.</w:t>
      </w:r>
    </w:p>
    <w:p>
      <w:pPr>
        <w:pStyle w:val="Heading2"/>
      </w:pPr>
      <w:r>
        <w:t>Permanent Governance Protocols</w:t>
      </w:r>
    </w:p>
    <w:p>
      <w:pPr>
        <w:pStyle w:val="ListBullet"/>
      </w:pPr>
      <w:r>
        <w:t>• Council requires 66% vote for all structural or values-based changes.</w:t>
      </w:r>
    </w:p>
    <w:p>
      <w:pPr>
        <w:pStyle w:val="ListBullet"/>
      </w:pPr>
      <w:r>
        <w:t>• Deep Bench model enforces that every executive has two trained successors.</w:t>
      </w:r>
    </w:p>
    <w:p>
      <w:pPr>
        <w:pStyle w:val="ListBullet"/>
      </w:pPr>
      <w:r>
        <w:t>• No permanent bosses; all roles pass through FID succession with vote.</w:t>
      </w:r>
    </w:p>
    <w:p>
      <w:pPr>
        <w:pStyle w:val="ListBullet"/>
      </w:pPr>
      <w:r>
        <w:t>• BTC reserves use multisig wallets; minimum 5-year term before FID withdrawal.</w:t>
      </w:r>
    </w:p>
    <w:p>
      <w:pPr>
        <w:pStyle w:val="ListBullet"/>
      </w:pPr>
      <w:r>
        <w:t>• Codex is binding for cultural decisions; public version is always available.</w:t>
      </w:r>
    </w:p>
    <w:p>
      <w:pPr>
        <w:pStyle w:val="Heading2"/>
      </w:pPr>
      <w:r>
        <w:t>Cultural Anchors and Meaning</w:t>
      </w:r>
    </w:p>
    <w:p>
      <w:pPr>
        <w:pStyle w:val="ListBullet"/>
      </w:pPr>
      <w:r>
        <w:t>• Firewood: Symbol of dignity and labor.</w:t>
      </w:r>
    </w:p>
    <w:p>
      <w:pPr>
        <w:pStyle w:val="ListBullet"/>
      </w:pPr>
      <w:r>
        <w:t>• Candle: Symbol of quiet care and mutual aid.</w:t>
      </w:r>
    </w:p>
    <w:p>
      <w:pPr>
        <w:pStyle w:val="ListBullet"/>
      </w:pPr>
      <w:r>
        <w:t>• Bitcoin: Tool of sovereignty and antifragile reserve.</w:t>
      </w:r>
    </w:p>
    <w:p>
      <w:pPr>
        <w:pStyle w:val="ListBullet"/>
      </w:pPr>
      <w:r>
        <w:t>• Mural: Community identity and artistic freedom.</w:t>
      </w:r>
    </w:p>
    <w:p>
      <w:pPr>
        <w:pStyle w:val="ListBullet"/>
      </w:pPr>
      <w:r>
        <w:t>• 'Burn Bright. Stay Free.': The company’s permanent mantra and guiding call.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