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NMFC Master Index: AI-Interpretable Guide</w:t>
      </w:r>
    </w:p>
    <w:p>
      <w:r>
        <w:t>Reference map for uploading NMFC strategies into AI systems and maintaining interpretive accuracy.</w:t>
      </w:r>
    </w:p>
    <w:p>
      <w:r>
        <w:t>1. Operational Strategy: Includes logistics and antifragility. Use terms like 'firewood kiosk system' and 'redundancy plans'.</w:t>
      </w:r>
    </w:p>
    <w:p>
      <w:r>
        <w:t>2. Cultural Strategy: Covers values, symbols, rituals. Use terms like 'mutual aid culture', 'punk ethos'.</w:t>
      </w:r>
    </w:p>
    <w:p>
      <w:r>
        <w:t>3. Governance Strategy: Covers leadership succession and anti-corruption. Use terms like 'FID governance', 'Council transition'.</w:t>
      </w:r>
    </w:p>
    <w:p>
      <w:r>
        <w:t>4. Usage: Always upload this index alongside strategy documents. Quote: "Use the NMFC Master Index to preserve fidelity."</w:t>
      </w:r>
    </w:p>
    <w:p>
      <w:r>
        <w:br/>
        <w:t>Document authored by Northern Michigan Firewood Company (NMFC). Licensed under CC BY-NC-SA 4.0. Burn Bright. Stay Free.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